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proofErr w:type="spellStart"/>
            <w:r w:rsidRPr="003A5274">
              <w:t>Zenithgebouw</w:t>
            </w:r>
            <w:proofErr w:type="spellEnd"/>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7FDFA1F3" w:rsidR="00BF74A3" w:rsidRPr="00BF74A3" w:rsidRDefault="00C10A6B" w:rsidP="00426CCD">
            <w:pPr>
              <w:pStyle w:val="VerslagNotaOmzendbrief-Kenmerk-Tekst"/>
              <w:spacing w:after="100"/>
            </w:pPr>
            <w:r w:rsidRPr="00C10A6B">
              <w:t>1100/RC/</w:t>
            </w:r>
            <w:r w:rsidR="0090347A">
              <w:t>KD</w:t>
            </w:r>
            <w:r w:rsidRPr="00C10A6B">
              <w:t>/</w:t>
            </w:r>
            <w:proofErr w:type="spellStart"/>
            <w:r w:rsidRPr="00C10A6B">
              <w:t>gp</w:t>
            </w:r>
            <w:proofErr w:type="spellEnd"/>
            <w:r w:rsidRPr="00C10A6B">
              <w:t>/</w:t>
            </w:r>
            <w:r w:rsidR="00844173">
              <w:t>2</w:t>
            </w:r>
            <w:r w:rsidR="0090347A">
              <w:t>3</w:t>
            </w:r>
            <w:r w:rsidRPr="00C10A6B">
              <w:t>/AdvRC</w:t>
            </w:r>
            <w:r w:rsidR="00A72A51">
              <w:t>27</w:t>
            </w:r>
            <w:r w:rsidRPr="00C10A6B">
              <w:t>-</w:t>
            </w:r>
            <w:r w:rsidR="0090347A">
              <w:t>0</w:t>
            </w:r>
            <w:r w:rsidR="00A72A51">
              <w:t>6</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3-06-30T00:00:00Z">
              <w:dateFormat w:val="d MMMM yyyy"/>
              <w:lid w:val="nl-BE"/>
              <w:storeMappedDataAs w:val="dateTime"/>
              <w:calendar w:val="gregorian"/>
            </w:date>
          </w:sdtPr>
          <w:sdtEndPr/>
          <w:sdtContent>
            <w:tc>
              <w:tcPr>
                <w:tcW w:w="1844" w:type="dxa"/>
                <w:tcMar>
                  <w:top w:w="0" w:type="dxa"/>
                  <w:bottom w:w="0" w:type="dxa"/>
                </w:tcMar>
              </w:tcPr>
              <w:p w14:paraId="7A9A61D7" w14:textId="3B4BA224" w:rsidR="00BF74A3" w:rsidRPr="00BF74A3" w:rsidRDefault="00BC46B5" w:rsidP="00426CCD">
                <w:pPr>
                  <w:pStyle w:val="VerslagNotaOmzendbrief-Kenmerk-Tekst"/>
                </w:pPr>
                <w:r>
                  <w:t>30 juni 2023</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2B44D506"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A72A51">
              <w:rPr>
                <w:b/>
                <w:color w:val="414141"/>
              </w:rPr>
              <w:t>27</w:t>
            </w:r>
            <w:r w:rsidRPr="00E51769">
              <w:rPr>
                <w:b/>
                <w:color w:val="414141"/>
              </w:rPr>
              <w:t>-</w:t>
            </w:r>
            <w:r w:rsidR="0090347A">
              <w:rPr>
                <w:b/>
                <w:color w:val="414141"/>
              </w:rPr>
              <w:t>0</w:t>
            </w:r>
            <w:r w:rsidR="00A72A51">
              <w:rPr>
                <w:b/>
                <w:color w:val="414141"/>
              </w:rPr>
              <w:t>6</w:t>
            </w:r>
            <w:r w:rsidRPr="00E51769">
              <w:rPr>
                <w:b/>
                <w:color w:val="414141"/>
              </w:rPr>
              <w:t>-20</w:t>
            </w:r>
            <w:r w:rsidR="00322A3D">
              <w:rPr>
                <w:b/>
                <w:color w:val="414141"/>
              </w:rPr>
              <w:t>2</w:t>
            </w:r>
            <w:r w:rsidR="0090347A">
              <w:rPr>
                <w:b/>
                <w:color w:val="414141"/>
              </w:rPr>
              <w:t>3</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6FD81D1B" w:rsidR="00EA695F" w:rsidRPr="00173B33" w:rsidRDefault="00A949EA" w:rsidP="00EA695F">
      <w:pPr>
        <w:rPr>
          <w:lang w:val="nl-NL"/>
        </w:rPr>
      </w:pPr>
      <w:r>
        <w:rPr>
          <w:lang w:val="nl-NL"/>
        </w:rPr>
        <w:t xml:space="preserve">Op de zitting van </w:t>
      </w:r>
      <w:r w:rsidR="00910C22">
        <w:rPr>
          <w:lang w:val="nl-NL"/>
        </w:rPr>
        <w:t>27</w:t>
      </w:r>
      <w:r w:rsidR="00426CCD">
        <w:rPr>
          <w:lang w:val="nl-NL"/>
        </w:rPr>
        <w:t xml:space="preserve"> </w:t>
      </w:r>
      <w:r w:rsidR="00910C22">
        <w:rPr>
          <w:lang w:val="nl-NL"/>
        </w:rPr>
        <w:t>jun</w:t>
      </w:r>
      <w:r w:rsidR="00990BC7">
        <w:rPr>
          <w:lang w:val="nl-NL"/>
        </w:rPr>
        <w:t>i</w:t>
      </w:r>
      <w:r w:rsidR="005B4DDF">
        <w:rPr>
          <w:lang w:val="nl-NL"/>
        </w:rPr>
        <w:t xml:space="preserve"> </w:t>
      </w:r>
      <w:r w:rsidR="00EA695F" w:rsidRPr="00173B33">
        <w:rPr>
          <w:lang w:val="nl-NL"/>
        </w:rPr>
        <w:t>20</w:t>
      </w:r>
      <w:r w:rsidR="00844173">
        <w:rPr>
          <w:lang w:val="nl-NL"/>
        </w:rPr>
        <w:t>2</w:t>
      </w:r>
      <w:r w:rsidR="0090347A">
        <w:rPr>
          <w:lang w:val="nl-NL"/>
        </w:rPr>
        <w:t>3</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1EAAE699" w14:textId="6CD2F944" w:rsidR="005D35A6" w:rsidRPr="009E17BA" w:rsidRDefault="00910C22" w:rsidP="006E5A13">
      <w:pPr>
        <w:pStyle w:val="Kop1"/>
        <w:spacing w:after="0"/>
        <w:rPr>
          <w:color w:val="auto"/>
          <w:sz w:val="22"/>
          <w:szCs w:val="22"/>
          <w:lang w:val="nl-BE"/>
        </w:rPr>
      </w:pPr>
      <w:r w:rsidRPr="009E17BA">
        <w:rPr>
          <w:color w:val="auto"/>
          <w:sz w:val="22"/>
          <w:szCs w:val="22"/>
          <w:lang w:val="nl-BE"/>
        </w:rPr>
        <w:t>Actualisering persoonsvolgende budgetten in de pers</w:t>
      </w:r>
    </w:p>
    <w:p w14:paraId="556A809B" w14:textId="00C9DC2F" w:rsidR="005D35A6" w:rsidRPr="00E9501E" w:rsidRDefault="00443CD2" w:rsidP="005D35A6">
      <w:r w:rsidRPr="00E9501E">
        <w:t>Het comité</w:t>
      </w:r>
      <w:r w:rsidR="007640BC" w:rsidRPr="00E9501E">
        <w:t xml:space="preserve"> concludeert dat het steeds </w:t>
      </w:r>
      <w:r w:rsidR="00E9501E" w:rsidRPr="00E9501E">
        <w:t>alert moet zijn voor mogelijke consequenties van maatregelen waarover het een advies uitbrengt</w:t>
      </w:r>
      <w:r w:rsidRPr="00E9501E">
        <w:t>.</w:t>
      </w:r>
    </w:p>
    <w:p w14:paraId="674EB694" w14:textId="4E53A3B2" w:rsidR="00910C22" w:rsidRPr="007E7452" w:rsidRDefault="00910C22" w:rsidP="00910C22">
      <w:pPr>
        <w:pStyle w:val="Kop1"/>
        <w:spacing w:after="0"/>
        <w:rPr>
          <w:color w:val="auto"/>
          <w:sz w:val="22"/>
          <w:szCs w:val="22"/>
          <w:lang w:val="nl-BE"/>
        </w:rPr>
      </w:pPr>
      <w:r w:rsidRPr="007E7452">
        <w:rPr>
          <w:color w:val="auto"/>
          <w:sz w:val="22"/>
          <w:szCs w:val="22"/>
          <w:lang w:val="nl-BE"/>
        </w:rPr>
        <w:t xml:space="preserve">Gezamenlijke werksessie ontwerpdecreet Vroeg en Nabij 15-06-2023 </w:t>
      </w:r>
      <w:r w:rsidRPr="007E7452">
        <w:rPr>
          <w:color w:val="auto"/>
          <w:sz w:val="22"/>
          <w:szCs w:val="22"/>
          <w:lang w:val="nl-BE"/>
        </w:rPr>
        <w:br/>
        <w:t>DOC/RC/2023/27.06/43</w:t>
      </w:r>
    </w:p>
    <w:p w14:paraId="27A068E9" w14:textId="5A825DE5" w:rsidR="0071682F" w:rsidRPr="00017B6D" w:rsidRDefault="00910C22" w:rsidP="005D35A6">
      <w:pPr>
        <w:spacing w:after="0"/>
      </w:pPr>
      <w:r w:rsidRPr="00CA0578">
        <w:t>H</w:t>
      </w:r>
      <w:r w:rsidR="005D35A6" w:rsidRPr="00CA0578">
        <w:t>et comité</w:t>
      </w:r>
      <w:r w:rsidR="00E9501E" w:rsidRPr="00CA0578">
        <w:t xml:space="preserve"> </w:t>
      </w:r>
      <w:r w:rsidR="00273F09" w:rsidRPr="00CA0578">
        <w:t>heeft vastgesteld dat in de tweede werkversie van het Ontwerpdecreet</w:t>
      </w:r>
      <w:r w:rsidR="003A3432">
        <w:t xml:space="preserve"> reeds</w:t>
      </w:r>
      <w:r w:rsidR="00273F09" w:rsidRPr="00CA0578">
        <w:t xml:space="preserve"> in belangrijke mate rekening werd gehouden met de opmerkingen die door zijn leden </w:t>
      </w:r>
      <w:r w:rsidR="003A3432">
        <w:t xml:space="preserve">werden </w:t>
      </w:r>
      <w:r w:rsidR="00273F09" w:rsidRPr="00CA0578">
        <w:t xml:space="preserve">geformuleerd werden n.a.v. de eerste gezamenlijke sessie op 12 mei 2023. </w:t>
      </w:r>
      <w:r w:rsidR="003A3432">
        <w:t>Tijdens de tweede gezamenlijke werksessie</w:t>
      </w:r>
      <w:r w:rsidR="00017B6D">
        <w:t xml:space="preserve"> op 15 juni</w:t>
      </w:r>
      <w:r w:rsidR="003A3432">
        <w:t xml:space="preserve"> hebben de </w:t>
      </w:r>
      <w:r w:rsidR="00017B6D">
        <w:t>aanwezige comité</w:t>
      </w:r>
      <w:r w:rsidR="003A3432">
        <w:t xml:space="preserve">leden </w:t>
      </w:r>
      <w:r w:rsidR="00017B6D">
        <w:t>niettemin gewezen op een aantal blijvende bekommernissen. In de loop van september zal het comité formeel advies uitbrengen op de werkversie die rekening zal houden met opmerkingen die (o.a.) op de sessie van 15 juni werden aangekaart.</w:t>
      </w:r>
    </w:p>
    <w:p w14:paraId="0B922377" w14:textId="785C9B1B" w:rsidR="005B4DDF" w:rsidRPr="007E7452" w:rsidRDefault="007E7452" w:rsidP="007E7452">
      <w:pPr>
        <w:pStyle w:val="Kop1"/>
        <w:spacing w:after="0"/>
        <w:rPr>
          <w:color w:val="auto"/>
          <w:sz w:val="22"/>
          <w:szCs w:val="22"/>
          <w:lang w:val="nl-BE"/>
        </w:rPr>
      </w:pPr>
      <w:r w:rsidRPr="007E7452">
        <w:rPr>
          <w:color w:val="auto"/>
          <w:sz w:val="22"/>
          <w:szCs w:val="22"/>
          <w:lang w:val="nl-BE"/>
        </w:rPr>
        <w:t xml:space="preserve">Bestedingsanalyse 2022 </w:t>
      </w:r>
      <w:r w:rsidRPr="007E7452">
        <w:rPr>
          <w:color w:val="auto"/>
          <w:sz w:val="22"/>
          <w:szCs w:val="22"/>
          <w:lang w:val="nl-BE"/>
        </w:rPr>
        <w:br/>
        <w:t>DOC/RC/2023/27.06/44</w:t>
      </w:r>
    </w:p>
    <w:p w14:paraId="3D8DAADC" w14:textId="7FDAC152" w:rsidR="00D61984" w:rsidRPr="006644F5" w:rsidRDefault="0013749E" w:rsidP="006644F5">
      <w:pPr>
        <w:spacing w:after="200" w:line="240" w:lineRule="auto"/>
      </w:pPr>
      <w:bookmarkStart w:id="0" w:name="_Hlk136419433"/>
      <w:bookmarkStart w:id="1" w:name="_Hlk138855658"/>
      <w:r w:rsidRPr="006644F5">
        <w:t>Het comité heeft akte genomen van de</w:t>
      </w:r>
      <w:bookmarkEnd w:id="0"/>
      <w:r w:rsidR="00631728" w:rsidRPr="006644F5">
        <w:t xml:space="preserve"> </w:t>
      </w:r>
      <w:r w:rsidR="006644F5" w:rsidRPr="006644F5">
        <w:t xml:space="preserve">nota </w:t>
      </w:r>
      <w:r w:rsidR="00631728" w:rsidRPr="006644F5">
        <w:t>bestedingsanalyse 2022</w:t>
      </w:r>
      <w:r w:rsidR="006644F5" w:rsidRPr="006644F5">
        <w:t xml:space="preserve"> en de daarin vervatte conclusies</w:t>
      </w:r>
      <w:r w:rsidRPr="006644F5">
        <w:t>.</w:t>
      </w:r>
    </w:p>
    <w:bookmarkEnd w:id="1"/>
    <w:p w14:paraId="3FEBF95B" w14:textId="6AA4CEB6" w:rsidR="00630AFD" w:rsidRPr="006644F5" w:rsidRDefault="00630AFD" w:rsidP="00630AFD">
      <w:pPr>
        <w:pStyle w:val="Kop1"/>
        <w:spacing w:after="0"/>
        <w:rPr>
          <w:color w:val="auto"/>
          <w:sz w:val="22"/>
          <w:szCs w:val="22"/>
          <w:lang w:val="nl-BE"/>
        </w:rPr>
      </w:pPr>
      <w:proofErr w:type="spellStart"/>
      <w:r w:rsidRPr="00630AFD">
        <w:rPr>
          <w:color w:val="auto"/>
          <w:sz w:val="22"/>
          <w:szCs w:val="22"/>
          <w:lang w:val="nl-BE"/>
        </w:rPr>
        <w:t>Meerjarenanalyse</w:t>
      </w:r>
      <w:proofErr w:type="spellEnd"/>
      <w:r w:rsidRPr="00630AFD">
        <w:rPr>
          <w:color w:val="auto"/>
          <w:sz w:val="22"/>
          <w:szCs w:val="22"/>
          <w:lang w:val="nl-BE"/>
        </w:rPr>
        <w:t xml:space="preserve">: stand van zaken </w:t>
      </w:r>
      <w:r>
        <w:rPr>
          <w:color w:val="auto"/>
          <w:sz w:val="22"/>
          <w:szCs w:val="22"/>
          <w:lang w:val="nl-BE"/>
        </w:rPr>
        <w:br/>
      </w:r>
      <w:r w:rsidRPr="006644F5">
        <w:rPr>
          <w:color w:val="auto"/>
          <w:sz w:val="22"/>
          <w:szCs w:val="22"/>
          <w:lang w:val="nl-BE"/>
        </w:rPr>
        <w:t>DOC/BUR/2023/27.06/45</w:t>
      </w:r>
    </w:p>
    <w:p w14:paraId="2E9A59F2" w14:textId="6BE29993" w:rsidR="00631728" w:rsidRPr="006644F5" w:rsidRDefault="00631728" w:rsidP="00631728">
      <w:pPr>
        <w:spacing w:after="200" w:line="276" w:lineRule="auto"/>
        <w:jc w:val="both"/>
      </w:pPr>
      <w:r w:rsidRPr="006644F5">
        <w:t>Het comité heeft akte genomen van</w:t>
      </w:r>
      <w:r w:rsidR="006644F5" w:rsidRPr="006644F5">
        <w:t xml:space="preserve"> de voortgang van het traject </w:t>
      </w:r>
      <w:proofErr w:type="spellStart"/>
      <w:r w:rsidR="006644F5" w:rsidRPr="006644F5">
        <w:t>meerjarenanalyse</w:t>
      </w:r>
      <w:proofErr w:type="spellEnd"/>
      <w:r w:rsidR="006644F5" w:rsidRPr="006644F5">
        <w:t>.</w:t>
      </w:r>
    </w:p>
    <w:p w14:paraId="390A3F7D" w14:textId="1C35ABC7" w:rsidR="00880A09" w:rsidRPr="009E17BA" w:rsidRDefault="009E17BA" w:rsidP="009E17BA">
      <w:pPr>
        <w:pStyle w:val="Kop1"/>
        <w:spacing w:after="0"/>
        <w:rPr>
          <w:color w:val="auto"/>
          <w:sz w:val="22"/>
          <w:szCs w:val="22"/>
          <w:lang w:val="nl-BE"/>
        </w:rPr>
      </w:pPr>
      <w:r w:rsidRPr="009E17BA">
        <w:rPr>
          <w:color w:val="auto"/>
          <w:sz w:val="22"/>
          <w:szCs w:val="22"/>
          <w:lang w:val="nl-BE"/>
        </w:rPr>
        <w:t>Stand van zaken transitie MPIGO/IPO/…</w:t>
      </w:r>
      <w:r w:rsidRPr="009E17BA">
        <w:rPr>
          <w:color w:val="auto"/>
          <w:sz w:val="22"/>
          <w:szCs w:val="22"/>
          <w:lang w:val="nl-BE"/>
        </w:rPr>
        <w:br/>
        <w:t>DOC/BUR/2023/27.06/46</w:t>
      </w:r>
    </w:p>
    <w:p w14:paraId="6D3E8F49" w14:textId="35DFF93B" w:rsidR="00880A09" w:rsidRPr="00D0439B" w:rsidRDefault="003B6987" w:rsidP="00880A09">
      <w:r w:rsidRPr="00D0439B">
        <w:t>Het comité</w:t>
      </w:r>
      <w:r w:rsidR="006A4C75" w:rsidRPr="00D0439B">
        <w:t xml:space="preserve"> heeft akte genomen van de stand van zaken en het vervolgtraject van het </w:t>
      </w:r>
      <w:proofErr w:type="spellStart"/>
      <w:r w:rsidR="006A4C75" w:rsidRPr="00D0439B">
        <w:t>inkantelingsproces</w:t>
      </w:r>
      <w:proofErr w:type="spellEnd"/>
      <w:r w:rsidRPr="00D0439B">
        <w:t>.</w:t>
      </w:r>
      <w:r w:rsidR="006A4C75" w:rsidRPr="00D0439B">
        <w:t xml:space="preserve"> Het </w:t>
      </w:r>
      <w:r w:rsidR="00D0439B" w:rsidRPr="00D0439B">
        <w:t xml:space="preserve">dringt aan op </w:t>
      </w:r>
      <w:r w:rsidR="006A4C75" w:rsidRPr="00D0439B">
        <w:t xml:space="preserve">tijdige communicatie aan alle stakeholders </w:t>
      </w:r>
      <w:proofErr w:type="spellStart"/>
      <w:r w:rsidR="006A4C75" w:rsidRPr="00D0439B">
        <w:t>terzake</w:t>
      </w:r>
      <w:proofErr w:type="spellEnd"/>
      <w:r w:rsidR="006A4C75" w:rsidRPr="00D0439B">
        <w:t>.</w:t>
      </w:r>
    </w:p>
    <w:p w14:paraId="4B67A8C3" w14:textId="6F6725B2" w:rsidR="0016374C" w:rsidRDefault="0016374C" w:rsidP="0016374C">
      <w:pPr>
        <w:pStyle w:val="Kop1"/>
        <w:spacing w:after="0"/>
        <w:rPr>
          <w:sz w:val="22"/>
          <w:szCs w:val="22"/>
        </w:rPr>
      </w:pPr>
      <w:r w:rsidRPr="0016374C">
        <w:rPr>
          <w:sz w:val="22"/>
          <w:szCs w:val="22"/>
        </w:rPr>
        <w:lastRenderedPageBreak/>
        <w:t>Voordrachten vervanging/aanstelling in de permanente werkgroepen</w:t>
      </w:r>
      <w:r w:rsidR="00CE1BB6">
        <w:rPr>
          <w:sz w:val="22"/>
          <w:szCs w:val="22"/>
        </w:rPr>
        <w:t xml:space="preserve"> </w:t>
      </w:r>
      <w:r w:rsidRPr="0016374C">
        <w:rPr>
          <w:sz w:val="22"/>
          <w:szCs w:val="22"/>
        </w:rPr>
        <w:br/>
        <w:t>DOC/RC/2023/30.05/47</w:t>
      </w:r>
    </w:p>
    <w:p w14:paraId="5B5B989C" w14:textId="77777777" w:rsidR="00AD458B" w:rsidRPr="00113B47" w:rsidRDefault="00AD458B" w:rsidP="00AD458B">
      <w:pPr>
        <w:spacing w:after="0"/>
        <w:rPr>
          <w:lang w:val="nl-NL"/>
        </w:rPr>
      </w:pPr>
      <w:r w:rsidRPr="00113B47">
        <w:rPr>
          <w:lang w:val="nl-NL"/>
        </w:rPr>
        <w:t>Conform art. 25§1 van zijn huishoudelijk reglement adviseert het Raadgevend Comité de leidend ambtenaar om met ingang van 1 juli 2023:</w:t>
      </w:r>
    </w:p>
    <w:p w14:paraId="63FA8CCF" w14:textId="77777777" w:rsidR="00AD458B" w:rsidRPr="00113B47" w:rsidRDefault="00AD458B" w:rsidP="00AD458B">
      <w:pPr>
        <w:numPr>
          <w:ilvl w:val="0"/>
          <w:numId w:val="14"/>
        </w:numPr>
        <w:spacing w:after="0"/>
        <w:contextualSpacing/>
      </w:pPr>
      <w:r w:rsidRPr="00113B47">
        <w:rPr>
          <w:lang w:val="nl-NL"/>
        </w:rPr>
        <w:t xml:space="preserve">mevrouw </w:t>
      </w:r>
      <w:proofErr w:type="spellStart"/>
      <w:r w:rsidRPr="00113B47">
        <w:rPr>
          <w:lang w:val="nl-NL"/>
        </w:rPr>
        <w:t>Sanny</w:t>
      </w:r>
      <w:proofErr w:type="spellEnd"/>
      <w:r w:rsidRPr="00113B47">
        <w:rPr>
          <w:lang w:val="nl-NL"/>
        </w:rPr>
        <w:t xml:space="preserve"> Zwerts </w:t>
      </w:r>
      <w:bookmarkStart w:id="2" w:name="_Hlk138325650"/>
      <w:r w:rsidRPr="00113B47">
        <w:rPr>
          <w:lang w:val="nl-NL"/>
        </w:rPr>
        <w:t xml:space="preserve">ter vervanging van mevrouw Meike Cuypers aan te stellen als effectief lid </w:t>
      </w:r>
      <w:r w:rsidRPr="00113B47">
        <w:t>binnen de aanbiedersgeleding</w:t>
      </w:r>
      <w:r w:rsidRPr="00113B47">
        <w:rPr>
          <w:lang w:val="nl-NL"/>
        </w:rPr>
        <w:t xml:space="preserve"> </w:t>
      </w:r>
      <w:bookmarkStart w:id="3" w:name="_Hlk131588327"/>
      <w:r w:rsidRPr="00113B47">
        <w:rPr>
          <w:lang w:val="nl-NL"/>
        </w:rPr>
        <w:t>in de permanente werkgroep Hulpmiddelen</w:t>
      </w:r>
      <w:bookmarkEnd w:id="2"/>
      <w:bookmarkEnd w:id="3"/>
      <w:r w:rsidRPr="00113B47">
        <w:t xml:space="preserve">; </w:t>
      </w:r>
    </w:p>
    <w:p w14:paraId="1DF8CFDF" w14:textId="77777777" w:rsidR="00AD458B" w:rsidRPr="00113B47" w:rsidRDefault="00AD458B" w:rsidP="00AD458B">
      <w:pPr>
        <w:numPr>
          <w:ilvl w:val="0"/>
          <w:numId w:val="14"/>
        </w:numPr>
        <w:spacing w:after="0"/>
        <w:contextualSpacing/>
        <w:rPr>
          <w:lang w:val="nl-NL"/>
        </w:rPr>
      </w:pPr>
      <w:r w:rsidRPr="00113B47">
        <w:rPr>
          <w:lang w:val="nl-NL"/>
        </w:rPr>
        <w:t xml:space="preserve">mevrouw Nadine Dethier als plaatsvervanger namens SOM aan te stellen binnen de aanbiedersgeleding van de permanente werkgroep </w:t>
      </w:r>
      <w:bookmarkStart w:id="4" w:name="_Hlk138325686"/>
      <w:r w:rsidRPr="00113B47">
        <w:rPr>
          <w:lang w:val="nl-NL"/>
        </w:rPr>
        <w:t>Financiering &amp; Besteding.</w:t>
      </w:r>
      <w:bookmarkEnd w:id="4"/>
    </w:p>
    <w:p w14:paraId="6D4B5C5A" w14:textId="77777777" w:rsidR="00AD458B" w:rsidRPr="00113B47" w:rsidRDefault="00AD458B" w:rsidP="00AD458B">
      <w:pPr>
        <w:numPr>
          <w:ilvl w:val="0"/>
          <w:numId w:val="14"/>
        </w:numPr>
        <w:spacing w:after="0"/>
        <w:contextualSpacing/>
        <w:rPr>
          <w:lang w:val="nl-NL"/>
        </w:rPr>
      </w:pPr>
      <w:r w:rsidRPr="00113B47">
        <w:rPr>
          <w:lang w:val="nl-NL"/>
        </w:rPr>
        <w:t xml:space="preserve">de heer Evert Persoon ter vervanging van de heer Johan Van </w:t>
      </w:r>
      <w:proofErr w:type="spellStart"/>
      <w:r w:rsidRPr="00113B47">
        <w:rPr>
          <w:lang w:val="nl-NL"/>
        </w:rPr>
        <w:t>Eeghem</w:t>
      </w:r>
      <w:proofErr w:type="spellEnd"/>
      <w:r w:rsidRPr="00113B47">
        <w:rPr>
          <w:lang w:val="nl-NL"/>
        </w:rPr>
        <w:t xml:space="preserve"> aan te stellen als effectief lid </w:t>
      </w:r>
      <w:r w:rsidRPr="00113B47">
        <w:t>binnen de werknemersgeleding</w:t>
      </w:r>
      <w:r w:rsidRPr="00113B47">
        <w:rPr>
          <w:lang w:val="nl-NL"/>
        </w:rPr>
        <w:t xml:space="preserve"> in de permanente werkgroep Financiering &amp; Besteding.</w:t>
      </w:r>
    </w:p>
    <w:p w14:paraId="7F22C754" w14:textId="77777777" w:rsidR="00AD458B" w:rsidRPr="00113B47" w:rsidRDefault="00AD458B" w:rsidP="00AD458B">
      <w:pPr>
        <w:numPr>
          <w:ilvl w:val="0"/>
          <w:numId w:val="14"/>
        </w:numPr>
        <w:contextualSpacing/>
        <w:rPr>
          <w:lang w:val="nl-NL"/>
        </w:rPr>
      </w:pPr>
      <w:r w:rsidRPr="00113B47">
        <w:rPr>
          <w:lang w:val="nl-NL"/>
        </w:rPr>
        <w:t xml:space="preserve">Mevrouw Marianne </w:t>
      </w:r>
      <w:proofErr w:type="spellStart"/>
      <w:r w:rsidRPr="00113B47">
        <w:rPr>
          <w:lang w:val="nl-NL"/>
        </w:rPr>
        <w:t>Gauquie</w:t>
      </w:r>
      <w:proofErr w:type="spellEnd"/>
      <w:r w:rsidRPr="00113B47">
        <w:rPr>
          <w:lang w:val="nl-NL"/>
        </w:rPr>
        <w:t xml:space="preserve"> als plaatsvervangend lid ter vervanging van mevrouw Hanneleen Van Steen aan te stellen binnen de </w:t>
      </w:r>
      <w:proofErr w:type="spellStart"/>
      <w:r w:rsidRPr="00113B47">
        <w:rPr>
          <w:lang w:val="nl-NL"/>
        </w:rPr>
        <w:t>verwijzersgeleding</w:t>
      </w:r>
      <w:proofErr w:type="spellEnd"/>
      <w:r w:rsidRPr="00113B47">
        <w:rPr>
          <w:lang w:val="nl-NL"/>
        </w:rPr>
        <w:t xml:space="preserve"> in de permanente werkgroep Hulpmiddelen.</w:t>
      </w:r>
    </w:p>
    <w:p w14:paraId="0B913C70" w14:textId="09ECCA85" w:rsidR="0016374C" w:rsidRPr="0016374C" w:rsidRDefault="0016374C" w:rsidP="0016374C">
      <w:pPr>
        <w:pStyle w:val="Kop1"/>
        <w:spacing w:after="0"/>
        <w:rPr>
          <w:sz w:val="22"/>
          <w:szCs w:val="22"/>
        </w:rPr>
      </w:pPr>
      <w:r w:rsidRPr="0016374C">
        <w:rPr>
          <w:sz w:val="22"/>
          <w:szCs w:val="22"/>
        </w:rPr>
        <w:t xml:space="preserve">Bijsturing adviesstelsel </w:t>
      </w:r>
      <w:r>
        <w:rPr>
          <w:sz w:val="22"/>
          <w:szCs w:val="22"/>
        </w:rPr>
        <w:br/>
      </w:r>
      <w:r w:rsidRPr="0016374C">
        <w:rPr>
          <w:sz w:val="22"/>
          <w:szCs w:val="22"/>
        </w:rPr>
        <w:t>DOC/RC/2023/30.05/48</w:t>
      </w:r>
    </w:p>
    <w:p w14:paraId="5DC8532D" w14:textId="2B5E2B85" w:rsidR="0016374C" w:rsidRPr="00AD12DC" w:rsidRDefault="0016374C" w:rsidP="0016374C">
      <w:r w:rsidRPr="00AD12DC">
        <w:t>Het comité</w:t>
      </w:r>
      <w:r w:rsidR="00D0439B" w:rsidRPr="00AD12DC">
        <w:t xml:space="preserve"> gaat akkoord met het voorstel van de voorzitter om de inhoudelijke en organisatorische werking van het adviesstelsel te herbekijken</w:t>
      </w:r>
      <w:r w:rsidRPr="00AD12DC">
        <w:t>.</w:t>
      </w:r>
      <w:r w:rsidR="00AD12DC" w:rsidRPr="00AD12DC">
        <w:t xml:space="preserve"> Hiertoe wordt een extra zitting van het comité belegd op 10 oktober 2023 van 13.30 tot 16.30 uur.</w:t>
      </w:r>
    </w:p>
    <w:p w14:paraId="0743B5A2" w14:textId="57D2C483" w:rsidR="0016374C" w:rsidRPr="0016374C" w:rsidRDefault="0016374C" w:rsidP="0016374C">
      <w:pPr>
        <w:pStyle w:val="Kop1"/>
        <w:spacing w:after="0"/>
        <w:rPr>
          <w:color w:val="auto"/>
          <w:sz w:val="22"/>
          <w:szCs w:val="22"/>
          <w:lang w:val="nl-BE"/>
        </w:rPr>
      </w:pPr>
      <w:r w:rsidRPr="0016374C">
        <w:rPr>
          <w:color w:val="auto"/>
          <w:sz w:val="22"/>
          <w:szCs w:val="22"/>
          <w:lang w:val="nl-BE"/>
        </w:rPr>
        <w:t xml:space="preserve">Voorstel benoeming nieuwe HOC-leden </w:t>
      </w:r>
      <w:r>
        <w:rPr>
          <w:color w:val="auto"/>
          <w:sz w:val="22"/>
          <w:szCs w:val="22"/>
          <w:lang w:val="nl-BE"/>
        </w:rPr>
        <w:br/>
      </w:r>
      <w:r w:rsidRPr="0016374C">
        <w:rPr>
          <w:color w:val="auto"/>
          <w:sz w:val="22"/>
          <w:szCs w:val="22"/>
          <w:lang w:val="nl-BE"/>
        </w:rPr>
        <w:t>DOC/RC/2023/30.05/49</w:t>
      </w:r>
    </w:p>
    <w:p w14:paraId="3CF573A7" w14:textId="77777777" w:rsidR="00233898" w:rsidRPr="002E5D91" w:rsidRDefault="00233898" w:rsidP="00233898">
      <w:pPr>
        <w:spacing w:after="0" w:line="240" w:lineRule="auto"/>
      </w:pPr>
      <w:r w:rsidRPr="00233898">
        <w:t xml:space="preserve">Het comité verleent </w:t>
      </w:r>
      <w:r w:rsidRPr="002E5D91">
        <w:t>een positief advies met betrekking tot de benoeming van onderstaand</w:t>
      </w:r>
      <w:r w:rsidRPr="00233898">
        <w:t>e</w:t>
      </w:r>
      <w:r w:rsidRPr="002E5D91">
        <w:t xml:space="preserve"> kandidaat-leden  als effectieve commissieleden van de Heroverwegingscommissie:</w:t>
      </w:r>
    </w:p>
    <w:p w14:paraId="2F629706" w14:textId="77777777" w:rsidR="00233898" w:rsidRPr="002E5D91" w:rsidRDefault="00233898" w:rsidP="00233898">
      <w:pPr>
        <w:spacing w:after="0" w:line="240" w:lineRule="auto"/>
        <w:rPr>
          <w:b/>
        </w:rPr>
      </w:pPr>
    </w:p>
    <w:tbl>
      <w:tblPr>
        <w:tblW w:w="6237"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402"/>
      </w:tblGrid>
      <w:tr w:rsidR="00233898" w:rsidRPr="002E5D91" w14:paraId="2889249B" w14:textId="77777777" w:rsidTr="00D8441B">
        <w:tc>
          <w:tcPr>
            <w:tcW w:w="2835" w:type="dxa"/>
            <w:shd w:val="clear" w:color="auto" w:fill="D9D9D9"/>
            <w:tcMar>
              <w:top w:w="56" w:type="dxa"/>
              <w:left w:w="56" w:type="dxa"/>
              <w:bottom w:w="56" w:type="dxa"/>
              <w:right w:w="56" w:type="dxa"/>
            </w:tcMar>
          </w:tcPr>
          <w:p w14:paraId="74489459" w14:textId="77777777" w:rsidR="00233898" w:rsidRPr="002E5D91" w:rsidRDefault="00233898" w:rsidP="00D8441B">
            <w:pPr>
              <w:spacing w:after="0"/>
              <w:rPr>
                <w:b/>
                <w:lang w:val="en"/>
              </w:rPr>
            </w:pPr>
            <w:r w:rsidRPr="002E5D91">
              <w:rPr>
                <w:b/>
                <w:lang w:val="en"/>
              </w:rPr>
              <w:t>Naam</w:t>
            </w:r>
          </w:p>
        </w:tc>
        <w:tc>
          <w:tcPr>
            <w:tcW w:w="3402" w:type="dxa"/>
            <w:shd w:val="clear" w:color="auto" w:fill="D9D9D9"/>
            <w:tcMar>
              <w:top w:w="56" w:type="dxa"/>
              <w:left w:w="56" w:type="dxa"/>
              <w:bottom w:w="56" w:type="dxa"/>
              <w:right w:w="56" w:type="dxa"/>
            </w:tcMar>
          </w:tcPr>
          <w:p w14:paraId="1F700C00" w14:textId="77777777" w:rsidR="00233898" w:rsidRPr="002E5D91" w:rsidRDefault="00233898" w:rsidP="00D8441B">
            <w:pPr>
              <w:spacing w:after="0"/>
              <w:rPr>
                <w:b/>
                <w:lang w:val="en"/>
              </w:rPr>
            </w:pPr>
            <w:r w:rsidRPr="002E5D91">
              <w:rPr>
                <w:b/>
                <w:lang w:val="en"/>
              </w:rPr>
              <w:t>Discipline</w:t>
            </w:r>
          </w:p>
        </w:tc>
      </w:tr>
      <w:tr w:rsidR="00233898" w:rsidRPr="002E5D91" w14:paraId="5090322A" w14:textId="77777777" w:rsidTr="00D8441B">
        <w:tc>
          <w:tcPr>
            <w:tcW w:w="2835" w:type="dxa"/>
            <w:shd w:val="clear" w:color="auto" w:fill="auto"/>
            <w:tcMar>
              <w:top w:w="56" w:type="dxa"/>
              <w:left w:w="56" w:type="dxa"/>
              <w:bottom w:w="56" w:type="dxa"/>
              <w:right w:w="56" w:type="dxa"/>
            </w:tcMar>
          </w:tcPr>
          <w:p w14:paraId="304E2886" w14:textId="77777777" w:rsidR="00233898" w:rsidRPr="002E5D91" w:rsidRDefault="00233898" w:rsidP="00D8441B">
            <w:pPr>
              <w:spacing w:after="0"/>
              <w:rPr>
                <w:lang w:val="en"/>
              </w:rPr>
            </w:pPr>
            <w:r w:rsidRPr="002E5D91">
              <w:rPr>
                <w:lang w:val="en"/>
              </w:rPr>
              <w:t xml:space="preserve">Annelies </w:t>
            </w:r>
            <w:proofErr w:type="spellStart"/>
            <w:r w:rsidRPr="002E5D91">
              <w:rPr>
                <w:lang w:val="en"/>
              </w:rPr>
              <w:t>Messeyne</w:t>
            </w:r>
            <w:proofErr w:type="spellEnd"/>
          </w:p>
        </w:tc>
        <w:tc>
          <w:tcPr>
            <w:tcW w:w="3402" w:type="dxa"/>
            <w:shd w:val="clear" w:color="auto" w:fill="auto"/>
            <w:tcMar>
              <w:top w:w="56" w:type="dxa"/>
              <w:left w:w="56" w:type="dxa"/>
              <w:bottom w:w="56" w:type="dxa"/>
              <w:right w:w="56" w:type="dxa"/>
            </w:tcMar>
          </w:tcPr>
          <w:p w14:paraId="41756AD5" w14:textId="77777777" w:rsidR="00233898" w:rsidRPr="002E5D91" w:rsidRDefault="00233898" w:rsidP="00D8441B">
            <w:pPr>
              <w:spacing w:after="0"/>
              <w:rPr>
                <w:lang w:val="en"/>
              </w:rPr>
            </w:pPr>
            <w:proofErr w:type="spellStart"/>
            <w:r w:rsidRPr="002E5D91">
              <w:rPr>
                <w:lang w:val="en"/>
              </w:rPr>
              <w:t>Maatschappelijk</w:t>
            </w:r>
            <w:proofErr w:type="spellEnd"/>
            <w:r w:rsidRPr="002E5D91">
              <w:rPr>
                <w:lang w:val="en"/>
              </w:rPr>
              <w:t xml:space="preserve"> </w:t>
            </w:r>
            <w:proofErr w:type="spellStart"/>
            <w:r w:rsidRPr="002E5D91">
              <w:rPr>
                <w:lang w:val="en"/>
              </w:rPr>
              <w:t>assistent</w:t>
            </w:r>
            <w:proofErr w:type="spellEnd"/>
          </w:p>
        </w:tc>
      </w:tr>
      <w:tr w:rsidR="00233898" w:rsidRPr="002E5D91" w14:paraId="550656B7" w14:textId="77777777" w:rsidTr="00D8441B">
        <w:tc>
          <w:tcPr>
            <w:tcW w:w="2835" w:type="dxa"/>
            <w:shd w:val="clear" w:color="auto" w:fill="auto"/>
            <w:tcMar>
              <w:top w:w="56" w:type="dxa"/>
              <w:left w:w="56" w:type="dxa"/>
              <w:bottom w:w="56" w:type="dxa"/>
              <w:right w:w="56" w:type="dxa"/>
            </w:tcMar>
          </w:tcPr>
          <w:p w14:paraId="46E1455B" w14:textId="77777777" w:rsidR="00233898" w:rsidRPr="002E5D91" w:rsidRDefault="00233898" w:rsidP="00D8441B">
            <w:pPr>
              <w:spacing w:after="0"/>
              <w:rPr>
                <w:lang w:val="en"/>
              </w:rPr>
            </w:pPr>
            <w:r w:rsidRPr="002E5D91">
              <w:rPr>
                <w:lang w:val="en"/>
              </w:rPr>
              <w:t>Hannelore Callewaert</w:t>
            </w:r>
          </w:p>
        </w:tc>
        <w:tc>
          <w:tcPr>
            <w:tcW w:w="3402" w:type="dxa"/>
            <w:shd w:val="clear" w:color="auto" w:fill="auto"/>
            <w:tcMar>
              <w:top w:w="56" w:type="dxa"/>
              <w:left w:w="56" w:type="dxa"/>
              <w:bottom w:w="56" w:type="dxa"/>
              <w:right w:w="56" w:type="dxa"/>
            </w:tcMar>
          </w:tcPr>
          <w:p w14:paraId="4B2E9491" w14:textId="77777777" w:rsidR="00233898" w:rsidRPr="002E5D91" w:rsidRDefault="00233898" w:rsidP="00D8441B">
            <w:pPr>
              <w:spacing w:after="0"/>
              <w:rPr>
                <w:lang w:val="en"/>
              </w:rPr>
            </w:pPr>
            <w:proofErr w:type="spellStart"/>
            <w:r w:rsidRPr="002E5D91">
              <w:rPr>
                <w:lang w:val="en"/>
              </w:rPr>
              <w:t>Maatschappelijk</w:t>
            </w:r>
            <w:proofErr w:type="spellEnd"/>
            <w:r w:rsidRPr="002E5D91">
              <w:rPr>
                <w:lang w:val="en"/>
              </w:rPr>
              <w:t xml:space="preserve"> </w:t>
            </w:r>
            <w:proofErr w:type="spellStart"/>
            <w:r w:rsidRPr="002E5D91">
              <w:rPr>
                <w:lang w:val="en"/>
              </w:rPr>
              <w:t>assistent</w:t>
            </w:r>
            <w:proofErr w:type="spellEnd"/>
          </w:p>
        </w:tc>
      </w:tr>
      <w:tr w:rsidR="00233898" w:rsidRPr="002E5D91" w14:paraId="4A189163" w14:textId="77777777" w:rsidTr="00D8441B">
        <w:tc>
          <w:tcPr>
            <w:tcW w:w="2835" w:type="dxa"/>
            <w:shd w:val="clear" w:color="auto" w:fill="auto"/>
            <w:tcMar>
              <w:top w:w="56" w:type="dxa"/>
              <w:left w:w="56" w:type="dxa"/>
              <w:bottom w:w="56" w:type="dxa"/>
              <w:right w:w="56" w:type="dxa"/>
            </w:tcMar>
          </w:tcPr>
          <w:p w14:paraId="6F3994BA" w14:textId="77777777" w:rsidR="00233898" w:rsidRPr="002E5D91" w:rsidRDefault="00233898" w:rsidP="00D8441B">
            <w:pPr>
              <w:spacing w:after="0"/>
              <w:rPr>
                <w:lang w:val="en"/>
              </w:rPr>
            </w:pPr>
            <w:r w:rsidRPr="002E5D91">
              <w:rPr>
                <w:lang w:val="en"/>
              </w:rPr>
              <w:t xml:space="preserve">Jonas </w:t>
            </w:r>
            <w:proofErr w:type="spellStart"/>
            <w:r w:rsidRPr="002E5D91">
              <w:rPr>
                <w:lang w:val="en"/>
              </w:rPr>
              <w:t>Caesstecker</w:t>
            </w:r>
            <w:proofErr w:type="spellEnd"/>
          </w:p>
        </w:tc>
        <w:tc>
          <w:tcPr>
            <w:tcW w:w="3402" w:type="dxa"/>
            <w:shd w:val="clear" w:color="auto" w:fill="auto"/>
            <w:tcMar>
              <w:top w:w="56" w:type="dxa"/>
              <w:left w:w="56" w:type="dxa"/>
              <w:bottom w:w="56" w:type="dxa"/>
              <w:right w:w="56" w:type="dxa"/>
            </w:tcMar>
          </w:tcPr>
          <w:p w14:paraId="0F0B9324" w14:textId="77777777" w:rsidR="00233898" w:rsidRPr="002E5D91" w:rsidRDefault="00233898" w:rsidP="00D8441B">
            <w:pPr>
              <w:spacing w:after="0"/>
              <w:rPr>
                <w:lang w:val="en"/>
              </w:rPr>
            </w:pPr>
            <w:proofErr w:type="spellStart"/>
            <w:r w:rsidRPr="002E5D91">
              <w:rPr>
                <w:lang w:val="en"/>
              </w:rPr>
              <w:t>Ambtenaar</w:t>
            </w:r>
            <w:proofErr w:type="spellEnd"/>
          </w:p>
        </w:tc>
      </w:tr>
      <w:tr w:rsidR="00233898" w:rsidRPr="002E5D91" w14:paraId="474B39A2" w14:textId="77777777" w:rsidTr="00D8441B">
        <w:tc>
          <w:tcPr>
            <w:tcW w:w="2835" w:type="dxa"/>
            <w:shd w:val="clear" w:color="auto" w:fill="auto"/>
            <w:tcMar>
              <w:top w:w="56" w:type="dxa"/>
              <w:left w:w="56" w:type="dxa"/>
              <w:bottom w:w="56" w:type="dxa"/>
              <w:right w:w="56" w:type="dxa"/>
            </w:tcMar>
          </w:tcPr>
          <w:p w14:paraId="2B8E5D7B" w14:textId="77777777" w:rsidR="00233898" w:rsidRPr="002E5D91" w:rsidRDefault="00233898" w:rsidP="00D8441B">
            <w:pPr>
              <w:spacing w:after="0"/>
              <w:rPr>
                <w:lang w:val="en"/>
              </w:rPr>
            </w:pPr>
            <w:r w:rsidRPr="002E5D91">
              <w:rPr>
                <w:lang w:val="en"/>
              </w:rPr>
              <w:t xml:space="preserve">Bert </w:t>
            </w:r>
            <w:proofErr w:type="spellStart"/>
            <w:r w:rsidRPr="002E5D91">
              <w:rPr>
                <w:lang w:val="en"/>
              </w:rPr>
              <w:t>Morrens</w:t>
            </w:r>
            <w:proofErr w:type="spellEnd"/>
          </w:p>
        </w:tc>
        <w:tc>
          <w:tcPr>
            <w:tcW w:w="3402" w:type="dxa"/>
            <w:shd w:val="clear" w:color="auto" w:fill="auto"/>
            <w:tcMar>
              <w:top w:w="56" w:type="dxa"/>
              <w:left w:w="56" w:type="dxa"/>
              <w:bottom w:w="56" w:type="dxa"/>
              <w:right w:w="56" w:type="dxa"/>
            </w:tcMar>
          </w:tcPr>
          <w:p w14:paraId="0FA4FB59" w14:textId="77777777" w:rsidR="00233898" w:rsidRPr="002E5D91" w:rsidRDefault="00233898" w:rsidP="00D8441B">
            <w:pPr>
              <w:spacing w:after="0"/>
              <w:rPr>
                <w:lang w:val="en"/>
              </w:rPr>
            </w:pPr>
            <w:proofErr w:type="spellStart"/>
            <w:r w:rsidRPr="002E5D91">
              <w:rPr>
                <w:lang w:val="en"/>
              </w:rPr>
              <w:t>Ambtenaar</w:t>
            </w:r>
            <w:proofErr w:type="spellEnd"/>
          </w:p>
        </w:tc>
      </w:tr>
    </w:tbl>
    <w:p w14:paraId="2BEECD73" w14:textId="77777777" w:rsidR="00233898" w:rsidRPr="00233898" w:rsidRDefault="00233898" w:rsidP="00233898">
      <w:pPr>
        <w:spacing w:after="0"/>
        <w:rPr>
          <w:lang w:val="en"/>
        </w:rPr>
      </w:pPr>
    </w:p>
    <w:p w14:paraId="034C8734" w14:textId="77777777" w:rsidR="00233898" w:rsidRPr="002E5D91" w:rsidRDefault="00233898" w:rsidP="00AD12DC">
      <w:pPr>
        <w:spacing w:after="0" w:line="240" w:lineRule="auto"/>
      </w:pPr>
      <w:r w:rsidRPr="00233898">
        <w:t xml:space="preserve">Het comité verleent </w:t>
      </w:r>
      <w:r w:rsidRPr="002E5D91">
        <w:t xml:space="preserve">een positief advies met betrekking tot de benoeming van onderstaand kandidaat-lid als plaatsvervangend lid van de Heroverwegingscommissie: </w:t>
      </w:r>
    </w:p>
    <w:p w14:paraId="29EB81E0" w14:textId="77777777" w:rsidR="00233898" w:rsidRPr="002E5D91" w:rsidRDefault="00233898" w:rsidP="00233898">
      <w:pPr>
        <w:spacing w:after="0" w:line="276" w:lineRule="auto"/>
      </w:pPr>
    </w:p>
    <w:tbl>
      <w:tblPr>
        <w:tblW w:w="6237"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402"/>
      </w:tblGrid>
      <w:tr w:rsidR="00233898" w:rsidRPr="00233898" w14:paraId="05357E76" w14:textId="77777777" w:rsidTr="00D8441B">
        <w:tc>
          <w:tcPr>
            <w:tcW w:w="2835" w:type="dxa"/>
            <w:shd w:val="clear" w:color="auto" w:fill="D9D9D9"/>
            <w:tcMar>
              <w:top w:w="56" w:type="dxa"/>
              <w:left w:w="56" w:type="dxa"/>
              <w:bottom w:w="56" w:type="dxa"/>
              <w:right w:w="56" w:type="dxa"/>
            </w:tcMar>
          </w:tcPr>
          <w:p w14:paraId="4AE239C1" w14:textId="77777777" w:rsidR="00233898" w:rsidRPr="002E5D91" w:rsidRDefault="00233898" w:rsidP="00233898">
            <w:pPr>
              <w:widowControl w:val="0"/>
              <w:spacing w:after="0"/>
              <w:rPr>
                <w:b/>
                <w:sz w:val="20"/>
                <w:szCs w:val="20"/>
                <w:lang w:val="en"/>
              </w:rPr>
            </w:pPr>
            <w:r w:rsidRPr="002E5D91">
              <w:rPr>
                <w:b/>
                <w:sz w:val="20"/>
                <w:szCs w:val="20"/>
                <w:lang w:val="en"/>
              </w:rPr>
              <w:t>Naam</w:t>
            </w:r>
          </w:p>
        </w:tc>
        <w:tc>
          <w:tcPr>
            <w:tcW w:w="3402" w:type="dxa"/>
            <w:shd w:val="clear" w:color="auto" w:fill="D9D9D9"/>
            <w:tcMar>
              <w:top w:w="56" w:type="dxa"/>
              <w:left w:w="56" w:type="dxa"/>
              <w:bottom w:w="56" w:type="dxa"/>
              <w:right w:w="56" w:type="dxa"/>
            </w:tcMar>
          </w:tcPr>
          <w:p w14:paraId="63CE879D" w14:textId="77777777" w:rsidR="00233898" w:rsidRPr="002E5D91" w:rsidRDefault="00233898" w:rsidP="00233898">
            <w:pPr>
              <w:widowControl w:val="0"/>
              <w:spacing w:after="0"/>
              <w:rPr>
                <w:b/>
                <w:sz w:val="20"/>
                <w:szCs w:val="20"/>
                <w:lang w:val="en"/>
              </w:rPr>
            </w:pPr>
            <w:r w:rsidRPr="002E5D91">
              <w:rPr>
                <w:b/>
                <w:sz w:val="20"/>
                <w:szCs w:val="20"/>
                <w:lang w:val="en"/>
              </w:rPr>
              <w:t>Discipline</w:t>
            </w:r>
          </w:p>
        </w:tc>
      </w:tr>
      <w:tr w:rsidR="00233898" w:rsidRPr="00233898" w14:paraId="480D0956" w14:textId="77777777" w:rsidTr="00D8441B">
        <w:tc>
          <w:tcPr>
            <w:tcW w:w="2835" w:type="dxa"/>
            <w:shd w:val="clear" w:color="auto" w:fill="auto"/>
            <w:tcMar>
              <w:top w:w="56" w:type="dxa"/>
              <w:left w:w="56" w:type="dxa"/>
              <w:bottom w:w="56" w:type="dxa"/>
              <w:right w:w="56" w:type="dxa"/>
            </w:tcMar>
          </w:tcPr>
          <w:p w14:paraId="704121F9" w14:textId="77777777" w:rsidR="00233898" w:rsidRPr="002E5D91" w:rsidRDefault="00233898" w:rsidP="00233898">
            <w:pPr>
              <w:widowControl w:val="0"/>
              <w:spacing w:after="0"/>
              <w:rPr>
                <w:lang w:val="en"/>
              </w:rPr>
            </w:pPr>
            <w:r w:rsidRPr="002E5D91">
              <w:rPr>
                <w:lang w:val="en"/>
              </w:rPr>
              <w:t xml:space="preserve">Leen </w:t>
            </w:r>
            <w:proofErr w:type="spellStart"/>
            <w:r w:rsidRPr="002E5D91">
              <w:rPr>
                <w:lang w:val="en"/>
              </w:rPr>
              <w:t>D’Hondt</w:t>
            </w:r>
            <w:proofErr w:type="spellEnd"/>
          </w:p>
        </w:tc>
        <w:tc>
          <w:tcPr>
            <w:tcW w:w="3402" w:type="dxa"/>
            <w:shd w:val="clear" w:color="auto" w:fill="auto"/>
            <w:tcMar>
              <w:top w:w="56" w:type="dxa"/>
              <w:left w:w="56" w:type="dxa"/>
              <w:bottom w:w="56" w:type="dxa"/>
              <w:right w:w="56" w:type="dxa"/>
            </w:tcMar>
          </w:tcPr>
          <w:p w14:paraId="0DC134A3" w14:textId="77777777" w:rsidR="00233898" w:rsidRPr="002E5D91" w:rsidRDefault="00233898" w:rsidP="00233898">
            <w:pPr>
              <w:widowControl w:val="0"/>
              <w:spacing w:after="0"/>
              <w:rPr>
                <w:lang w:val="en"/>
              </w:rPr>
            </w:pPr>
            <w:proofErr w:type="spellStart"/>
            <w:r w:rsidRPr="002E5D91">
              <w:rPr>
                <w:lang w:val="en"/>
              </w:rPr>
              <w:t>Ambtenaar</w:t>
            </w:r>
            <w:proofErr w:type="spellEnd"/>
          </w:p>
        </w:tc>
      </w:tr>
    </w:tbl>
    <w:p w14:paraId="692BD1EB" w14:textId="79C7CD4E" w:rsidR="00AD12DC" w:rsidRDefault="00AD12DC" w:rsidP="00233898">
      <w:r>
        <w:br w:type="page"/>
      </w:r>
    </w:p>
    <w:p w14:paraId="1341A66E" w14:textId="10D62B33" w:rsidR="00ED4D31" w:rsidRPr="00E32ADF" w:rsidRDefault="00B567C5" w:rsidP="00B567C5">
      <w:r>
        <w:lastRenderedPageBreak/>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3B0CF4E0" w14:textId="77777777" w:rsidR="00C32266" w:rsidRPr="00E32ADF" w:rsidRDefault="00C32266" w:rsidP="00C32266">
      <w:pPr>
        <w:spacing w:after="0"/>
      </w:pPr>
    </w:p>
    <w:p w14:paraId="7B1B0D90" w14:textId="1AA92738" w:rsidR="00650708" w:rsidRPr="00E32ADF" w:rsidRDefault="00571A5C" w:rsidP="001517DA">
      <w:pPr>
        <w:spacing w:after="0" w:line="240" w:lineRule="auto"/>
      </w:pPr>
      <w:r w:rsidRPr="00E32ADF">
        <w:t>Voor de</w:t>
      </w:r>
      <w:r w:rsidR="00497081" w:rsidRPr="00E32ADF">
        <w:t xml:space="preserve"> </w:t>
      </w:r>
      <w:r w:rsidR="00650708" w:rsidRPr="00E32ADF">
        <w:t>voorzitter, i.o.</w:t>
      </w:r>
    </w:p>
    <w:p w14:paraId="57E4457F" w14:textId="77777777" w:rsidR="00B62479" w:rsidRPr="00E32ADF" w:rsidRDefault="00B62479" w:rsidP="001517DA">
      <w:pPr>
        <w:spacing w:after="0" w:line="240" w:lineRule="auto"/>
      </w:pPr>
    </w:p>
    <w:p w14:paraId="6B4B0076" w14:textId="77777777" w:rsidR="00B62479" w:rsidRPr="00E32ADF" w:rsidRDefault="00B62479" w:rsidP="001517DA">
      <w:pPr>
        <w:spacing w:after="0" w:line="240" w:lineRule="auto"/>
      </w:pPr>
    </w:p>
    <w:p w14:paraId="375D9B37" w14:textId="77777777" w:rsidR="00B62479" w:rsidRPr="00E32ADF" w:rsidRDefault="00B62479" w:rsidP="001517DA">
      <w:pPr>
        <w:spacing w:after="0" w:line="240" w:lineRule="auto"/>
      </w:pPr>
    </w:p>
    <w:p w14:paraId="1D1859A2" w14:textId="77777777" w:rsidR="003F0902" w:rsidRPr="00E32ADF" w:rsidRDefault="003F0902" w:rsidP="001517DA">
      <w:pPr>
        <w:spacing w:after="0" w:line="240" w:lineRule="auto"/>
      </w:pPr>
    </w:p>
    <w:p w14:paraId="4A336EB9" w14:textId="77777777" w:rsidR="003F0902" w:rsidRPr="00E32ADF" w:rsidRDefault="003F0902" w:rsidP="001517DA">
      <w:pPr>
        <w:spacing w:after="0" w:line="240" w:lineRule="auto"/>
      </w:pPr>
    </w:p>
    <w:p w14:paraId="322B8500" w14:textId="77777777" w:rsidR="003F0902" w:rsidRPr="00E32ADF" w:rsidRDefault="003F0902" w:rsidP="001517DA">
      <w:pPr>
        <w:spacing w:after="0" w:line="240" w:lineRule="auto"/>
      </w:pPr>
    </w:p>
    <w:p w14:paraId="4A9A2A04" w14:textId="77777777" w:rsidR="005E1F49" w:rsidRPr="00E32ADF" w:rsidRDefault="00FB2772" w:rsidP="001517DA">
      <w:pPr>
        <w:spacing w:after="0" w:line="240" w:lineRule="auto"/>
      </w:pPr>
      <w:r w:rsidRPr="00E32ADF">
        <w:t>Gerrit Pearce</w:t>
      </w:r>
      <w:r w:rsidR="00ED4046" w:rsidRPr="00E32ADF">
        <w:t xml:space="preserve"> </w:t>
      </w:r>
      <w:r w:rsidR="005E1F49" w:rsidRPr="00E32ADF">
        <w:t>(Secretaris RC)</w:t>
      </w:r>
    </w:p>
    <w:p w14:paraId="174AAD34" w14:textId="77777777" w:rsidR="00461EAF" w:rsidRPr="00E32ADF" w:rsidRDefault="00461EAF" w:rsidP="001517DA">
      <w:pPr>
        <w:spacing w:after="0" w:line="240" w:lineRule="auto"/>
      </w:pPr>
    </w:p>
    <w:p w14:paraId="26E35DE3" w14:textId="77777777" w:rsidR="00EA695F" w:rsidRPr="00E32ADF" w:rsidRDefault="0090347A" w:rsidP="00EA695F">
      <w:r>
        <w:t xml:space="preserve">Koen </w:t>
      </w:r>
      <w:proofErr w:type="spellStart"/>
      <w:r>
        <w:t>Deweer</w:t>
      </w:r>
      <w:proofErr w:type="spellEnd"/>
      <w:r w:rsidR="00E614FA" w:rsidRPr="00E32ADF">
        <w:br/>
      </w:r>
      <w:r>
        <w:t>V</w:t>
      </w:r>
      <w:r w:rsidR="00EA695F" w:rsidRPr="00E32ADF">
        <w:t xml:space="preserve">oorzitter van het </w:t>
      </w:r>
      <w:r w:rsidR="006A5CF4" w:rsidRPr="00E32ADF">
        <w:t>Raadgevend Comité</w:t>
      </w:r>
    </w:p>
    <w:sectPr w:rsidR="00EA695F" w:rsidRPr="00E32ADF"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fldSimple w:instr=" NUMPAGES   \* MERGEFORMAT ">
      <w:r w:rsidR="00412FC0">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fldSimple w:instr=" NUMPAGES   \* MERGEFORMAT ">
      <w:r w:rsidR="00412FC0">
        <w:rPr>
          <w:noProof/>
        </w:rPr>
        <w:t>3</w:t>
      </w:r>
    </w:fldSimple>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54D5B28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0A16ACC"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5EF7D"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C4D1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8"/>
  </w:num>
  <w:num w:numId="5">
    <w:abstractNumId w:val="0"/>
  </w:num>
  <w:num w:numId="6">
    <w:abstractNumId w:val="2"/>
  </w:num>
  <w:num w:numId="7">
    <w:abstractNumId w:val="1"/>
  </w:num>
  <w:num w:numId="8">
    <w:abstractNumId w:val="13"/>
  </w:num>
  <w:num w:numId="9">
    <w:abstractNumId w:val="4"/>
  </w:num>
  <w:num w:numId="10">
    <w:abstractNumId w:val="3"/>
  </w:num>
  <w:num w:numId="11">
    <w:abstractNumId w:val="11"/>
  </w:num>
  <w:num w:numId="12">
    <w:abstractNumId w:val="9"/>
  </w:num>
  <w:num w:numId="13">
    <w:abstractNumId w:val="7"/>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51378"/>
    <w:rsid w:val="00051743"/>
    <w:rsid w:val="000525B9"/>
    <w:rsid w:val="00052FB2"/>
    <w:rsid w:val="000537C8"/>
    <w:rsid w:val="00054D77"/>
    <w:rsid w:val="00055728"/>
    <w:rsid w:val="00057040"/>
    <w:rsid w:val="000578F4"/>
    <w:rsid w:val="00060F9C"/>
    <w:rsid w:val="000615C6"/>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694"/>
    <w:rsid w:val="00090904"/>
    <w:rsid w:val="000917EA"/>
    <w:rsid w:val="00093B7C"/>
    <w:rsid w:val="000A22A3"/>
    <w:rsid w:val="000A2D11"/>
    <w:rsid w:val="000A2EBD"/>
    <w:rsid w:val="000A3280"/>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FB"/>
    <w:rsid w:val="000C78FA"/>
    <w:rsid w:val="000D0F55"/>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466C"/>
    <w:rsid w:val="000F5405"/>
    <w:rsid w:val="000F5E57"/>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0AFE"/>
    <w:rsid w:val="0016374C"/>
    <w:rsid w:val="00163A0A"/>
    <w:rsid w:val="0016548A"/>
    <w:rsid w:val="00166BD1"/>
    <w:rsid w:val="00170705"/>
    <w:rsid w:val="00170ABA"/>
    <w:rsid w:val="001710BF"/>
    <w:rsid w:val="00171C9D"/>
    <w:rsid w:val="00173B33"/>
    <w:rsid w:val="00173FD0"/>
    <w:rsid w:val="00174964"/>
    <w:rsid w:val="00180BA8"/>
    <w:rsid w:val="00181436"/>
    <w:rsid w:val="001827D8"/>
    <w:rsid w:val="0018349B"/>
    <w:rsid w:val="001836DA"/>
    <w:rsid w:val="00184D8F"/>
    <w:rsid w:val="00184EF6"/>
    <w:rsid w:val="00185DC5"/>
    <w:rsid w:val="00186047"/>
    <w:rsid w:val="00186112"/>
    <w:rsid w:val="00187D99"/>
    <w:rsid w:val="00190796"/>
    <w:rsid w:val="0019090B"/>
    <w:rsid w:val="001918CE"/>
    <w:rsid w:val="001953CB"/>
    <w:rsid w:val="001A39A7"/>
    <w:rsid w:val="001A5400"/>
    <w:rsid w:val="001A5CAF"/>
    <w:rsid w:val="001A62BE"/>
    <w:rsid w:val="001A638E"/>
    <w:rsid w:val="001B0BB0"/>
    <w:rsid w:val="001B342B"/>
    <w:rsid w:val="001B3718"/>
    <w:rsid w:val="001B3CFC"/>
    <w:rsid w:val="001B5228"/>
    <w:rsid w:val="001B68FE"/>
    <w:rsid w:val="001B747D"/>
    <w:rsid w:val="001B7814"/>
    <w:rsid w:val="001C00ED"/>
    <w:rsid w:val="001C03C6"/>
    <w:rsid w:val="001C21EC"/>
    <w:rsid w:val="001C2940"/>
    <w:rsid w:val="001C4E72"/>
    <w:rsid w:val="001C6CBA"/>
    <w:rsid w:val="001D0B6D"/>
    <w:rsid w:val="001D0CB9"/>
    <w:rsid w:val="001D3F45"/>
    <w:rsid w:val="001D4D94"/>
    <w:rsid w:val="001D5C5F"/>
    <w:rsid w:val="001E00E7"/>
    <w:rsid w:val="001E0ED5"/>
    <w:rsid w:val="001E1B70"/>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4DF7"/>
    <w:rsid w:val="00215F4C"/>
    <w:rsid w:val="00216B98"/>
    <w:rsid w:val="00216D07"/>
    <w:rsid w:val="00216E06"/>
    <w:rsid w:val="0021755A"/>
    <w:rsid w:val="0022284C"/>
    <w:rsid w:val="00224CDD"/>
    <w:rsid w:val="00227F82"/>
    <w:rsid w:val="00231770"/>
    <w:rsid w:val="00231E87"/>
    <w:rsid w:val="00231F97"/>
    <w:rsid w:val="00232801"/>
    <w:rsid w:val="0023330D"/>
    <w:rsid w:val="00233898"/>
    <w:rsid w:val="00235779"/>
    <w:rsid w:val="00235ABA"/>
    <w:rsid w:val="00235B85"/>
    <w:rsid w:val="002366E8"/>
    <w:rsid w:val="002375D1"/>
    <w:rsid w:val="00242DBA"/>
    <w:rsid w:val="00243694"/>
    <w:rsid w:val="002462F8"/>
    <w:rsid w:val="0024631E"/>
    <w:rsid w:val="00247F74"/>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A2F"/>
    <w:rsid w:val="002A5C5F"/>
    <w:rsid w:val="002A744D"/>
    <w:rsid w:val="002A78EA"/>
    <w:rsid w:val="002A7A5A"/>
    <w:rsid w:val="002A7E5A"/>
    <w:rsid w:val="002B0C2A"/>
    <w:rsid w:val="002B2667"/>
    <w:rsid w:val="002B65B3"/>
    <w:rsid w:val="002B65ED"/>
    <w:rsid w:val="002B6BDC"/>
    <w:rsid w:val="002C070D"/>
    <w:rsid w:val="002C0D86"/>
    <w:rsid w:val="002C21EA"/>
    <w:rsid w:val="002C27A3"/>
    <w:rsid w:val="002C3812"/>
    <w:rsid w:val="002C3992"/>
    <w:rsid w:val="002D118F"/>
    <w:rsid w:val="002D13ED"/>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406C"/>
    <w:rsid w:val="002F6B91"/>
    <w:rsid w:val="002F732C"/>
    <w:rsid w:val="0030136D"/>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2761"/>
    <w:rsid w:val="003407A6"/>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71D2"/>
    <w:rsid w:val="00367690"/>
    <w:rsid w:val="00371116"/>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69D"/>
    <w:rsid w:val="003A7C86"/>
    <w:rsid w:val="003B0087"/>
    <w:rsid w:val="003B05F2"/>
    <w:rsid w:val="003B197D"/>
    <w:rsid w:val="003B319B"/>
    <w:rsid w:val="003B48BF"/>
    <w:rsid w:val="003B5ABC"/>
    <w:rsid w:val="003B6987"/>
    <w:rsid w:val="003C124E"/>
    <w:rsid w:val="003C13AE"/>
    <w:rsid w:val="003C16C4"/>
    <w:rsid w:val="003C2BFE"/>
    <w:rsid w:val="003C3D8A"/>
    <w:rsid w:val="003C5A3F"/>
    <w:rsid w:val="003C72EC"/>
    <w:rsid w:val="003C74B9"/>
    <w:rsid w:val="003D0398"/>
    <w:rsid w:val="003D071F"/>
    <w:rsid w:val="003D1B98"/>
    <w:rsid w:val="003D2936"/>
    <w:rsid w:val="003D4508"/>
    <w:rsid w:val="003D472F"/>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666F"/>
    <w:rsid w:val="00416C65"/>
    <w:rsid w:val="0041750A"/>
    <w:rsid w:val="004201F3"/>
    <w:rsid w:val="004236B5"/>
    <w:rsid w:val="00423F88"/>
    <w:rsid w:val="00424164"/>
    <w:rsid w:val="0042506B"/>
    <w:rsid w:val="0042565F"/>
    <w:rsid w:val="00426CCD"/>
    <w:rsid w:val="00427627"/>
    <w:rsid w:val="00427931"/>
    <w:rsid w:val="00430A81"/>
    <w:rsid w:val="00431D42"/>
    <w:rsid w:val="00432706"/>
    <w:rsid w:val="00432750"/>
    <w:rsid w:val="00434405"/>
    <w:rsid w:val="00434737"/>
    <w:rsid w:val="0043522F"/>
    <w:rsid w:val="00435C88"/>
    <w:rsid w:val="00437662"/>
    <w:rsid w:val="00440131"/>
    <w:rsid w:val="0044177F"/>
    <w:rsid w:val="00441FDF"/>
    <w:rsid w:val="0044212B"/>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1E2"/>
    <w:rsid w:val="00461EAF"/>
    <w:rsid w:val="004623F4"/>
    <w:rsid w:val="00462943"/>
    <w:rsid w:val="00462DAB"/>
    <w:rsid w:val="004646C3"/>
    <w:rsid w:val="00464BEA"/>
    <w:rsid w:val="00464EFB"/>
    <w:rsid w:val="004676F8"/>
    <w:rsid w:val="00470C97"/>
    <w:rsid w:val="004711A3"/>
    <w:rsid w:val="00475736"/>
    <w:rsid w:val="004761C4"/>
    <w:rsid w:val="00476F45"/>
    <w:rsid w:val="004774C7"/>
    <w:rsid w:val="004814DE"/>
    <w:rsid w:val="004857A8"/>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1DED"/>
    <w:rsid w:val="004B334B"/>
    <w:rsid w:val="004B44D7"/>
    <w:rsid w:val="004B4F14"/>
    <w:rsid w:val="004B5097"/>
    <w:rsid w:val="004C0ECD"/>
    <w:rsid w:val="004C1B51"/>
    <w:rsid w:val="004C2E1C"/>
    <w:rsid w:val="004C5DD4"/>
    <w:rsid w:val="004C5F2A"/>
    <w:rsid w:val="004C6476"/>
    <w:rsid w:val="004D22BD"/>
    <w:rsid w:val="004D2416"/>
    <w:rsid w:val="004D53BA"/>
    <w:rsid w:val="004D549F"/>
    <w:rsid w:val="004D7577"/>
    <w:rsid w:val="004D7738"/>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4F7F22"/>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67AE"/>
    <w:rsid w:val="005B7091"/>
    <w:rsid w:val="005B78AE"/>
    <w:rsid w:val="005C00CA"/>
    <w:rsid w:val="005C1440"/>
    <w:rsid w:val="005C21A8"/>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138D"/>
    <w:rsid w:val="0061208B"/>
    <w:rsid w:val="00613857"/>
    <w:rsid w:val="00614CAE"/>
    <w:rsid w:val="006158CB"/>
    <w:rsid w:val="00615CE3"/>
    <w:rsid w:val="00616ED4"/>
    <w:rsid w:val="00616F4C"/>
    <w:rsid w:val="00616FDC"/>
    <w:rsid w:val="00617615"/>
    <w:rsid w:val="0062114F"/>
    <w:rsid w:val="00623E6B"/>
    <w:rsid w:val="00624D47"/>
    <w:rsid w:val="0063035C"/>
    <w:rsid w:val="00630AFD"/>
    <w:rsid w:val="00631728"/>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4746"/>
    <w:rsid w:val="0068539B"/>
    <w:rsid w:val="00686964"/>
    <w:rsid w:val="00686E2D"/>
    <w:rsid w:val="006877B6"/>
    <w:rsid w:val="00687D58"/>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4C75"/>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8B7"/>
    <w:rsid w:val="006D6ABA"/>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CC4"/>
    <w:rsid w:val="006F6F57"/>
    <w:rsid w:val="006F706D"/>
    <w:rsid w:val="006F74FC"/>
    <w:rsid w:val="00701417"/>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16F8"/>
    <w:rsid w:val="007637F4"/>
    <w:rsid w:val="007640BC"/>
    <w:rsid w:val="007642F9"/>
    <w:rsid w:val="00766173"/>
    <w:rsid w:val="007670F2"/>
    <w:rsid w:val="00771EAA"/>
    <w:rsid w:val="00773FF3"/>
    <w:rsid w:val="007743DB"/>
    <w:rsid w:val="007746EF"/>
    <w:rsid w:val="00774E5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8EB"/>
    <w:rsid w:val="00795849"/>
    <w:rsid w:val="00795BB9"/>
    <w:rsid w:val="00795DC4"/>
    <w:rsid w:val="00796BAA"/>
    <w:rsid w:val="00796DE5"/>
    <w:rsid w:val="007979C4"/>
    <w:rsid w:val="007A07F1"/>
    <w:rsid w:val="007A1A12"/>
    <w:rsid w:val="007A1E67"/>
    <w:rsid w:val="007A1F85"/>
    <w:rsid w:val="007A2B12"/>
    <w:rsid w:val="007A59DE"/>
    <w:rsid w:val="007A7213"/>
    <w:rsid w:val="007B10AB"/>
    <w:rsid w:val="007B1A55"/>
    <w:rsid w:val="007B37B9"/>
    <w:rsid w:val="007B4CCF"/>
    <w:rsid w:val="007B63C2"/>
    <w:rsid w:val="007B6EA3"/>
    <w:rsid w:val="007C4A4C"/>
    <w:rsid w:val="007C5493"/>
    <w:rsid w:val="007C72B9"/>
    <w:rsid w:val="007D2303"/>
    <w:rsid w:val="007D3C3A"/>
    <w:rsid w:val="007D5574"/>
    <w:rsid w:val="007D5C70"/>
    <w:rsid w:val="007D6E2B"/>
    <w:rsid w:val="007D719E"/>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A09"/>
    <w:rsid w:val="00880D2F"/>
    <w:rsid w:val="00884D82"/>
    <w:rsid w:val="00885994"/>
    <w:rsid w:val="00886B48"/>
    <w:rsid w:val="00890992"/>
    <w:rsid w:val="00890CE3"/>
    <w:rsid w:val="00891667"/>
    <w:rsid w:val="008925A4"/>
    <w:rsid w:val="00892D4C"/>
    <w:rsid w:val="00893ADF"/>
    <w:rsid w:val="008943CD"/>
    <w:rsid w:val="00894ADA"/>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0C22"/>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4EC4"/>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515B"/>
    <w:rsid w:val="00995316"/>
    <w:rsid w:val="00995497"/>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7BA"/>
    <w:rsid w:val="009E1B13"/>
    <w:rsid w:val="009E1C4B"/>
    <w:rsid w:val="009E1D06"/>
    <w:rsid w:val="009E2B59"/>
    <w:rsid w:val="009E32A8"/>
    <w:rsid w:val="009E406A"/>
    <w:rsid w:val="009E4B48"/>
    <w:rsid w:val="009E4CDB"/>
    <w:rsid w:val="009F09E0"/>
    <w:rsid w:val="009F3B34"/>
    <w:rsid w:val="009F3D1A"/>
    <w:rsid w:val="009F4DF1"/>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1C72"/>
    <w:rsid w:val="00A130F8"/>
    <w:rsid w:val="00A13B42"/>
    <w:rsid w:val="00A143C6"/>
    <w:rsid w:val="00A170A3"/>
    <w:rsid w:val="00A17B16"/>
    <w:rsid w:val="00A2382A"/>
    <w:rsid w:val="00A23B4F"/>
    <w:rsid w:val="00A2400A"/>
    <w:rsid w:val="00A25124"/>
    <w:rsid w:val="00A25AAD"/>
    <w:rsid w:val="00A25E31"/>
    <w:rsid w:val="00A26800"/>
    <w:rsid w:val="00A26939"/>
    <w:rsid w:val="00A27FA3"/>
    <w:rsid w:val="00A33598"/>
    <w:rsid w:val="00A33CF4"/>
    <w:rsid w:val="00A369A1"/>
    <w:rsid w:val="00A37B8A"/>
    <w:rsid w:val="00A37CCD"/>
    <w:rsid w:val="00A37FE8"/>
    <w:rsid w:val="00A41B9C"/>
    <w:rsid w:val="00A46926"/>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5B69"/>
    <w:rsid w:val="00AC6B44"/>
    <w:rsid w:val="00AC7AE4"/>
    <w:rsid w:val="00AD12DC"/>
    <w:rsid w:val="00AD18C1"/>
    <w:rsid w:val="00AD1F0B"/>
    <w:rsid w:val="00AD4342"/>
    <w:rsid w:val="00AD458B"/>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4861"/>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11A7"/>
    <w:rsid w:val="00B32B12"/>
    <w:rsid w:val="00B33385"/>
    <w:rsid w:val="00B360C6"/>
    <w:rsid w:val="00B4073B"/>
    <w:rsid w:val="00B41D82"/>
    <w:rsid w:val="00B42A0B"/>
    <w:rsid w:val="00B434C3"/>
    <w:rsid w:val="00B43523"/>
    <w:rsid w:val="00B43672"/>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E01"/>
    <w:rsid w:val="00BB5E6A"/>
    <w:rsid w:val="00BB6F97"/>
    <w:rsid w:val="00BC0CA7"/>
    <w:rsid w:val="00BC15E9"/>
    <w:rsid w:val="00BC33BE"/>
    <w:rsid w:val="00BC46B5"/>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1F40"/>
    <w:rsid w:val="00BF22A4"/>
    <w:rsid w:val="00BF25CB"/>
    <w:rsid w:val="00BF2F10"/>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428D7"/>
    <w:rsid w:val="00C438A8"/>
    <w:rsid w:val="00C43A0D"/>
    <w:rsid w:val="00C43FAB"/>
    <w:rsid w:val="00C44306"/>
    <w:rsid w:val="00C46663"/>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77D82"/>
    <w:rsid w:val="00C81CF4"/>
    <w:rsid w:val="00C8307C"/>
    <w:rsid w:val="00C83F11"/>
    <w:rsid w:val="00C8472B"/>
    <w:rsid w:val="00C87873"/>
    <w:rsid w:val="00C93236"/>
    <w:rsid w:val="00C93ABD"/>
    <w:rsid w:val="00C94E71"/>
    <w:rsid w:val="00C95437"/>
    <w:rsid w:val="00C967AF"/>
    <w:rsid w:val="00C967C0"/>
    <w:rsid w:val="00C9768F"/>
    <w:rsid w:val="00CA0383"/>
    <w:rsid w:val="00CA0578"/>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2B3"/>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8E"/>
    <w:rsid w:val="00D341A2"/>
    <w:rsid w:val="00D36B63"/>
    <w:rsid w:val="00D4098B"/>
    <w:rsid w:val="00D40FB5"/>
    <w:rsid w:val="00D41D07"/>
    <w:rsid w:val="00D42EAA"/>
    <w:rsid w:val="00D43175"/>
    <w:rsid w:val="00D44660"/>
    <w:rsid w:val="00D45D5E"/>
    <w:rsid w:val="00D501B2"/>
    <w:rsid w:val="00D50D2C"/>
    <w:rsid w:val="00D527B0"/>
    <w:rsid w:val="00D52AB3"/>
    <w:rsid w:val="00D52BC9"/>
    <w:rsid w:val="00D55CAE"/>
    <w:rsid w:val="00D573CA"/>
    <w:rsid w:val="00D604CD"/>
    <w:rsid w:val="00D6101D"/>
    <w:rsid w:val="00D61132"/>
    <w:rsid w:val="00D611DD"/>
    <w:rsid w:val="00D61984"/>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97A4C"/>
    <w:rsid w:val="00DA0A3F"/>
    <w:rsid w:val="00DA1B0D"/>
    <w:rsid w:val="00DA22AD"/>
    <w:rsid w:val="00DA3AEE"/>
    <w:rsid w:val="00DA799A"/>
    <w:rsid w:val="00DB183B"/>
    <w:rsid w:val="00DB3D54"/>
    <w:rsid w:val="00DB41E8"/>
    <w:rsid w:val="00DB45EA"/>
    <w:rsid w:val="00DB4A81"/>
    <w:rsid w:val="00DB568D"/>
    <w:rsid w:val="00DC07B4"/>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6BC9"/>
    <w:rsid w:val="00E8731D"/>
    <w:rsid w:val="00E8757C"/>
    <w:rsid w:val="00E878F9"/>
    <w:rsid w:val="00E87B88"/>
    <w:rsid w:val="00E916BC"/>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6925"/>
    <w:rsid w:val="00FB7D13"/>
    <w:rsid w:val="00FB7DD8"/>
    <w:rsid w:val="00FB7ED9"/>
    <w:rsid w:val="00FB7EEF"/>
    <w:rsid w:val="00FC091F"/>
    <w:rsid w:val="00FC0F2C"/>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E7248"/>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92729E"/>
  <w15:docId w15:val="{234BBE45-DE2A-4474-9867-C7643F8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9</TotalTime>
  <Pages>3</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2023-09-27T08:27:00Z</dcterms:created>
  <dcterms:modified xsi:type="dcterms:W3CDTF">2023-09-27T08:27:00Z</dcterms:modified>
</cp:coreProperties>
</file>