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41A3" w14:textId="77777777" w:rsidR="002A5E32" w:rsidRDefault="002A5E32">
      <w:pPr>
        <w:widowControl w:val="0"/>
        <w:spacing w:line="240" w:lineRule="auto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2A5E32" w14:paraId="0EB48EAA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0FB070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4C60455A" wp14:editId="24515DA5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4A2283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C1ADC8C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Zenithgebouw</w:t>
            </w:r>
          </w:p>
          <w:p w14:paraId="6D8BC258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Koning Albert II-laan 37</w:t>
            </w:r>
            <w:r>
              <w:rPr>
                <w:rFonts w:ascii="Calibri" w:eastAsia="Calibri" w:hAnsi="Calibri" w:cs="Calibri"/>
                <w:color w:val="666666"/>
              </w:rPr>
              <w:br/>
              <w:t>1030 BRUSSEL</w:t>
            </w:r>
          </w:p>
          <w:p w14:paraId="25ABA1D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46D1A03" w14:textId="77777777" w:rsidR="002A5E32" w:rsidRDefault="002A5E32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288BBB8F" w14:textId="77777777" w:rsidR="002A5E32" w:rsidRDefault="002A5E32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13A727F5" w14:textId="77777777" w:rsidR="002A5E32" w:rsidRDefault="005C6E96">
            <w:pPr>
              <w:widowControl w:val="0"/>
              <w:jc w:val="right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INFONOTA</w:t>
            </w:r>
          </w:p>
        </w:tc>
      </w:tr>
      <w:tr w:rsidR="002A5E32" w14:paraId="00BCBC8E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CD20" w14:textId="77777777" w:rsidR="002A5E32" w:rsidRDefault="002A5E3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EB71565" w14:textId="77777777" w:rsidR="002A5E32" w:rsidRDefault="005C6E96">
            <w:pPr>
              <w:widowControl w:val="0"/>
              <w:jc w:val="right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Aan: multifunctionele centra (MFC)</w:t>
            </w:r>
          </w:p>
        </w:tc>
      </w:tr>
      <w:tr w:rsidR="002A5E32" w14:paraId="2FB6B88F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469C" w14:textId="77777777" w:rsidR="002A5E32" w:rsidRDefault="002A5E3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093C343" w14:textId="77777777" w:rsidR="002A5E32" w:rsidRDefault="005C6E96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30/10/2023</w:t>
            </w:r>
          </w:p>
        </w:tc>
      </w:tr>
      <w:tr w:rsidR="002A5E32" w14:paraId="0275DC68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09EA" w14:textId="77777777" w:rsidR="002A5E32" w:rsidRDefault="002A5E3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E2FFFD2" w14:textId="77777777" w:rsidR="002A5E32" w:rsidRDefault="005C6E96">
            <w:pPr>
              <w:widowControl w:val="0"/>
              <w:jc w:val="right"/>
              <w:rPr>
                <w:rFonts w:ascii="Calibri" w:eastAsia="Calibri" w:hAnsi="Calibri" w:cs="Calibri"/>
                <w:color w:val="666666"/>
              </w:rPr>
            </w:pPr>
            <w:r>
              <w:rPr>
                <w:rFonts w:ascii="Calibri" w:eastAsia="Calibri" w:hAnsi="Calibri" w:cs="Calibri"/>
                <w:color w:val="666666"/>
              </w:rPr>
              <w:t>INF/23/33</w:t>
            </w:r>
          </w:p>
        </w:tc>
      </w:tr>
      <w:tr w:rsidR="002A5E32" w14:paraId="5FD08155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952F56" w14:textId="77777777" w:rsidR="002A5E32" w:rsidRDefault="005C6E96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3C45E0DE" w14:textId="77777777" w:rsidR="002A5E32" w:rsidRDefault="005C6E9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Lander Huygens</w:t>
            </w:r>
          </w:p>
        </w:tc>
      </w:tr>
      <w:tr w:rsidR="002A5E32" w14:paraId="326C43BF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CFE8E2B" w14:textId="77777777" w:rsidR="002A5E32" w:rsidRDefault="005C6E96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CA0DDDD" w14:textId="77777777" w:rsidR="002A5E32" w:rsidRDefault="005C6E9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avf@vaph.be</w:t>
            </w:r>
          </w:p>
        </w:tc>
      </w:tr>
      <w:tr w:rsidR="002A5E32" w14:paraId="05FA7853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E6FD5C4" w14:textId="77777777" w:rsidR="002A5E32" w:rsidRDefault="005C6E96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2368C92D" w14:textId="77777777" w:rsidR="002A5E32" w:rsidRDefault="002A5E3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5E32" w14:paraId="36C5A9DA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74E6CBBC" w14:textId="77777777" w:rsidR="002A5E32" w:rsidRDefault="005C6E96">
            <w:pPr>
              <w:widowControl w:val="0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5522E55B" w14:textId="77777777" w:rsidR="002A5E32" w:rsidRDefault="002A5E3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5E32" w14:paraId="422C8E5D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811E935" w14:textId="77777777" w:rsidR="002A5E32" w:rsidRDefault="002A5E32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</w:p>
        </w:tc>
      </w:tr>
      <w:tr w:rsidR="002A5E32" w14:paraId="3A81638C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25E6625" w14:textId="77777777" w:rsidR="002A5E32" w:rsidRDefault="005C6E96">
            <w:pPr>
              <w:widowControl w:val="0"/>
              <w:rPr>
                <w:rFonts w:ascii="Calibri" w:eastAsia="Calibri" w:hAnsi="Calibri" w:cs="Calibri"/>
                <w:sz w:val="34"/>
                <w:szCs w:val="34"/>
              </w:rPr>
            </w:pPr>
            <w:r>
              <w:rPr>
                <w:rFonts w:ascii="Calibri" w:eastAsia="Calibri" w:hAnsi="Calibri" w:cs="Calibri"/>
                <w:sz w:val="34"/>
                <w:szCs w:val="34"/>
              </w:rPr>
              <w:t>Uitbreidingen erkenning multifunctionele centra n.a.v. oproep crisisbegeleiding en -verblijf</w:t>
            </w:r>
          </w:p>
        </w:tc>
      </w:tr>
      <w:tr w:rsidR="002A5E32" w14:paraId="4C895B5E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0D4BDFD" w14:textId="77777777" w:rsidR="002A5E32" w:rsidRDefault="005C6E96">
            <w:pPr>
              <w:widowControl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C82F16D" w14:textId="77777777" w:rsidR="002A5E32" w:rsidRDefault="005C6E96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September 2023 verspreidde het VAPH via infonota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INF/23/29 - Crisis- en investeringsplan: overzicht en oproep</w:t>
        </w:r>
      </w:hyperlink>
      <w:r>
        <w:rPr>
          <w:rFonts w:ascii="Calibri" w:eastAsia="Calibri" w:hAnsi="Calibri" w:cs="Calibri"/>
        </w:rPr>
        <w:t xml:space="preserve"> een oproep naar uitbreiding van de erkenning van multifunctionele centra voor ver</w:t>
      </w:r>
      <w:r>
        <w:rPr>
          <w:rFonts w:ascii="Calibri" w:eastAsia="Calibri" w:hAnsi="Calibri" w:cs="Calibri"/>
        </w:rPr>
        <w:t>sterking crisisjeugdhulp. Deze infonota geeft een overzicht van de multifunctionele centra die hiervoor een uitbreiding van de erkenning kregen.</w:t>
      </w:r>
    </w:p>
    <w:p w14:paraId="5674B8FD" w14:textId="77777777" w:rsidR="002A5E32" w:rsidRDefault="002A5E32">
      <w:pPr>
        <w:widowControl w:val="0"/>
        <w:spacing w:line="360" w:lineRule="auto"/>
        <w:rPr>
          <w:rFonts w:ascii="Calibri" w:eastAsia="Calibri" w:hAnsi="Calibri" w:cs="Calibri"/>
        </w:rPr>
      </w:pPr>
    </w:p>
    <w:p w14:paraId="56E9AC4F" w14:textId="77777777" w:rsidR="002A5E32" w:rsidRDefault="005C6E96">
      <w:pPr>
        <w:widowControl w:val="0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Uitbreiding van de capaciteit crisisverblijf</w:t>
      </w:r>
    </w:p>
    <w:p w14:paraId="5D8429D7" w14:textId="77777777" w:rsidR="002A5E32" w:rsidRDefault="002A5E32">
      <w:pPr>
        <w:widowControl w:val="0"/>
        <w:spacing w:line="360" w:lineRule="auto"/>
        <w:rPr>
          <w:rFonts w:ascii="Calibri" w:eastAsia="Calibri" w:hAnsi="Calibri" w:cs="Calibri"/>
        </w:rPr>
      </w:pPr>
    </w:p>
    <w:p w14:paraId="32460076" w14:textId="77777777" w:rsidR="002A5E32" w:rsidRDefault="005C6E96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Onderstaande tabel geeft een overzicht van de toegekende middelen die ingezet zullen worden in crisisverblijf op verwijzing van Crisismeldpunt -18. Er werden niet in elke provincie bijkomende middelen toegekend.</w:t>
      </w:r>
    </w:p>
    <w:tbl>
      <w:tblPr>
        <w:tblStyle w:val="a0"/>
        <w:tblW w:w="9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540"/>
        <w:gridCol w:w="2070"/>
        <w:gridCol w:w="1935"/>
        <w:gridCol w:w="3405"/>
      </w:tblGrid>
      <w:tr w:rsidR="002A5E32" w14:paraId="2057D93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832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Provincie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A2FF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9E813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MFC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92022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Personeelspunten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7C4F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Plaatsen</w:t>
            </w:r>
          </w:p>
        </w:tc>
      </w:tr>
      <w:tr w:rsidR="002A5E32" w14:paraId="3E1E92B1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BA6C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Antwerpen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A317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8BB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MPI Oosterlo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981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258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A0A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  <w:r>
              <w:rPr>
                <w:rFonts w:ascii="Calibri" w:eastAsia="Calibri" w:hAnsi="Calibri" w:cs="Calibri"/>
                <w:i/>
              </w:rPr>
              <w:t>(vanaf 1 januari 2024)</w:t>
            </w:r>
          </w:p>
        </w:tc>
      </w:tr>
      <w:tr w:rsidR="002A5E32" w14:paraId="7BD9225C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7096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EDA1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09B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Vijver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5FB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5CBD3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>
              <w:rPr>
                <w:rFonts w:ascii="Calibri" w:eastAsia="Calibri" w:hAnsi="Calibri" w:cs="Calibri"/>
                <w:i/>
              </w:rPr>
              <w:t>(vanaf 1 januari 2024)</w:t>
            </w:r>
          </w:p>
        </w:tc>
      </w:tr>
      <w:tr w:rsidR="002A5E32" w14:paraId="68BD07D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12EA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Vlaams-Brabant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7FA3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67E1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Adem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11082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3291C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2860F0B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8A51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27E1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D681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MPC Sint-Franciscus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DEB0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FF3F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  <w:i/>
              </w:rPr>
              <w:t>(waarvan 1 vanaf 1 januari 2024)</w:t>
            </w:r>
          </w:p>
        </w:tc>
      </w:tr>
    </w:tbl>
    <w:p w14:paraId="29FFC512" w14:textId="77777777" w:rsidR="002A5E32" w:rsidRDefault="002A5E32">
      <w:pPr>
        <w:widowControl w:val="0"/>
        <w:spacing w:line="360" w:lineRule="auto"/>
        <w:rPr>
          <w:rFonts w:ascii="Calibri" w:eastAsia="Calibri" w:hAnsi="Calibri" w:cs="Calibri"/>
        </w:rPr>
      </w:pPr>
    </w:p>
    <w:p w14:paraId="5438118A" w14:textId="77777777" w:rsidR="002A5E32" w:rsidRDefault="002A5E32">
      <w:pPr>
        <w:widowControl w:val="0"/>
        <w:spacing w:line="360" w:lineRule="auto"/>
        <w:rPr>
          <w:rFonts w:ascii="Calibri" w:eastAsia="Calibri" w:hAnsi="Calibri" w:cs="Calibri"/>
        </w:rPr>
      </w:pPr>
    </w:p>
    <w:p w14:paraId="0605B859" w14:textId="77777777" w:rsidR="002A5E32" w:rsidRDefault="005C6E96">
      <w:pPr>
        <w:widowControl w:val="0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Bijkomende capaciteit crisisbegeleiding</w:t>
      </w:r>
    </w:p>
    <w:p w14:paraId="247DE050" w14:textId="77777777" w:rsidR="002A5E32" w:rsidRDefault="002A5E32">
      <w:pPr>
        <w:widowControl w:val="0"/>
        <w:spacing w:line="360" w:lineRule="auto"/>
        <w:rPr>
          <w:rFonts w:ascii="Calibri" w:eastAsia="Calibri" w:hAnsi="Calibri" w:cs="Calibri"/>
        </w:rPr>
      </w:pPr>
    </w:p>
    <w:p w14:paraId="0C131676" w14:textId="77777777" w:rsidR="002A5E32" w:rsidRDefault="005C6E96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Onderstaande tabel geeft een overzicht van de toegekende middelen die ingezet zullen worden in crisisbegeleiding op verwijzing van Crisismeldpunt -18.</w:t>
      </w:r>
    </w:p>
    <w:p w14:paraId="53516596" w14:textId="77777777" w:rsidR="002A5E32" w:rsidRDefault="002A5E32">
      <w:pPr>
        <w:widowControl w:val="0"/>
        <w:spacing w:line="360" w:lineRule="auto"/>
        <w:rPr>
          <w:rFonts w:ascii="Calibri" w:eastAsia="Calibri" w:hAnsi="Calibri" w:cs="Calibri"/>
        </w:rPr>
      </w:pPr>
    </w:p>
    <w:tbl>
      <w:tblPr>
        <w:tblStyle w:val="a1"/>
        <w:tblW w:w="8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0"/>
        <w:gridCol w:w="2835"/>
        <w:gridCol w:w="1890"/>
        <w:gridCol w:w="720"/>
      </w:tblGrid>
      <w:tr w:rsidR="002A5E32" w14:paraId="45C38B98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1896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Provincie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31E51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CB96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MFC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223E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Personeelspunten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7BF7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VTE</w:t>
            </w:r>
          </w:p>
        </w:tc>
      </w:tr>
      <w:tr w:rsidR="002A5E32" w14:paraId="7DEEB77F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306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Antwerpen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54EE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F7D2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OLO-Rotonde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DE018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EA62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49CFEB60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73C1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8D40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BDC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MPI Oosterlo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040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DD2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31735DD9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AE99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EC90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2701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Vijver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3145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1117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24F685D4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140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West-Vlaanderen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A50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4F92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Tordale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4CD5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7B71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6FD5B13E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DF73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0F28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F8C6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Inspirant aan Zee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5667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35,5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FFB0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</w:p>
        </w:tc>
      </w:tr>
      <w:tr w:rsidR="002A5E32" w14:paraId="564F5583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D7B1A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7DB8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BDD9F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Het Anker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1E8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5EB0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7C4EC76A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642F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3C4A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94D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Zonnebloem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9BA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414C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55BEE056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204C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Limburg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E7EF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C46C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Limburgse Stichting Autisme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1BCF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8CFF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5BDBA723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2AF2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94861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6923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Dienstencentrum Sint-Oda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2A85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231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0D234A15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CBE0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Vlaams-Brabant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01E8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D73A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MPC Ter Bank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C3E2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7996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43D2C317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D243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048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344A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Resonans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C9C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E1C3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5BEE964A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2D9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Oost-Vlaanderen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94DC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97F0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Tanderuis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87C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18CF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A5E32" w14:paraId="2586B6E2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6D98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62D2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DCD7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Triangel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1A0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EE16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A5E32" w14:paraId="768147CD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BD5D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7AA5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C7F5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DVC Heilig Hart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EEC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FE6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14:paraId="58AC8A1E" w14:textId="77777777" w:rsidR="002A5E32" w:rsidRDefault="002A5E32">
      <w:pPr>
        <w:widowControl w:val="0"/>
        <w:spacing w:line="360" w:lineRule="auto"/>
        <w:rPr>
          <w:rFonts w:ascii="Calibri" w:eastAsia="Calibri" w:hAnsi="Calibri" w:cs="Calibri"/>
        </w:rPr>
      </w:pPr>
    </w:p>
    <w:p w14:paraId="6E3B8A78" w14:textId="77777777" w:rsidR="002A5E32" w:rsidRDefault="002A5E32">
      <w:pPr>
        <w:widowControl w:val="0"/>
        <w:spacing w:line="360" w:lineRule="auto"/>
        <w:rPr>
          <w:rFonts w:ascii="Calibri" w:eastAsia="Calibri" w:hAnsi="Calibri" w:cs="Calibri"/>
        </w:rPr>
      </w:pPr>
    </w:p>
    <w:p w14:paraId="7D3C1B2C" w14:textId="77777777" w:rsidR="002A5E32" w:rsidRDefault="005C6E96">
      <w:pPr>
        <w:widowControl w:val="0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Versterking van het de huidige aanbod crisisverblijf met crisisbegeleiding</w:t>
      </w:r>
    </w:p>
    <w:p w14:paraId="05EB5150" w14:textId="77777777" w:rsidR="002A5E32" w:rsidRDefault="002A5E32">
      <w:pPr>
        <w:widowControl w:val="0"/>
        <w:spacing w:line="360" w:lineRule="auto"/>
        <w:rPr>
          <w:rFonts w:ascii="Calibri" w:eastAsia="Calibri" w:hAnsi="Calibri" w:cs="Calibri"/>
        </w:rPr>
      </w:pPr>
    </w:p>
    <w:p w14:paraId="2F9B13F3" w14:textId="77777777" w:rsidR="002A5E32" w:rsidRDefault="005C6E96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Naast bovenvermelde uitbreidingen van capaciteit is dit actiepunt erop gericht om het huidige aanbod van crisisopvang te versterken. Onderstaande tabel geeft een overzicht van de m</w:t>
      </w:r>
      <w:r>
        <w:rPr>
          <w:rFonts w:ascii="Calibri" w:eastAsia="Calibri" w:hAnsi="Calibri" w:cs="Calibri"/>
        </w:rPr>
        <w:t>iddelen die toegevoegd werden aan de erkenning van de multifunctionele centra die een groot engagement opnemen in crisisopvang van minderjarigen op verwijzing van Crisismeldpunt -18.</w:t>
      </w:r>
    </w:p>
    <w:p w14:paraId="6B59195B" w14:textId="77777777" w:rsidR="002A5E32" w:rsidRDefault="002A5E32">
      <w:pPr>
        <w:rPr>
          <w:rFonts w:ascii="Calibri" w:eastAsia="Calibri" w:hAnsi="Calibri" w:cs="Calibri"/>
        </w:rPr>
      </w:pPr>
    </w:p>
    <w:p w14:paraId="542EAE38" w14:textId="77777777" w:rsidR="002A5E32" w:rsidRDefault="002A5E32">
      <w:pPr>
        <w:rPr>
          <w:rFonts w:ascii="Calibri" w:eastAsia="Calibri" w:hAnsi="Calibri" w:cs="Calibri"/>
        </w:rPr>
      </w:pPr>
    </w:p>
    <w:p w14:paraId="1DDE856B" w14:textId="77777777" w:rsidR="002A5E32" w:rsidRDefault="002A5E32">
      <w:pPr>
        <w:rPr>
          <w:rFonts w:ascii="Calibri" w:eastAsia="Calibri" w:hAnsi="Calibri" w:cs="Calibri"/>
        </w:rPr>
      </w:pPr>
    </w:p>
    <w:tbl>
      <w:tblPr>
        <w:tblStyle w:val="a2"/>
        <w:tblW w:w="6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675"/>
        <w:gridCol w:w="2100"/>
        <w:gridCol w:w="1950"/>
      </w:tblGrid>
      <w:tr w:rsidR="002A5E32" w14:paraId="42B88EE3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22FF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Provincie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9BA1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473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MFC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70CE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Personeelspunten</w:t>
            </w:r>
          </w:p>
        </w:tc>
      </w:tr>
      <w:tr w:rsidR="002A5E32" w14:paraId="63E40AD1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84A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Antwerpen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49D2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134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A04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BC Dennenhof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BD5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53818E66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E2D2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658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0B0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KOCA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6968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3F619EF8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D42B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4BCA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59E1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MPI Oosterlo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C9E2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4E9E518B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6EF5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West-Vlaanderen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5ED5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341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E333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VIRO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02D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57F25A19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0E00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DAEE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FE0D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Tordale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304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7B585159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502B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485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135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908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Zonnebloem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0067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027D1969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ACAF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Limburg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780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FCF88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Bethanië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5B36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67675199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8F1D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0755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106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Sint-Elisabeth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5F6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76D9288F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455C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87AE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ECF6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Sint-Ferdinand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868A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341F507A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DA48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B807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9D0A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 Heide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60D2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044372AB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194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Vlaams-Brabant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CB81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E05D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Adem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3B16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38D7FCEF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BC06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0AF8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188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AF4C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Huize Terloo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E35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5FAA14AC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3A8F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62B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7CAA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MPC Sint-Franciscus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776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4D1555C6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FF9A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Oost-Vlaanderen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66C0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A93E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Wagenschot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9307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0641D642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6BCA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FC92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653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Heynsdaele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230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597DDE97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481E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6BD4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1A86A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Sint-Gregorius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C2D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  <w:tr w:rsidR="002A5E32" w14:paraId="6A7281D8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25F0" w14:textId="77777777" w:rsidR="002A5E32" w:rsidRDefault="002A5E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5549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96FB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Hagewinde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DD45" w14:textId="77777777" w:rsidR="002A5E32" w:rsidRDefault="005C6E9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</w:tr>
    </w:tbl>
    <w:p w14:paraId="45EC3D3F" w14:textId="77777777" w:rsidR="002A5E32" w:rsidRDefault="002A5E32">
      <w:pPr>
        <w:rPr>
          <w:rFonts w:ascii="Calibri" w:eastAsia="Calibri" w:hAnsi="Calibri" w:cs="Calibri"/>
        </w:rPr>
      </w:pPr>
    </w:p>
    <w:p w14:paraId="12F66472" w14:textId="77777777" w:rsidR="002A5E32" w:rsidRDefault="002A5E32">
      <w:pPr>
        <w:widowControl w:val="0"/>
        <w:rPr>
          <w:rFonts w:ascii="Calibri" w:eastAsia="Calibri" w:hAnsi="Calibri" w:cs="Calibri"/>
        </w:rPr>
      </w:pPr>
    </w:p>
    <w:p w14:paraId="117812A1" w14:textId="77777777" w:rsidR="002A5E32" w:rsidRDefault="002A5E32">
      <w:pPr>
        <w:widowControl w:val="0"/>
        <w:rPr>
          <w:rFonts w:ascii="Calibri" w:eastAsia="Calibri" w:hAnsi="Calibri" w:cs="Calibri"/>
        </w:rPr>
      </w:pPr>
    </w:p>
    <w:p w14:paraId="466F5A38" w14:textId="77777777" w:rsidR="002A5E32" w:rsidRDefault="002A5E32">
      <w:pPr>
        <w:widowControl w:val="0"/>
        <w:rPr>
          <w:rFonts w:ascii="Calibri" w:eastAsia="Calibri" w:hAnsi="Calibri" w:cs="Calibri"/>
        </w:rPr>
      </w:pPr>
    </w:p>
    <w:p w14:paraId="38E4E4DF" w14:textId="77777777" w:rsidR="002A5E32" w:rsidRDefault="002A5E32">
      <w:pPr>
        <w:widowControl w:val="0"/>
        <w:rPr>
          <w:rFonts w:ascii="Calibri" w:eastAsia="Calibri" w:hAnsi="Calibri" w:cs="Calibri"/>
        </w:rPr>
      </w:pPr>
    </w:p>
    <w:p w14:paraId="402D0046" w14:textId="77777777" w:rsidR="002A5E32" w:rsidRDefault="002A5E32">
      <w:pPr>
        <w:widowControl w:val="0"/>
        <w:rPr>
          <w:rFonts w:ascii="Calibri" w:eastAsia="Calibri" w:hAnsi="Calibri" w:cs="Calibri"/>
        </w:rPr>
      </w:pPr>
    </w:p>
    <w:p w14:paraId="19705F4A" w14:textId="77777777" w:rsidR="002A5E32" w:rsidRDefault="005C6E96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James Van Casteren</w:t>
      </w:r>
    </w:p>
    <w:p w14:paraId="070455E7" w14:textId="77777777" w:rsidR="002A5E32" w:rsidRDefault="005C6E96">
      <w:pPr>
        <w:widowControl w:val="0"/>
      </w:pPr>
      <w:r>
        <w:rPr>
          <w:rFonts w:ascii="Calibri" w:eastAsia="Calibri" w:hAnsi="Calibri" w:cs="Calibri"/>
        </w:rPr>
        <w:t>Administrateur-generaal</w:t>
      </w:r>
    </w:p>
    <w:sectPr w:rsidR="002A5E3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53B6"/>
    <w:multiLevelType w:val="multilevel"/>
    <w:tmpl w:val="7F242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32"/>
    <w:rsid w:val="002A5E32"/>
    <w:rsid w:val="005C6E96"/>
    <w:rsid w:val="008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62E0"/>
  <w15:docId w15:val="{28D2CA1C-BA96-4478-B578-9D7F8631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ph.be/documenten/infonota-inf/23/29-crisis-en-investeringsplan-overzicht-en-oproe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2023-10-30T14:10:00Z</dcterms:created>
  <dcterms:modified xsi:type="dcterms:W3CDTF">2023-10-30T14:10:00Z</dcterms:modified>
</cp:coreProperties>
</file>