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F415AE" w:rsidRPr="00D0604C" w14:paraId="6C17FEC5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E938136" w14:textId="77777777" w:rsidR="00F415AE" w:rsidRPr="00D0604C" w:rsidRDefault="00E42B74">
            <w:pPr>
              <w:widowControl w:val="0"/>
              <w:spacing w:line="240" w:lineRule="auto"/>
              <w:rPr>
                <w:lang w:val="nl-BE"/>
              </w:rPr>
            </w:pPr>
            <w:r w:rsidRPr="00D0604C">
              <w:rPr>
                <w:noProof/>
                <w:lang w:val="nl-BE"/>
              </w:rPr>
              <w:drawing>
                <wp:inline distT="114300" distB="114300" distL="114300" distR="114300" wp14:anchorId="68FACF1E" wp14:editId="78E8B2B2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D0C6E4" w14:textId="77777777" w:rsidR="00F415AE" w:rsidRPr="00D0604C" w:rsidRDefault="00F415AE">
            <w:pPr>
              <w:widowControl w:val="0"/>
              <w:spacing w:line="240" w:lineRule="auto"/>
              <w:rPr>
                <w:lang w:val="nl-BE"/>
              </w:rPr>
            </w:pPr>
          </w:p>
          <w:p w14:paraId="336ADD3D" w14:textId="77777777" w:rsidR="00F415AE" w:rsidRPr="00D0604C" w:rsidRDefault="00E42B74">
            <w:pPr>
              <w:widowControl w:val="0"/>
              <w:spacing w:line="240" w:lineRule="auto"/>
              <w:rPr>
                <w:color w:val="666666"/>
                <w:lang w:val="nl-BE"/>
              </w:rPr>
            </w:pPr>
            <w:proofErr w:type="spellStart"/>
            <w:r w:rsidRPr="00D0604C">
              <w:rPr>
                <w:color w:val="666666"/>
                <w:lang w:val="nl-BE"/>
              </w:rPr>
              <w:t>Zenithgebouw</w:t>
            </w:r>
            <w:proofErr w:type="spellEnd"/>
          </w:p>
          <w:p w14:paraId="25B640C8" w14:textId="77777777" w:rsidR="00F415AE" w:rsidRPr="00D0604C" w:rsidRDefault="00E42B74">
            <w:pPr>
              <w:widowControl w:val="0"/>
              <w:spacing w:line="240" w:lineRule="auto"/>
              <w:rPr>
                <w:color w:val="666666"/>
                <w:lang w:val="nl-BE"/>
              </w:rPr>
            </w:pPr>
            <w:r w:rsidRPr="00D0604C">
              <w:rPr>
                <w:color w:val="666666"/>
                <w:lang w:val="nl-BE"/>
              </w:rPr>
              <w:t>Koning Albert II-laan 37</w:t>
            </w:r>
            <w:r w:rsidRPr="00D0604C">
              <w:rPr>
                <w:color w:val="666666"/>
                <w:lang w:val="nl-BE"/>
              </w:rPr>
              <w:br/>
              <w:t>1030 BRUSSEL</w:t>
            </w:r>
          </w:p>
          <w:p w14:paraId="5BE00768" w14:textId="77777777" w:rsidR="00F415AE" w:rsidRPr="00D0604C" w:rsidRDefault="00E42B74">
            <w:pPr>
              <w:widowControl w:val="0"/>
              <w:spacing w:line="240" w:lineRule="auto"/>
              <w:rPr>
                <w:lang w:val="nl-BE"/>
              </w:rPr>
            </w:pPr>
            <w:proofErr w:type="gramStart"/>
            <w:r w:rsidRPr="00D0604C">
              <w:rPr>
                <w:lang w:val="nl-BE"/>
              </w:rPr>
              <w:t>www.vaph.be</w:t>
            </w:r>
            <w:proofErr w:type="gramEnd"/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C88F6F3" w14:textId="77777777" w:rsidR="00F415AE" w:rsidRPr="00D0604C" w:rsidRDefault="00F415AE">
            <w:pPr>
              <w:widowControl w:val="0"/>
              <w:jc w:val="right"/>
              <w:rPr>
                <w:b/>
                <w:sz w:val="36"/>
                <w:szCs w:val="36"/>
                <w:lang w:val="nl-BE"/>
              </w:rPr>
            </w:pPr>
          </w:p>
          <w:p w14:paraId="6D769DC5" w14:textId="77777777" w:rsidR="00F415AE" w:rsidRPr="00D0604C" w:rsidRDefault="00F415AE">
            <w:pPr>
              <w:widowControl w:val="0"/>
              <w:jc w:val="right"/>
              <w:rPr>
                <w:b/>
                <w:sz w:val="36"/>
                <w:szCs w:val="36"/>
                <w:lang w:val="nl-BE"/>
              </w:rPr>
            </w:pPr>
          </w:p>
          <w:p w14:paraId="7A8F7211" w14:textId="77777777" w:rsidR="00F415AE" w:rsidRPr="00D0604C" w:rsidRDefault="00E42B74">
            <w:pPr>
              <w:widowControl w:val="0"/>
              <w:jc w:val="right"/>
              <w:rPr>
                <w:b/>
                <w:sz w:val="36"/>
                <w:szCs w:val="36"/>
                <w:lang w:val="nl-BE"/>
              </w:rPr>
            </w:pPr>
            <w:r w:rsidRPr="00D0604C">
              <w:rPr>
                <w:b/>
                <w:sz w:val="36"/>
                <w:szCs w:val="36"/>
                <w:lang w:val="nl-BE"/>
              </w:rPr>
              <w:t>INFONOTA</w:t>
            </w:r>
          </w:p>
        </w:tc>
      </w:tr>
      <w:tr w:rsidR="00F415AE" w:rsidRPr="00D0604C" w14:paraId="28C0340B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AA7F" w14:textId="77777777" w:rsidR="00F415AE" w:rsidRPr="00D0604C" w:rsidRDefault="00F415AE">
            <w:pPr>
              <w:widowControl w:val="0"/>
              <w:rPr>
                <w:lang w:val="nl-BE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BBACFBC" w14:textId="77777777" w:rsidR="00F415AE" w:rsidRPr="00D0604C" w:rsidRDefault="00E42B74">
            <w:pPr>
              <w:widowControl w:val="0"/>
              <w:jc w:val="right"/>
              <w:rPr>
                <w:b/>
                <w:sz w:val="26"/>
                <w:szCs w:val="26"/>
                <w:lang w:val="nl-BE"/>
              </w:rPr>
            </w:pPr>
            <w:r w:rsidRPr="00D0604C">
              <w:rPr>
                <w:sz w:val="26"/>
                <w:szCs w:val="26"/>
                <w:lang w:val="nl-BE"/>
              </w:rPr>
              <w:t>Aan: gemachtigde experten, multidisciplinaire teams (MDT), multifunctionele centra (MFC), ouderinitiatieven, vergunde zorgaanbieders (VZA)</w:t>
            </w:r>
          </w:p>
        </w:tc>
      </w:tr>
      <w:tr w:rsidR="00F415AE" w:rsidRPr="00D0604C" w14:paraId="2A256392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4E2E" w14:textId="77777777" w:rsidR="00F415AE" w:rsidRPr="00D0604C" w:rsidRDefault="00F415AE">
            <w:pPr>
              <w:widowControl w:val="0"/>
              <w:rPr>
                <w:lang w:val="nl-BE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4591FCA" w14:textId="77777777" w:rsidR="00F415AE" w:rsidRPr="00D0604C" w:rsidRDefault="00E42B74">
            <w:pPr>
              <w:widowControl w:val="0"/>
              <w:jc w:val="right"/>
              <w:rPr>
                <w:color w:val="666666"/>
                <w:lang w:val="nl-BE"/>
              </w:rPr>
            </w:pPr>
            <w:r w:rsidRPr="00D0604C">
              <w:rPr>
                <w:color w:val="666666"/>
                <w:lang w:val="nl-BE"/>
              </w:rPr>
              <w:t>13 november 2023</w:t>
            </w:r>
          </w:p>
        </w:tc>
      </w:tr>
      <w:tr w:rsidR="00F415AE" w:rsidRPr="00D0604C" w14:paraId="39FD5270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B40C" w14:textId="77777777" w:rsidR="00F415AE" w:rsidRPr="00D0604C" w:rsidRDefault="00F415AE">
            <w:pPr>
              <w:widowControl w:val="0"/>
              <w:rPr>
                <w:lang w:val="nl-BE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D2D32A9" w14:textId="77777777" w:rsidR="00F415AE" w:rsidRPr="00D0604C" w:rsidRDefault="00E42B74">
            <w:pPr>
              <w:widowControl w:val="0"/>
              <w:jc w:val="right"/>
              <w:rPr>
                <w:color w:val="666666"/>
                <w:lang w:val="nl-BE"/>
              </w:rPr>
            </w:pPr>
            <w:r w:rsidRPr="00D0604C">
              <w:rPr>
                <w:color w:val="666666"/>
                <w:lang w:val="nl-BE"/>
              </w:rPr>
              <w:t>INF/23/34</w:t>
            </w:r>
          </w:p>
        </w:tc>
      </w:tr>
      <w:tr w:rsidR="00F415AE" w:rsidRPr="00D0604C" w14:paraId="47A6C2CB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65072BF" w14:textId="77777777" w:rsidR="00F415AE" w:rsidRPr="00D0604C" w:rsidRDefault="00E42B74">
            <w:pPr>
              <w:widowControl w:val="0"/>
              <w:jc w:val="right"/>
              <w:rPr>
                <w:b/>
                <w:sz w:val="20"/>
                <w:szCs w:val="20"/>
                <w:lang w:val="nl-BE"/>
              </w:rPr>
            </w:pPr>
            <w:r w:rsidRPr="00D0604C">
              <w:rPr>
                <w:b/>
                <w:sz w:val="20"/>
                <w:szCs w:val="20"/>
                <w:lang w:val="nl-BE"/>
              </w:rPr>
              <w:t>Contactpersoon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74EDDFC" w14:textId="77777777" w:rsidR="00F415AE" w:rsidRPr="00D0604C" w:rsidRDefault="00E42B74">
            <w:pPr>
              <w:widowControl w:val="0"/>
              <w:rPr>
                <w:lang w:val="nl-BE"/>
              </w:rPr>
            </w:pPr>
            <w:r w:rsidRPr="00D0604C">
              <w:rPr>
                <w:lang w:val="nl-BE"/>
              </w:rPr>
              <w:t>Team hulpmiddelen en aanpassingen</w:t>
            </w:r>
          </w:p>
        </w:tc>
      </w:tr>
      <w:tr w:rsidR="00F415AE" w:rsidRPr="00D0604C" w14:paraId="096D4339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38BD311" w14:textId="77777777" w:rsidR="00F415AE" w:rsidRPr="00D0604C" w:rsidRDefault="00E42B74">
            <w:pPr>
              <w:widowControl w:val="0"/>
              <w:jc w:val="right"/>
              <w:rPr>
                <w:b/>
                <w:sz w:val="20"/>
                <w:szCs w:val="20"/>
                <w:lang w:val="nl-BE"/>
              </w:rPr>
            </w:pPr>
            <w:r w:rsidRPr="00D0604C">
              <w:rPr>
                <w:b/>
                <w:sz w:val="20"/>
                <w:szCs w:val="20"/>
                <w:lang w:val="nl-BE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62D0D8B" w14:textId="77777777" w:rsidR="00F415AE" w:rsidRPr="00D0604C" w:rsidRDefault="00E42B74">
            <w:pPr>
              <w:widowControl w:val="0"/>
              <w:rPr>
                <w:sz w:val="20"/>
                <w:szCs w:val="20"/>
                <w:lang w:val="nl-BE"/>
              </w:rPr>
            </w:pPr>
            <w:proofErr w:type="gramStart"/>
            <w:r w:rsidRPr="00D0604C">
              <w:rPr>
                <w:sz w:val="20"/>
                <w:szCs w:val="20"/>
                <w:lang w:val="nl-BE"/>
              </w:rPr>
              <w:t>hulpmiddelen@vaph.be</w:t>
            </w:r>
            <w:proofErr w:type="gramEnd"/>
          </w:p>
        </w:tc>
      </w:tr>
      <w:tr w:rsidR="00F415AE" w:rsidRPr="00D0604C" w14:paraId="7C3E6E8B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FB89E40" w14:textId="77777777" w:rsidR="00F415AE" w:rsidRPr="00D0604C" w:rsidRDefault="00F415AE">
            <w:pPr>
              <w:widowControl w:val="0"/>
              <w:jc w:val="right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289BCE19" w14:textId="77777777" w:rsidR="00F415AE" w:rsidRPr="00D0604C" w:rsidRDefault="00F415AE">
            <w:pPr>
              <w:widowControl w:val="0"/>
              <w:rPr>
                <w:sz w:val="20"/>
                <w:szCs w:val="20"/>
                <w:lang w:val="nl-BE"/>
              </w:rPr>
            </w:pPr>
          </w:p>
        </w:tc>
      </w:tr>
      <w:tr w:rsidR="00F415AE" w:rsidRPr="00D0604C" w14:paraId="76171511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223C60F" w14:textId="77777777" w:rsidR="00F415AE" w:rsidRPr="00D0604C" w:rsidRDefault="00F415AE">
            <w:pPr>
              <w:widowControl w:val="0"/>
              <w:jc w:val="right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171CECB" w14:textId="77777777" w:rsidR="00F415AE" w:rsidRPr="00D0604C" w:rsidRDefault="00F415AE">
            <w:pPr>
              <w:widowControl w:val="0"/>
              <w:rPr>
                <w:sz w:val="20"/>
                <w:szCs w:val="20"/>
                <w:lang w:val="nl-BE"/>
              </w:rPr>
            </w:pPr>
          </w:p>
        </w:tc>
      </w:tr>
      <w:tr w:rsidR="00F415AE" w:rsidRPr="00D0604C" w14:paraId="3375DEF5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6577024" w14:textId="77777777" w:rsidR="00F415AE" w:rsidRPr="00D0604C" w:rsidRDefault="00E42B74">
            <w:pPr>
              <w:widowControl w:val="0"/>
              <w:rPr>
                <w:sz w:val="34"/>
                <w:szCs w:val="34"/>
                <w:lang w:val="nl-BE"/>
              </w:rPr>
            </w:pPr>
            <w:r w:rsidRPr="00D0604C">
              <w:rPr>
                <w:sz w:val="34"/>
                <w:szCs w:val="34"/>
                <w:lang w:val="nl-BE"/>
              </w:rPr>
              <w:t>Wijzigingen aan de refertelijsten en de hulpmiddelenfiches vanaf 1/01/2024</w:t>
            </w:r>
          </w:p>
        </w:tc>
      </w:tr>
      <w:tr w:rsidR="00F415AE" w:rsidRPr="00D0604C" w14:paraId="668F87AC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BF73A97" w14:textId="77777777" w:rsidR="00F415AE" w:rsidRPr="00D0604C" w:rsidRDefault="00E42B74">
            <w:pPr>
              <w:widowControl w:val="0"/>
              <w:jc w:val="right"/>
              <w:rPr>
                <w:sz w:val="20"/>
                <w:szCs w:val="20"/>
                <w:lang w:val="nl-BE"/>
              </w:rPr>
            </w:pPr>
            <w:r w:rsidRPr="00D0604C">
              <w:rPr>
                <w:sz w:val="20"/>
                <w:szCs w:val="20"/>
                <w:lang w:val="nl-BE"/>
              </w:rPr>
              <w:t xml:space="preserve"> </w:t>
            </w:r>
          </w:p>
        </w:tc>
      </w:tr>
    </w:tbl>
    <w:p w14:paraId="2B54C301" w14:textId="77777777" w:rsidR="00F415AE" w:rsidRPr="00D0604C" w:rsidRDefault="00E42B74">
      <w:pPr>
        <w:widowControl w:val="0"/>
        <w:rPr>
          <w:lang w:val="nl-BE"/>
        </w:rPr>
      </w:pPr>
      <w:r w:rsidRPr="00D0604C">
        <w:rPr>
          <w:lang w:val="nl-BE"/>
        </w:rPr>
        <w:t xml:space="preserve">Vanaf 1 januari 2024 worden een aantal wijzigingen aan de refertelijsten en de hulpmiddelenfiches doorgevoerd. We lichten </w:t>
      </w:r>
      <w:proofErr w:type="gramStart"/>
      <w:r w:rsidRPr="00D0604C">
        <w:rPr>
          <w:lang w:val="nl-BE"/>
        </w:rPr>
        <w:t>hier toe</w:t>
      </w:r>
      <w:proofErr w:type="gramEnd"/>
      <w:r w:rsidRPr="00D0604C">
        <w:rPr>
          <w:lang w:val="nl-BE"/>
        </w:rPr>
        <w:t xml:space="preserve"> wat de wijzigingen precies inhouden. De wijzigingen gelden voor aanvragen die bij het VAPH ingediend worden vanaf die datum.</w:t>
      </w:r>
    </w:p>
    <w:p w14:paraId="6DC9B7F4" w14:textId="77777777" w:rsidR="00F415AE" w:rsidRPr="00D0604C" w:rsidRDefault="00F415AE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496C60" w14:textId="0D7DDD60" w:rsidR="00F415AE" w:rsidRPr="00D0604C" w:rsidRDefault="00E42B74" w:rsidP="00D0604C">
      <w:pPr>
        <w:pStyle w:val="Kop3"/>
        <w:numPr>
          <w:ilvl w:val="0"/>
          <w:numId w:val="1"/>
        </w:numPr>
        <w:spacing w:after="240"/>
        <w:rPr>
          <w:lang w:val="nl-BE"/>
        </w:rPr>
      </w:pPr>
      <w:bookmarkStart w:id="0" w:name="_relf0sfh43ty" w:colFirst="0" w:colLast="0"/>
      <w:bookmarkEnd w:id="0"/>
      <w:r w:rsidRPr="00D0604C">
        <w:rPr>
          <w:lang w:val="nl-BE"/>
        </w:rPr>
        <w:t>Algemene verhoging van de bedragen</w:t>
      </w:r>
    </w:p>
    <w:p w14:paraId="1BCF4B03" w14:textId="77777777" w:rsidR="00F415AE" w:rsidRPr="00D0604C" w:rsidRDefault="00E42B74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D0604C">
        <w:rPr>
          <w:lang w:val="nl-BE"/>
        </w:rPr>
        <w:t>M</w:t>
      </w:r>
      <w:r w:rsidRPr="00D0604C">
        <w:rPr>
          <w:lang w:val="nl-BE"/>
        </w:rPr>
        <w:t xml:space="preserve">et uitzondering van de recent opgenomen vergoedingen vanaf 1 april en 1 oktober 2023 worden alle bedragen vermeld in de refertelijst, de refertelijst bis en de hulpmiddelenfiches verhoogd met 5%. </w:t>
      </w:r>
    </w:p>
    <w:p w14:paraId="7A7D650A" w14:textId="77777777" w:rsidR="00F415AE" w:rsidRPr="00D0604C" w:rsidRDefault="00F415AE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379A2CA4" w14:textId="77777777" w:rsidR="00F415AE" w:rsidRPr="00D0604C" w:rsidRDefault="00E42B74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D0604C">
        <w:rPr>
          <w:lang w:val="nl-BE"/>
        </w:rPr>
        <w:t xml:space="preserve">Het VAPH neemt deze </w:t>
      </w:r>
      <w:r w:rsidRPr="00D0604C">
        <w:rPr>
          <w:lang w:val="nl-BE"/>
        </w:rPr>
        <w:t xml:space="preserve">maatregel om de vergoedingen beter af te stemmen op de gestegen prijzen voor de hulpmiddelen en aanpassingen en de producten waarmee de hoogte van de basiskosten bepaald wordt. </w:t>
      </w:r>
    </w:p>
    <w:p w14:paraId="30AF5ABC" w14:textId="77777777" w:rsidR="00F415AE" w:rsidRPr="00D0604C" w:rsidRDefault="00F415AE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604E3E50" w14:textId="63722821" w:rsidR="00F415AE" w:rsidRPr="00D0604C" w:rsidRDefault="00E42B74" w:rsidP="00D0604C">
      <w:pPr>
        <w:pStyle w:val="Kop3"/>
        <w:numPr>
          <w:ilvl w:val="0"/>
          <w:numId w:val="1"/>
        </w:numPr>
        <w:spacing w:after="240"/>
        <w:rPr>
          <w:lang w:val="nl-BE"/>
        </w:rPr>
      </w:pPr>
      <w:bookmarkStart w:id="1" w:name="_ctwp44pjppeg" w:colFirst="0" w:colLast="0"/>
      <w:bookmarkEnd w:id="1"/>
      <w:r w:rsidRPr="00D0604C">
        <w:rPr>
          <w:lang w:val="nl-BE"/>
        </w:rPr>
        <w:t>Uitbreiding refertelijst bis</w:t>
      </w:r>
    </w:p>
    <w:p w14:paraId="34B97AF3" w14:textId="48673A7E" w:rsidR="00F415AE" w:rsidRPr="00D0604C" w:rsidRDefault="00E42B74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D0604C">
        <w:rPr>
          <w:lang w:val="nl-BE"/>
        </w:rPr>
        <w:t>D</w:t>
      </w:r>
      <w:r w:rsidRPr="00D0604C">
        <w:rPr>
          <w:lang w:val="nl-BE"/>
        </w:rPr>
        <w:t>e refertelijst bis omvat alle referterubrieken</w:t>
      </w:r>
      <w:r w:rsidRPr="00D0604C">
        <w:rPr>
          <w:lang w:val="nl-BE"/>
        </w:rPr>
        <w:t xml:space="preserve"> die kunnen </w:t>
      </w:r>
      <w:r w:rsidRPr="00D0604C">
        <w:rPr>
          <w:lang w:val="nl-BE"/>
        </w:rPr>
        <w:t>worden</w:t>
      </w:r>
      <w:r>
        <w:rPr>
          <w:lang w:val="nl-BE"/>
        </w:rPr>
        <w:t xml:space="preserve"> </w:t>
      </w:r>
      <w:r w:rsidRPr="00D0604C">
        <w:rPr>
          <w:lang w:val="nl-BE"/>
        </w:rPr>
        <w:t>toegekend</w:t>
      </w:r>
      <w:r w:rsidRPr="00D0604C">
        <w:rPr>
          <w:lang w:val="nl-BE"/>
        </w:rPr>
        <w:t xml:space="preserve"> voor gebruik bij een zorgaanbieder die erkend of vergund is bij het VAPH (</w:t>
      </w:r>
      <w:r>
        <w:rPr>
          <w:lang w:val="nl-BE"/>
        </w:rPr>
        <w:t>bv</w:t>
      </w:r>
      <w:r w:rsidRPr="00D0604C">
        <w:rPr>
          <w:lang w:val="nl-BE"/>
        </w:rPr>
        <w:t xml:space="preserve">. </w:t>
      </w:r>
      <w:proofErr w:type="spellStart"/>
      <w:r w:rsidRPr="00D0604C">
        <w:rPr>
          <w:lang w:val="nl-BE"/>
        </w:rPr>
        <w:t>VZA’s</w:t>
      </w:r>
      <w:proofErr w:type="spellEnd"/>
      <w:r w:rsidRPr="00D0604C">
        <w:rPr>
          <w:lang w:val="nl-BE"/>
        </w:rPr>
        <w:t xml:space="preserve">, </w:t>
      </w:r>
      <w:proofErr w:type="spellStart"/>
      <w:r w:rsidRPr="00D0604C">
        <w:rPr>
          <w:lang w:val="nl-BE"/>
        </w:rPr>
        <w:t>MFC’s</w:t>
      </w:r>
      <w:proofErr w:type="spellEnd"/>
      <w:r w:rsidRPr="00D0604C">
        <w:rPr>
          <w:lang w:val="nl-BE"/>
        </w:rPr>
        <w:t xml:space="preserve"> of ouderinitiatieven) wanneer voldaan is aan de specifieke voorwaarden in de IMB-regelgeving.</w:t>
      </w:r>
    </w:p>
    <w:p w14:paraId="4AAE87BB" w14:textId="77777777" w:rsidR="00F415AE" w:rsidRPr="00D0604C" w:rsidRDefault="00F415AE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3F4F256C" w14:textId="3B3BCE96" w:rsidR="00F415AE" w:rsidRPr="00D0604C" w:rsidRDefault="00E42B74" w:rsidP="00E42B7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nl-BE"/>
        </w:rPr>
      </w:pPr>
      <w:r w:rsidRPr="00D0604C">
        <w:rPr>
          <w:lang w:val="nl-BE"/>
        </w:rPr>
        <w:t>Vanaf 1 januari 2024 worden volgende refe</w:t>
      </w:r>
      <w:r w:rsidRPr="00D0604C">
        <w:rPr>
          <w:lang w:val="nl-BE"/>
        </w:rPr>
        <w:t xml:space="preserve">rterubrieken bijkomend opgenomen in de refertelijst bis:  </w:t>
      </w:r>
    </w:p>
    <w:p w14:paraId="5A5B7341" w14:textId="77777777" w:rsidR="00F415AE" w:rsidRPr="00D0604C" w:rsidRDefault="00E42B74">
      <w:pPr>
        <w:numPr>
          <w:ilvl w:val="0"/>
          <w:numId w:val="2"/>
        </w:numPr>
        <w:rPr>
          <w:lang w:val="nl-BE"/>
        </w:rPr>
      </w:pPr>
      <w:r w:rsidRPr="00D0604C">
        <w:rPr>
          <w:lang w:val="nl-BE"/>
        </w:rPr>
        <w:t>Specifieke zetel voor personen met de ziekte van Huntington</w:t>
      </w:r>
    </w:p>
    <w:p w14:paraId="01616859" w14:textId="77777777" w:rsidR="00F415AE" w:rsidRPr="00D0604C" w:rsidRDefault="00E42B74">
      <w:pPr>
        <w:numPr>
          <w:ilvl w:val="0"/>
          <w:numId w:val="2"/>
        </w:numPr>
        <w:rPr>
          <w:lang w:val="nl-BE"/>
        </w:rPr>
      </w:pPr>
      <w:r w:rsidRPr="00D0604C">
        <w:rPr>
          <w:lang w:val="nl-BE"/>
        </w:rPr>
        <w:t>Anti-decubituskussen</w:t>
      </w:r>
    </w:p>
    <w:p w14:paraId="10ECC8BF" w14:textId="77777777" w:rsidR="00F415AE" w:rsidRPr="00D0604C" w:rsidRDefault="00E42B74">
      <w:pPr>
        <w:numPr>
          <w:ilvl w:val="0"/>
          <w:numId w:val="2"/>
        </w:numPr>
        <w:rPr>
          <w:lang w:val="nl-BE"/>
        </w:rPr>
      </w:pPr>
      <w:r w:rsidRPr="00D0604C">
        <w:rPr>
          <w:lang w:val="nl-BE"/>
        </w:rPr>
        <w:lastRenderedPageBreak/>
        <w:t>Anti-decubitusmatras: Statische matras</w:t>
      </w:r>
    </w:p>
    <w:p w14:paraId="66DDF385" w14:textId="77777777" w:rsidR="00F415AE" w:rsidRPr="00D0604C" w:rsidRDefault="00E42B74">
      <w:pPr>
        <w:numPr>
          <w:ilvl w:val="0"/>
          <w:numId w:val="2"/>
        </w:numPr>
        <w:rPr>
          <w:lang w:val="nl-BE"/>
        </w:rPr>
      </w:pPr>
      <w:r w:rsidRPr="00D0604C">
        <w:rPr>
          <w:lang w:val="nl-BE"/>
        </w:rPr>
        <w:t>Anti-decubitusmatras: Statische oplegmatras</w:t>
      </w:r>
    </w:p>
    <w:p w14:paraId="6BD41A21" w14:textId="77777777" w:rsidR="00F415AE" w:rsidRPr="00D0604C" w:rsidRDefault="00E42B74">
      <w:pPr>
        <w:numPr>
          <w:ilvl w:val="0"/>
          <w:numId w:val="2"/>
        </w:numPr>
        <w:rPr>
          <w:lang w:val="nl-BE"/>
        </w:rPr>
      </w:pPr>
      <w:r w:rsidRPr="00D0604C">
        <w:rPr>
          <w:lang w:val="nl-BE"/>
        </w:rPr>
        <w:t>Anti-decubitusmatras: Wisseldrukmatras</w:t>
      </w:r>
    </w:p>
    <w:p w14:paraId="42FB6038" w14:textId="77777777" w:rsidR="00F415AE" w:rsidRPr="00D0604C" w:rsidRDefault="00E42B74">
      <w:pPr>
        <w:numPr>
          <w:ilvl w:val="0"/>
          <w:numId w:val="2"/>
        </w:numPr>
        <w:rPr>
          <w:lang w:val="nl-BE"/>
        </w:rPr>
      </w:pPr>
      <w:r w:rsidRPr="00D0604C">
        <w:rPr>
          <w:lang w:val="nl-BE"/>
        </w:rPr>
        <w:t xml:space="preserve">Anti-decubitusmatras: </w:t>
      </w:r>
      <w:proofErr w:type="spellStart"/>
      <w:r w:rsidRPr="00D0604C">
        <w:rPr>
          <w:lang w:val="nl-BE"/>
        </w:rPr>
        <w:t>Wisseldrukoplegmatras</w:t>
      </w:r>
      <w:proofErr w:type="spellEnd"/>
    </w:p>
    <w:p w14:paraId="40A7247A" w14:textId="77777777" w:rsidR="00F415AE" w:rsidRPr="00D0604C" w:rsidRDefault="00E42B74">
      <w:pPr>
        <w:numPr>
          <w:ilvl w:val="0"/>
          <w:numId w:val="2"/>
        </w:numPr>
        <w:rPr>
          <w:lang w:val="nl-BE"/>
        </w:rPr>
      </w:pPr>
      <w:r w:rsidRPr="00D0604C">
        <w:rPr>
          <w:lang w:val="nl-BE"/>
        </w:rPr>
        <w:t>Anti-decubitusmatras: Aanvulling: 30°-zijligkussen</w:t>
      </w:r>
    </w:p>
    <w:p w14:paraId="672F37E1" w14:textId="77777777" w:rsidR="00F415AE" w:rsidRPr="00D0604C" w:rsidRDefault="00E42B74">
      <w:pPr>
        <w:numPr>
          <w:ilvl w:val="0"/>
          <w:numId w:val="2"/>
        </w:numPr>
        <w:rPr>
          <w:lang w:val="nl-BE"/>
        </w:rPr>
      </w:pPr>
      <w:r w:rsidRPr="00D0604C">
        <w:rPr>
          <w:lang w:val="nl-BE"/>
        </w:rPr>
        <w:t>Anti-decubitusmatras: Aanvulling: Zwevende hielenkussen</w:t>
      </w:r>
    </w:p>
    <w:p w14:paraId="197FB198" w14:textId="77777777" w:rsidR="00F415AE" w:rsidRPr="00D0604C" w:rsidRDefault="00E42B74">
      <w:pPr>
        <w:numPr>
          <w:ilvl w:val="0"/>
          <w:numId w:val="2"/>
        </w:numPr>
        <w:rPr>
          <w:lang w:val="nl-BE"/>
        </w:rPr>
      </w:pPr>
      <w:proofErr w:type="spellStart"/>
      <w:r w:rsidRPr="00D0604C">
        <w:rPr>
          <w:lang w:val="nl-BE"/>
        </w:rPr>
        <w:t>Tilband</w:t>
      </w:r>
      <w:proofErr w:type="spellEnd"/>
      <w:r w:rsidRPr="00D0604C">
        <w:rPr>
          <w:lang w:val="nl-BE"/>
        </w:rPr>
        <w:t xml:space="preserve"> of </w:t>
      </w:r>
      <w:proofErr w:type="spellStart"/>
      <w:r w:rsidRPr="00D0604C">
        <w:rPr>
          <w:lang w:val="nl-BE"/>
        </w:rPr>
        <w:t>tildoek</w:t>
      </w:r>
      <w:proofErr w:type="spellEnd"/>
    </w:p>
    <w:p w14:paraId="52CCDB8D" w14:textId="77777777" w:rsidR="00F415AE" w:rsidRPr="00D0604C" w:rsidRDefault="00F415AE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180F8711" w14:textId="77777777" w:rsidR="00F415AE" w:rsidRPr="00D0604C" w:rsidRDefault="00E42B74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D0604C">
        <w:rPr>
          <w:lang w:val="nl-BE"/>
        </w:rPr>
        <w:t>We</w:t>
      </w:r>
      <w:r w:rsidRPr="00D0604C">
        <w:rPr>
          <w:lang w:val="nl-BE"/>
        </w:rPr>
        <w:t xml:space="preserve"> hanteren hiervoor dezelfde tegemoetkomingen als in de refertelijst. In de hulpmiddelenfiches worden geen specifieke bijkomende voorwaarden opgenomen naar aanleiding van deze wijziging.    </w:t>
      </w:r>
    </w:p>
    <w:p w14:paraId="26BD5EA9" w14:textId="77777777" w:rsidR="00F415AE" w:rsidRPr="00D0604C" w:rsidRDefault="00F415AE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49E537CF" w14:textId="77777777" w:rsidR="00F415AE" w:rsidRPr="00D0604C" w:rsidRDefault="00E42B74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D0604C">
        <w:rPr>
          <w:lang w:val="nl-BE"/>
        </w:rPr>
        <w:t>De uitbreiding komt er na een bevraging van de betrokken organisa</w:t>
      </w:r>
      <w:r w:rsidRPr="00D0604C">
        <w:rPr>
          <w:lang w:val="nl-BE"/>
        </w:rPr>
        <w:t xml:space="preserve">ties en in overleg met vertegenwoordigers van de betrokken belangengroepen.   </w:t>
      </w:r>
    </w:p>
    <w:p w14:paraId="799AE5CC" w14:textId="77777777" w:rsidR="00F415AE" w:rsidRPr="00D0604C" w:rsidRDefault="00F415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466ECF00" w14:textId="77777777" w:rsidR="00F415AE" w:rsidRPr="00D0604C" w:rsidRDefault="00E42B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D0604C">
        <w:rPr>
          <w:lang w:val="nl-BE"/>
        </w:rPr>
        <w:t xml:space="preserve">Als u vragen heeft over deze wijzigingen, dan kunt u contact opnemen met het VAPH via de contactgegevens bovenaan deze infonota. </w:t>
      </w:r>
    </w:p>
    <w:p w14:paraId="240811A3" w14:textId="77777777" w:rsidR="00F415AE" w:rsidRPr="00D0604C" w:rsidRDefault="00F415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64995D80" w14:textId="77777777" w:rsidR="00F415AE" w:rsidRPr="00D0604C" w:rsidRDefault="00F415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6AA4D5AF" w14:textId="77777777" w:rsidR="00F415AE" w:rsidRPr="00D0604C" w:rsidRDefault="00F415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50A680C7" w14:textId="77777777" w:rsidR="00F415AE" w:rsidRPr="00D0604C" w:rsidRDefault="00F415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1EA722D8" w14:textId="77777777" w:rsidR="00F415AE" w:rsidRPr="00D0604C" w:rsidRDefault="00F415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CF07610" w14:textId="77777777" w:rsidR="00F415AE" w:rsidRPr="00D0604C" w:rsidRDefault="00E42B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D0604C">
        <w:rPr>
          <w:lang w:val="nl-BE"/>
        </w:rPr>
        <w:t>James Van Casteren</w:t>
      </w:r>
    </w:p>
    <w:p w14:paraId="7FEE0320" w14:textId="77777777" w:rsidR="00F415AE" w:rsidRPr="00D0604C" w:rsidRDefault="00E42B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lang w:val="nl-BE"/>
        </w:rPr>
      </w:pPr>
      <w:r w:rsidRPr="00D0604C">
        <w:rPr>
          <w:lang w:val="nl-BE"/>
        </w:rPr>
        <w:t>Administrateur-generaal</w:t>
      </w:r>
    </w:p>
    <w:sectPr w:rsidR="00F415AE" w:rsidRPr="00D0604C">
      <w:footerReference w:type="default" r:id="rId8"/>
      <w:headerReference w:type="first" r:id="rId9"/>
      <w:footerReference w:type="first" r:id="rId10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A6BC" w14:textId="77777777" w:rsidR="00000000" w:rsidRDefault="00E42B74">
      <w:pPr>
        <w:spacing w:line="240" w:lineRule="auto"/>
      </w:pPr>
      <w:r>
        <w:separator/>
      </w:r>
    </w:p>
  </w:endnote>
  <w:endnote w:type="continuationSeparator" w:id="0">
    <w:p w14:paraId="3446BCBD" w14:textId="77777777" w:rsidR="00000000" w:rsidRDefault="00E4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029A" w14:textId="77777777" w:rsidR="00F415AE" w:rsidRDefault="00E42B74">
    <w:pPr>
      <w:jc w:val="right"/>
    </w:pPr>
    <w:r>
      <w:fldChar w:fldCharType="begin"/>
    </w:r>
    <w:r>
      <w:instrText>PAGE</w:instrText>
    </w:r>
    <w:r>
      <w:fldChar w:fldCharType="separate"/>
    </w:r>
    <w:r w:rsidR="00D0604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8C47" w14:textId="77777777" w:rsidR="00F415AE" w:rsidRDefault="00F415AE">
    <w:pPr>
      <w:pBdr>
        <w:top w:val="nil"/>
        <w:left w:val="nil"/>
        <w:bottom w:val="nil"/>
        <w:right w:val="nil"/>
        <w:between w:val="nil"/>
      </w:pBdr>
    </w:pPr>
  </w:p>
  <w:p w14:paraId="4E874A7F" w14:textId="77777777" w:rsidR="00F415AE" w:rsidRDefault="00E42B74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7B2742CD" wp14:editId="2C3AB992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D0604C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D060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6016" w14:textId="77777777" w:rsidR="00000000" w:rsidRDefault="00E42B74">
      <w:pPr>
        <w:spacing w:line="240" w:lineRule="auto"/>
      </w:pPr>
      <w:r>
        <w:separator/>
      </w:r>
    </w:p>
  </w:footnote>
  <w:footnote w:type="continuationSeparator" w:id="0">
    <w:p w14:paraId="1BB34779" w14:textId="77777777" w:rsidR="00000000" w:rsidRDefault="00E42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144" w14:textId="77777777" w:rsidR="00F415AE" w:rsidRDefault="00F415AE">
    <w:pPr>
      <w:jc w:val="center"/>
    </w:pPr>
  </w:p>
  <w:p w14:paraId="64BB2583" w14:textId="5067ACAF" w:rsidR="00F415AE" w:rsidRPr="00D0604C" w:rsidRDefault="00F415AE">
    <w:pPr>
      <w:jc w:val="center"/>
      <w:rPr>
        <w:i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1C04"/>
    <w:multiLevelType w:val="multilevel"/>
    <w:tmpl w:val="E79289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443087"/>
    <w:multiLevelType w:val="multilevel"/>
    <w:tmpl w:val="D7ECF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E"/>
    <w:rsid w:val="00D0604C"/>
    <w:rsid w:val="00E42B74"/>
    <w:rsid w:val="00F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7D85"/>
  <w15:docId w15:val="{D0BAAE1C-9241-4E6F-B3A6-41685CC6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060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604C"/>
  </w:style>
  <w:style w:type="paragraph" w:styleId="Voettekst">
    <w:name w:val="footer"/>
    <w:basedOn w:val="Standaard"/>
    <w:link w:val="VoettekstChar"/>
    <w:uiPriority w:val="99"/>
    <w:unhideWhenUsed/>
    <w:rsid w:val="00D060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Roose</dc:creator>
  <cp:lastModifiedBy>Eva Roose</cp:lastModifiedBy>
  <cp:revision>2</cp:revision>
  <dcterms:created xsi:type="dcterms:W3CDTF">2023-11-10T10:55:00Z</dcterms:created>
  <dcterms:modified xsi:type="dcterms:W3CDTF">2023-11-10T10:55:00Z</dcterms:modified>
</cp:coreProperties>
</file>