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D8096" w14:textId="77777777" w:rsidR="00BE1CCE" w:rsidRDefault="00BE1CCE">
      <w:pPr>
        <w:widowControl w:val="0"/>
        <w:spacing w:line="240" w:lineRule="auto"/>
        <w:rPr>
          <w:sz w:val="12"/>
          <w:szCs w:val="12"/>
        </w:rPr>
      </w:pPr>
    </w:p>
    <w:tbl>
      <w:tblPr>
        <w:tblStyle w:val="a"/>
        <w:tblpPr w:leftFromText="180" w:rightFromText="180" w:topFromText="180" w:bottomFromText="180" w:vertAnchor="text" w:tblpX="-115"/>
        <w:tblW w:w="8880" w:type="dxa"/>
        <w:tblInd w:w="0" w:type="dxa"/>
        <w:tblLayout w:type="fixed"/>
        <w:tblLook w:val="0600" w:firstRow="0" w:lastRow="0" w:firstColumn="0" w:lastColumn="0" w:noHBand="1" w:noVBand="1"/>
      </w:tblPr>
      <w:tblGrid>
        <w:gridCol w:w="2490"/>
        <w:gridCol w:w="6390"/>
      </w:tblGrid>
      <w:tr w:rsidR="00BE1CCE" w14:paraId="1326AEE5" w14:textId="77777777">
        <w:tc>
          <w:tcPr>
            <w:tcW w:w="2490" w:type="dxa"/>
            <w:vMerge w:val="restart"/>
            <w:tcBorders>
              <w:top w:val="nil"/>
              <w:left w:val="nil"/>
              <w:bottom w:val="nil"/>
              <w:right w:val="nil"/>
            </w:tcBorders>
            <w:tcMar>
              <w:top w:w="60" w:type="dxa"/>
              <w:bottom w:w="60" w:type="dxa"/>
            </w:tcMar>
          </w:tcPr>
          <w:p w14:paraId="59DAF24D" w14:textId="77777777" w:rsidR="00BE1CCE" w:rsidRDefault="00D33412">
            <w:pPr>
              <w:widowControl w:val="0"/>
              <w:spacing w:line="240" w:lineRule="auto"/>
              <w:rPr>
                <w:color w:val="666666"/>
              </w:rPr>
            </w:pPr>
            <w:proofErr w:type="spellStart"/>
            <w:r>
              <w:rPr>
                <w:color w:val="666666"/>
              </w:rPr>
              <w:t>Zenithgebouw</w:t>
            </w:r>
            <w:proofErr w:type="spellEnd"/>
          </w:p>
          <w:p w14:paraId="3F8E5EE5" w14:textId="77777777" w:rsidR="00BE1CCE" w:rsidRDefault="00D33412">
            <w:pPr>
              <w:widowControl w:val="0"/>
              <w:spacing w:line="240" w:lineRule="auto"/>
              <w:rPr>
                <w:color w:val="666666"/>
              </w:rPr>
            </w:pPr>
            <w:r>
              <w:rPr>
                <w:color w:val="666666"/>
              </w:rPr>
              <w:t>Koning Albert II-</w:t>
            </w:r>
            <w:proofErr w:type="spellStart"/>
            <w:r>
              <w:rPr>
                <w:color w:val="666666"/>
              </w:rPr>
              <w:t>laan</w:t>
            </w:r>
            <w:proofErr w:type="spellEnd"/>
            <w:r>
              <w:rPr>
                <w:color w:val="666666"/>
              </w:rPr>
              <w:t xml:space="preserve"> 37</w:t>
            </w:r>
            <w:r>
              <w:rPr>
                <w:color w:val="666666"/>
              </w:rPr>
              <w:br/>
              <w:t>1030 BRUSSEL</w:t>
            </w:r>
          </w:p>
          <w:p w14:paraId="53DB58BF" w14:textId="77777777" w:rsidR="00BE1CCE" w:rsidRDefault="00D33412">
            <w:pPr>
              <w:widowControl w:val="0"/>
              <w:spacing w:line="240" w:lineRule="auto"/>
            </w:pPr>
            <w:r>
              <w:t>www.vaph.be</w:t>
            </w:r>
          </w:p>
        </w:tc>
        <w:tc>
          <w:tcPr>
            <w:tcW w:w="6390" w:type="dxa"/>
            <w:tcBorders>
              <w:top w:val="nil"/>
              <w:left w:val="nil"/>
              <w:bottom w:val="nil"/>
              <w:right w:val="nil"/>
            </w:tcBorders>
            <w:tcMar>
              <w:top w:w="60" w:type="dxa"/>
              <w:bottom w:w="60" w:type="dxa"/>
            </w:tcMar>
          </w:tcPr>
          <w:p w14:paraId="20E88442" w14:textId="77777777" w:rsidR="00BE1CCE" w:rsidRDefault="00D33412">
            <w:pPr>
              <w:widowControl w:val="0"/>
              <w:jc w:val="right"/>
              <w:rPr>
                <w:b/>
                <w:sz w:val="36"/>
                <w:szCs w:val="36"/>
              </w:rPr>
            </w:pPr>
            <w:r>
              <w:rPr>
                <w:b/>
                <w:sz w:val="36"/>
                <w:szCs w:val="36"/>
              </w:rPr>
              <w:t>MEDEDELING</w:t>
            </w:r>
          </w:p>
        </w:tc>
      </w:tr>
      <w:tr w:rsidR="00BE1CCE" w14:paraId="4B7CC4C6" w14:textId="77777777">
        <w:tc>
          <w:tcPr>
            <w:tcW w:w="2490" w:type="dxa"/>
            <w:vMerge/>
            <w:tcBorders>
              <w:top w:val="nil"/>
              <w:left w:val="nil"/>
              <w:bottom w:val="nil"/>
              <w:right w:val="nil"/>
            </w:tcBorders>
          </w:tcPr>
          <w:p w14:paraId="4E1055A4" w14:textId="77777777" w:rsidR="00BE1CCE" w:rsidRDefault="00BE1CCE">
            <w:pPr>
              <w:widowControl w:val="0"/>
            </w:pPr>
          </w:p>
        </w:tc>
        <w:tc>
          <w:tcPr>
            <w:tcW w:w="6390" w:type="dxa"/>
            <w:tcBorders>
              <w:top w:val="nil"/>
              <w:left w:val="nil"/>
              <w:bottom w:val="nil"/>
              <w:right w:val="nil"/>
            </w:tcBorders>
            <w:tcMar>
              <w:top w:w="60" w:type="dxa"/>
              <w:bottom w:w="60" w:type="dxa"/>
            </w:tcMar>
          </w:tcPr>
          <w:p w14:paraId="63B2553C" w14:textId="77777777" w:rsidR="00BE1CCE" w:rsidRDefault="00D33412">
            <w:pPr>
              <w:widowControl w:val="0"/>
              <w:jc w:val="right"/>
              <w:rPr>
                <w:b/>
                <w:sz w:val="26"/>
                <w:szCs w:val="26"/>
              </w:rPr>
            </w:pPr>
            <w:proofErr w:type="spellStart"/>
            <w:r>
              <w:rPr>
                <w:b/>
                <w:sz w:val="26"/>
                <w:szCs w:val="26"/>
              </w:rPr>
              <w:t>Gericht</w:t>
            </w:r>
            <w:proofErr w:type="spellEnd"/>
            <w:r>
              <w:rPr>
                <w:b/>
                <w:sz w:val="26"/>
                <w:szCs w:val="26"/>
              </w:rPr>
              <w:t xml:space="preserve"> </w:t>
            </w:r>
            <w:proofErr w:type="spellStart"/>
            <w:r>
              <w:rPr>
                <w:b/>
                <w:sz w:val="26"/>
                <w:szCs w:val="26"/>
              </w:rPr>
              <w:t>aan</w:t>
            </w:r>
            <w:proofErr w:type="spellEnd"/>
            <w:r>
              <w:rPr>
                <w:b/>
                <w:sz w:val="26"/>
                <w:szCs w:val="26"/>
              </w:rPr>
              <w:t xml:space="preserve">: PAB- </w:t>
            </w:r>
            <w:proofErr w:type="spellStart"/>
            <w:r>
              <w:rPr>
                <w:b/>
                <w:sz w:val="26"/>
                <w:szCs w:val="26"/>
              </w:rPr>
              <w:t>en</w:t>
            </w:r>
            <w:proofErr w:type="spellEnd"/>
            <w:r>
              <w:rPr>
                <w:b/>
                <w:sz w:val="26"/>
                <w:szCs w:val="26"/>
              </w:rPr>
              <w:t xml:space="preserve"> PVB-</w:t>
            </w:r>
            <w:proofErr w:type="spellStart"/>
            <w:r>
              <w:rPr>
                <w:b/>
                <w:sz w:val="26"/>
                <w:szCs w:val="26"/>
              </w:rPr>
              <w:t>budgethouders</w:t>
            </w:r>
            <w:proofErr w:type="spellEnd"/>
          </w:p>
        </w:tc>
      </w:tr>
      <w:tr w:rsidR="00BE1CCE" w14:paraId="287FEFA2" w14:textId="77777777">
        <w:tc>
          <w:tcPr>
            <w:tcW w:w="2490" w:type="dxa"/>
            <w:vMerge/>
            <w:tcBorders>
              <w:top w:val="nil"/>
              <w:left w:val="nil"/>
              <w:bottom w:val="nil"/>
              <w:right w:val="nil"/>
            </w:tcBorders>
          </w:tcPr>
          <w:p w14:paraId="0C95C1F0" w14:textId="77777777" w:rsidR="00BE1CCE" w:rsidRDefault="00BE1CCE">
            <w:pPr>
              <w:widowControl w:val="0"/>
            </w:pPr>
          </w:p>
        </w:tc>
        <w:tc>
          <w:tcPr>
            <w:tcW w:w="6390" w:type="dxa"/>
            <w:tcBorders>
              <w:top w:val="nil"/>
              <w:left w:val="nil"/>
              <w:bottom w:val="nil"/>
              <w:right w:val="nil"/>
            </w:tcBorders>
            <w:tcMar>
              <w:top w:w="60" w:type="dxa"/>
              <w:bottom w:w="60" w:type="dxa"/>
            </w:tcMar>
          </w:tcPr>
          <w:p w14:paraId="683DDE24" w14:textId="7004CC4F" w:rsidR="00BE1CCE" w:rsidRDefault="00470AEF">
            <w:pPr>
              <w:widowControl w:val="0"/>
              <w:jc w:val="right"/>
              <w:rPr>
                <w:color w:val="666666"/>
              </w:rPr>
            </w:pPr>
            <w:r>
              <w:rPr>
                <w:color w:val="666666"/>
              </w:rPr>
              <w:t>20</w:t>
            </w:r>
            <w:r w:rsidR="00E02189">
              <w:rPr>
                <w:color w:val="666666"/>
              </w:rPr>
              <w:t xml:space="preserve"> </w:t>
            </w:r>
            <w:proofErr w:type="spellStart"/>
            <w:r w:rsidR="00E02189">
              <w:rPr>
                <w:color w:val="666666"/>
              </w:rPr>
              <w:t>december</w:t>
            </w:r>
            <w:proofErr w:type="spellEnd"/>
            <w:r w:rsidR="00251A11">
              <w:rPr>
                <w:color w:val="666666"/>
              </w:rPr>
              <w:t xml:space="preserve"> </w:t>
            </w:r>
            <w:r w:rsidR="00D33412">
              <w:rPr>
                <w:color w:val="666666"/>
              </w:rPr>
              <w:t>2023</w:t>
            </w:r>
          </w:p>
        </w:tc>
      </w:tr>
      <w:tr w:rsidR="00BE1CCE" w14:paraId="14D61930" w14:textId="77777777">
        <w:tc>
          <w:tcPr>
            <w:tcW w:w="2490" w:type="dxa"/>
            <w:vMerge/>
            <w:tcBorders>
              <w:top w:val="nil"/>
              <w:left w:val="nil"/>
              <w:bottom w:val="nil"/>
              <w:right w:val="nil"/>
            </w:tcBorders>
          </w:tcPr>
          <w:p w14:paraId="4F18EA8C" w14:textId="77777777" w:rsidR="00BE1CCE" w:rsidRDefault="00BE1CCE">
            <w:pPr>
              <w:widowControl w:val="0"/>
            </w:pPr>
          </w:p>
        </w:tc>
        <w:tc>
          <w:tcPr>
            <w:tcW w:w="6390" w:type="dxa"/>
            <w:tcBorders>
              <w:top w:val="nil"/>
              <w:left w:val="nil"/>
              <w:bottom w:val="nil"/>
              <w:right w:val="nil"/>
            </w:tcBorders>
            <w:tcMar>
              <w:top w:w="60" w:type="dxa"/>
              <w:bottom w:w="60" w:type="dxa"/>
            </w:tcMar>
          </w:tcPr>
          <w:p w14:paraId="09EAEEC1" w14:textId="0BA80635" w:rsidR="00BE1CCE" w:rsidRDefault="00D33412">
            <w:pPr>
              <w:widowControl w:val="0"/>
              <w:jc w:val="right"/>
              <w:rPr>
                <w:color w:val="666666"/>
              </w:rPr>
            </w:pPr>
            <w:r>
              <w:rPr>
                <w:color w:val="666666"/>
              </w:rPr>
              <w:t>VAPH/23/</w:t>
            </w:r>
            <w:r w:rsidR="00470AEF">
              <w:rPr>
                <w:color w:val="666666"/>
              </w:rPr>
              <w:t>12</w:t>
            </w:r>
          </w:p>
        </w:tc>
      </w:tr>
      <w:tr w:rsidR="00BE1CCE" w14:paraId="7CFDA95B" w14:textId="77777777">
        <w:tc>
          <w:tcPr>
            <w:tcW w:w="2490" w:type="dxa"/>
            <w:tcBorders>
              <w:top w:val="nil"/>
              <w:left w:val="nil"/>
              <w:bottom w:val="nil"/>
              <w:right w:val="nil"/>
            </w:tcBorders>
            <w:tcMar>
              <w:top w:w="20" w:type="dxa"/>
              <w:bottom w:w="20" w:type="dxa"/>
            </w:tcMar>
          </w:tcPr>
          <w:p w14:paraId="74910D51" w14:textId="77777777" w:rsidR="00BE1CCE" w:rsidRDefault="00D33412">
            <w:pPr>
              <w:widowControl w:val="0"/>
              <w:jc w:val="right"/>
              <w:rPr>
                <w:b/>
                <w:sz w:val="20"/>
                <w:szCs w:val="20"/>
              </w:rPr>
            </w:pPr>
            <w:proofErr w:type="spellStart"/>
            <w:r>
              <w:rPr>
                <w:b/>
                <w:sz w:val="20"/>
                <w:szCs w:val="20"/>
              </w:rPr>
              <w:t>Contactpersoon</w:t>
            </w:r>
            <w:proofErr w:type="spellEnd"/>
          </w:p>
        </w:tc>
        <w:tc>
          <w:tcPr>
            <w:tcW w:w="6390" w:type="dxa"/>
            <w:tcBorders>
              <w:top w:val="nil"/>
              <w:left w:val="nil"/>
              <w:bottom w:val="nil"/>
              <w:right w:val="nil"/>
            </w:tcBorders>
            <w:tcMar>
              <w:top w:w="20" w:type="dxa"/>
              <w:bottom w:w="20" w:type="dxa"/>
            </w:tcMar>
            <w:vAlign w:val="bottom"/>
          </w:tcPr>
          <w:p w14:paraId="7BB8D62E" w14:textId="77777777" w:rsidR="00BE1CCE" w:rsidRDefault="00D33412">
            <w:pPr>
              <w:widowControl w:val="0"/>
              <w:rPr>
                <w:sz w:val="20"/>
                <w:szCs w:val="20"/>
              </w:rPr>
            </w:pPr>
            <w:r>
              <w:rPr>
                <w:sz w:val="20"/>
                <w:szCs w:val="20"/>
              </w:rPr>
              <w:t xml:space="preserve">Team </w:t>
            </w:r>
            <w:proofErr w:type="spellStart"/>
            <w:r>
              <w:rPr>
                <w:sz w:val="20"/>
                <w:szCs w:val="20"/>
              </w:rPr>
              <w:t>Budgetbesteding</w:t>
            </w:r>
            <w:proofErr w:type="spellEnd"/>
          </w:p>
        </w:tc>
      </w:tr>
      <w:tr w:rsidR="00BE1CCE" w14:paraId="3732755F" w14:textId="77777777">
        <w:tc>
          <w:tcPr>
            <w:tcW w:w="2490" w:type="dxa"/>
            <w:tcBorders>
              <w:top w:val="nil"/>
              <w:left w:val="nil"/>
              <w:bottom w:val="nil"/>
              <w:right w:val="nil"/>
            </w:tcBorders>
            <w:tcMar>
              <w:top w:w="20" w:type="dxa"/>
              <w:bottom w:w="20" w:type="dxa"/>
            </w:tcMar>
          </w:tcPr>
          <w:p w14:paraId="2A56F1A2" w14:textId="77777777" w:rsidR="00BE1CCE" w:rsidRDefault="00D33412">
            <w:pPr>
              <w:widowControl w:val="0"/>
              <w:jc w:val="right"/>
              <w:rPr>
                <w:b/>
                <w:sz w:val="20"/>
                <w:szCs w:val="20"/>
              </w:rPr>
            </w:pPr>
            <w:r>
              <w:rPr>
                <w:b/>
                <w:sz w:val="20"/>
                <w:szCs w:val="20"/>
              </w:rPr>
              <w:t>E-mail</w:t>
            </w:r>
          </w:p>
        </w:tc>
        <w:tc>
          <w:tcPr>
            <w:tcW w:w="6390" w:type="dxa"/>
            <w:tcBorders>
              <w:top w:val="nil"/>
              <w:left w:val="nil"/>
              <w:bottom w:val="nil"/>
              <w:right w:val="nil"/>
            </w:tcBorders>
            <w:tcMar>
              <w:top w:w="20" w:type="dxa"/>
              <w:bottom w:w="20" w:type="dxa"/>
            </w:tcMar>
            <w:vAlign w:val="bottom"/>
          </w:tcPr>
          <w:p w14:paraId="6480AB24" w14:textId="77777777" w:rsidR="00BE1CCE" w:rsidRDefault="00D33412">
            <w:pPr>
              <w:widowControl w:val="0"/>
              <w:rPr>
                <w:sz w:val="20"/>
                <w:szCs w:val="20"/>
              </w:rPr>
            </w:pPr>
            <w:r>
              <w:rPr>
                <w:sz w:val="20"/>
                <w:szCs w:val="20"/>
              </w:rPr>
              <w:t>Budgetbesteding@vaph.be</w:t>
            </w:r>
          </w:p>
        </w:tc>
      </w:tr>
      <w:tr w:rsidR="00BE1CCE" w14:paraId="3887B8A8" w14:textId="77777777">
        <w:tc>
          <w:tcPr>
            <w:tcW w:w="2490" w:type="dxa"/>
            <w:tcBorders>
              <w:top w:val="nil"/>
              <w:left w:val="nil"/>
              <w:bottom w:val="nil"/>
              <w:right w:val="nil"/>
            </w:tcBorders>
            <w:tcMar>
              <w:top w:w="20" w:type="dxa"/>
              <w:bottom w:w="20" w:type="dxa"/>
            </w:tcMar>
          </w:tcPr>
          <w:p w14:paraId="25CD8991" w14:textId="77777777" w:rsidR="00BE1CCE" w:rsidRDefault="00D33412">
            <w:pPr>
              <w:widowControl w:val="0"/>
              <w:jc w:val="right"/>
              <w:rPr>
                <w:b/>
                <w:sz w:val="20"/>
                <w:szCs w:val="20"/>
              </w:rPr>
            </w:pPr>
            <w:proofErr w:type="spellStart"/>
            <w:r>
              <w:rPr>
                <w:b/>
                <w:sz w:val="20"/>
                <w:szCs w:val="20"/>
              </w:rPr>
              <w:t>Telefoon</w:t>
            </w:r>
            <w:proofErr w:type="spellEnd"/>
          </w:p>
        </w:tc>
        <w:tc>
          <w:tcPr>
            <w:tcW w:w="6390" w:type="dxa"/>
            <w:tcBorders>
              <w:top w:val="nil"/>
              <w:left w:val="nil"/>
              <w:bottom w:val="nil"/>
              <w:right w:val="nil"/>
            </w:tcBorders>
            <w:tcMar>
              <w:top w:w="20" w:type="dxa"/>
              <w:bottom w:w="20" w:type="dxa"/>
            </w:tcMar>
            <w:vAlign w:val="bottom"/>
          </w:tcPr>
          <w:p w14:paraId="59234129" w14:textId="77777777" w:rsidR="00BE1CCE" w:rsidRDefault="00D33412">
            <w:pPr>
              <w:widowControl w:val="0"/>
              <w:rPr>
                <w:sz w:val="20"/>
                <w:szCs w:val="20"/>
              </w:rPr>
            </w:pPr>
            <w:r>
              <w:rPr>
                <w:sz w:val="20"/>
                <w:szCs w:val="20"/>
              </w:rPr>
              <w:t>02 249 30 00</w:t>
            </w:r>
          </w:p>
        </w:tc>
      </w:tr>
      <w:tr w:rsidR="00BE1CCE" w14:paraId="0783148B" w14:textId="77777777">
        <w:trPr>
          <w:trHeight w:val="30"/>
        </w:trPr>
        <w:tc>
          <w:tcPr>
            <w:tcW w:w="2490" w:type="dxa"/>
            <w:tcBorders>
              <w:top w:val="nil"/>
              <w:left w:val="nil"/>
              <w:bottom w:val="nil"/>
              <w:right w:val="nil"/>
            </w:tcBorders>
            <w:tcMar>
              <w:top w:w="20" w:type="dxa"/>
              <w:bottom w:w="20" w:type="dxa"/>
            </w:tcMar>
          </w:tcPr>
          <w:p w14:paraId="49C3DB0C" w14:textId="77777777" w:rsidR="00BE1CCE" w:rsidRDefault="00D33412">
            <w:pPr>
              <w:widowControl w:val="0"/>
              <w:jc w:val="right"/>
              <w:rPr>
                <w:b/>
                <w:sz w:val="20"/>
                <w:szCs w:val="20"/>
              </w:rPr>
            </w:pPr>
            <w:proofErr w:type="spellStart"/>
            <w:r>
              <w:rPr>
                <w:b/>
                <w:sz w:val="20"/>
                <w:szCs w:val="20"/>
              </w:rPr>
              <w:t>Bijlagen</w:t>
            </w:r>
            <w:proofErr w:type="spellEnd"/>
          </w:p>
        </w:tc>
        <w:tc>
          <w:tcPr>
            <w:tcW w:w="6390" w:type="dxa"/>
            <w:tcBorders>
              <w:top w:val="nil"/>
              <w:left w:val="nil"/>
              <w:bottom w:val="nil"/>
              <w:right w:val="nil"/>
            </w:tcBorders>
            <w:tcMar>
              <w:top w:w="20" w:type="dxa"/>
              <w:bottom w:w="20" w:type="dxa"/>
            </w:tcMar>
            <w:vAlign w:val="bottom"/>
          </w:tcPr>
          <w:p w14:paraId="79B74947" w14:textId="77777777" w:rsidR="00BE1CCE" w:rsidRDefault="00D33412">
            <w:pPr>
              <w:widowControl w:val="0"/>
              <w:rPr>
                <w:sz w:val="20"/>
                <w:szCs w:val="20"/>
              </w:rPr>
            </w:pPr>
            <w:r>
              <w:rPr>
                <w:sz w:val="20"/>
                <w:szCs w:val="20"/>
              </w:rPr>
              <w:t>/</w:t>
            </w:r>
          </w:p>
        </w:tc>
      </w:tr>
      <w:tr w:rsidR="00BE1CCE" w14:paraId="0943D3AF" w14:textId="77777777">
        <w:tc>
          <w:tcPr>
            <w:tcW w:w="8880" w:type="dxa"/>
            <w:gridSpan w:val="2"/>
            <w:tcBorders>
              <w:top w:val="nil"/>
              <w:left w:val="nil"/>
              <w:bottom w:val="nil"/>
              <w:right w:val="nil"/>
            </w:tcBorders>
            <w:tcMar>
              <w:top w:w="60" w:type="dxa"/>
              <w:bottom w:w="60" w:type="dxa"/>
            </w:tcMar>
          </w:tcPr>
          <w:p w14:paraId="4AB7D3C4" w14:textId="77777777" w:rsidR="00BE1CCE" w:rsidRDefault="00D33412">
            <w:pPr>
              <w:widowControl w:val="0"/>
              <w:jc w:val="right"/>
              <w:rPr>
                <w:sz w:val="20"/>
                <w:szCs w:val="20"/>
              </w:rPr>
            </w:pPr>
            <w:r>
              <w:rPr>
                <w:sz w:val="20"/>
                <w:szCs w:val="20"/>
              </w:rPr>
              <w:t xml:space="preserve"> </w:t>
            </w:r>
          </w:p>
        </w:tc>
      </w:tr>
      <w:tr w:rsidR="00BE1CCE" w14:paraId="045A548E" w14:textId="77777777">
        <w:tc>
          <w:tcPr>
            <w:tcW w:w="8880" w:type="dxa"/>
            <w:gridSpan w:val="2"/>
            <w:tcBorders>
              <w:top w:val="nil"/>
              <w:left w:val="nil"/>
              <w:bottom w:val="nil"/>
              <w:right w:val="nil"/>
            </w:tcBorders>
            <w:tcMar>
              <w:top w:w="60" w:type="dxa"/>
              <w:bottom w:w="60" w:type="dxa"/>
            </w:tcMar>
          </w:tcPr>
          <w:p w14:paraId="0A1C8D03" w14:textId="347C083E" w:rsidR="00BE1CCE" w:rsidRPr="00ED5056" w:rsidRDefault="00470AEF">
            <w:pPr>
              <w:widowControl w:val="0"/>
              <w:rPr>
                <w:sz w:val="34"/>
                <w:szCs w:val="34"/>
              </w:rPr>
            </w:pPr>
            <w:proofErr w:type="spellStart"/>
            <w:r>
              <w:rPr>
                <w:color w:val="000000"/>
                <w:sz w:val="34"/>
                <w:szCs w:val="34"/>
              </w:rPr>
              <w:t>Eindejaarspremie</w:t>
            </w:r>
            <w:proofErr w:type="spellEnd"/>
            <w:r>
              <w:rPr>
                <w:color w:val="000000"/>
                <w:sz w:val="34"/>
                <w:szCs w:val="34"/>
              </w:rPr>
              <w:t xml:space="preserve"> </w:t>
            </w:r>
            <w:proofErr w:type="spellStart"/>
            <w:r>
              <w:rPr>
                <w:color w:val="000000"/>
                <w:sz w:val="34"/>
                <w:szCs w:val="34"/>
              </w:rPr>
              <w:t>voor</w:t>
            </w:r>
            <w:proofErr w:type="spellEnd"/>
            <w:r>
              <w:rPr>
                <w:color w:val="000000"/>
                <w:sz w:val="34"/>
                <w:szCs w:val="34"/>
              </w:rPr>
              <w:t xml:space="preserve"> </w:t>
            </w:r>
            <w:proofErr w:type="spellStart"/>
            <w:r>
              <w:rPr>
                <w:color w:val="000000"/>
                <w:sz w:val="34"/>
                <w:szCs w:val="34"/>
              </w:rPr>
              <w:t>persoonlijke</w:t>
            </w:r>
            <w:proofErr w:type="spellEnd"/>
            <w:r>
              <w:rPr>
                <w:color w:val="000000"/>
                <w:sz w:val="34"/>
                <w:szCs w:val="34"/>
              </w:rPr>
              <w:t xml:space="preserve"> </w:t>
            </w:r>
            <w:proofErr w:type="spellStart"/>
            <w:r>
              <w:rPr>
                <w:color w:val="000000"/>
                <w:sz w:val="34"/>
                <w:szCs w:val="34"/>
              </w:rPr>
              <w:t>assistenten</w:t>
            </w:r>
            <w:proofErr w:type="spellEnd"/>
            <w:r>
              <w:rPr>
                <w:color w:val="000000"/>
                <w:sz w:val="34"/>
                <w:szCs w:val="34"/>
              </w:rPr>
              <w:t xml:space="preserve"> of </w:t>
            </w:r>
            <w:proofErr w:type="spellStart"/>
            <w:r>
              <w:rPr>
                <w:color w:val="000000"/>
                <w:sz w:val="34"/>
                <w:szCs w:val="34"/>
              </w:rPr>
              <w:t>individuele</w:t>
            </w:r>
            <w:proofErr w:type="spellEnd"/>
            <w:r>
              <w:rPr>
                <w:color w:val="000000"/>
                <w:sz w:val="34"/>
                <w:szCs w:val="34"/>
              </w:rPr>
              <w:t xml:space="preserve"> </w:t>
            </w:r>
            <w:proofErr w:type="spellStart"/>
            <w:r>
              <w:rPr>
                <w:color w:val="000000"/>
                <w:sz w:val="34"/>
                <w:szCs w:val="34"/>
              </w:rPr>
              <w:t>begeleiders</w:t>
            </w:r>
            <w:proofErr w:type="spellEnd"/>
          </w:p>
        </w:tc>
      </w:tr>
      <w:tr w:rsidR="00BE1CCE" w14:paraId="4917D4CB" w14:textId="77777777">
        <w:tc>
          <w:tcPr>
            <w:tcW w:w="8880" w:type="dxa"/>
            <w:gridSpan w:val="2"/>
            <w:tcBorders>
              <w:top w:val="nil"/>
              <w:left w:val="nil"/>
              <w:bottom w:val="nil"/>
              <w:right w:val="nil"/>
            </w:tcBorders>
            <w:tcMar>
              <w:top w:w="60" w:type="dxa"/>
              <w:bottom w:w="60" w:type="dxa"/>
            </w:tcMar>
          </w:tcPr>
          <w:p w14:paraId="186A825C" w14:textId="77777777" w:rsidR="00BE1CCE" w:rsidRDefault="00D33412">
            <w:pPr>
              <w:widowControl w:val="0"/>
              <w:jc w:val="right"/>
              <w:rPr>
                <w:sz w:val="20"/>
                <w:szCs w:val="20"/>
              </w:rPr>
            </w:pPr>
            <w:r>
              <w:rPr>
                <w:sz w:val="20"/>
                <w:szCs w:val="20"/>
              </w:rPr>
              <w:t xml:space="preserve"> </w:t>
            </w:r>
          </w:p>
        </w:tc>
      </w:tr>
    </w:tbl>
    <w:p w14:paraId="24E85ADA" w14:textId="77777777" w:rsidR="00DB56F5" w:rsidRDefault="00DB56F5" w:rsidP="00DB56F5">
      <w:pPr>
        <w:pStyle w:val="Normaalweb"/>
        <w:spacing w:before="0" w:beforeAutospacing="0" w:after="0" w:afterAutospacing="0"/>
      </w:pPr>
      <w:r>
        <w:rPr>
          <w:rFonts w:ascii="Calibri" w:hAnsi="Calibri" w:cs="Calibri"/>
          <w:b/>
          <w:bCs/>
          <w:color w:val="000000"/>
          <w:sz w:val="22"/>
          <w:szCs w:val="22"/>
        </w:rPr>
        <w:t>Saldo eindejaarspremie 2022</w:t>
      </w:r>
    </w:p>
    <w:p w14:paraId="00F228CD" w14:textId="77777777" w:rsidR="00DB56F5" w:rsidRDefault="00DB56F5" w:rsidP="00DB56F5">
      <w:pPr>
        <w:pStyle w:val="Normaalweb"/>
        <w:spacing w:before="0" w:beforeAutospacing="0" w:after="0" w:afterAutospacing="0"/>
      </w:pPr>
      <w:r>
        <w:rPr>
          <w:rFonts w:ascii="Calibri" w:hAnsi="Calibri" w:cs="Calibri"/>
          <w:color w:val="000000"/>
          <w:sz w:val="22"/>
          <w:szCs w:val="22"/>
        </w:rPr>
        <w:t>De verplichte eindejaarspremie voor persoonlijke assistenten of individuele begeleiders die u via arbeidsovereenkomst tewerkstelt in 2022, wordt uitbetaald via een voorschot en een saldo.  Met het afsluiten van de nieuwe collectieve arbeidsovereenkomst (cao) op 19 december 2023 kunnen wij u nu ook informeren over het saldo van 2022.  </w:t>
      </w:r>
    </w:p>
    <w:p w14:paraId="6513FE83" w14:textId="77777777" w:rsidR="00DB56F5" w:rsidRDefault="00DB56F5" w:rsidP="00DB56F5"/>
    <w:p w14:paraId="4B17D0B7" w14:textId="77777777" w:rsidR="00DB56F5" w:rsidRDefault="00DB56F5" w:rsidP="00DB56F5">
      <w:pPr>
        <w:pStyle w:val="Normaalweb"/>
        <w:spacing w:before="0" w:beforeAutospacing="0" w:after="0" w:afterAutospacing="0"/>
      </w:pPr>
      <w:r>
        <w:rPr>
          <w:rFonts w:ascii="Calibri" w:hAnsi="Calibri" w:cs="Calibri"/>
          <w:color w:val="000000"/>
          <w:sz w:val="22"/>
          <w:szCs w:val="22"/>
        </w:rPr>
        <w:t xml:space="preserve">In </w:t>
      </w:r>
      <w:hyperlink r:id="rId7" w:history="1">
        <w:r>
          <w:rPr>
            <w:rStyle w:val="Hyperlink"/>
            <w:rFonts w:ascii="Calibri" w:hAnsi="Calibri" w:cs="Calibri"/>
            <w:color w:val="1155CC"/>
            <w:sz w:val="22"/>
            <w:szCs w:val="22"/>
          </w:rPr>
          <w:t>de mededeling van 23 februari 2023</w:t>
        </w:r>
      </w:hyperlink>
      <w:r>
        <w:rPr>
          <w:rFonts w:ascii="Calibri" w:hAnsi="Calibri" w:cs="Calibri"/>
          <w:color w:val="000000"/>
          <w:sz w:val="22"/>
          <w:szCs w:val="22"/>
        </w:rPr>
        <w:t xml:space="preserve"> kon u de hoogte lezen van het voorschot voor de eindejaarspremie van 2022. Ook het saldo voor 2022 is nu bekend. Dat werd vastgelegd op </w:t>
      </w:r>
      <w:r>
        <w:rPr>
          <w:rFonts w:ascii="Calibri" w:hAnsi="Calibri" w:cs="Calibri"/>
          <w:b/>
          <w:bCs/>
          <w:color w:val="000000"/>
          <w:sz w:val="22"/>
          <w:szCs w:val="22"/>
        </w:rPr>
        <w:t>194,50 euro bruto exclusief patronale lasten (247,05 euro inclusief patronale lasten) voor een voltijdse werknemer. </w:t>
      </w:r>
    </w:p>
    <w:p w14:paraId="6BAEDBB6" w14:textId="77777777" w:rsidR="00DB56F5" w:rsidRDefault="00DB56F5" w:rsidP="00DB56F5"/>
    <w:p w14:paraId="2E2FD027" w14:textId="77777777" w:rsidR="00DB56F5" w:rsidRDefault="00DB56F5" w:rsidP="00DB56F5">
      <w:pPr>
        <w:pStyle w:val="Normaalweb"/>
        <w:spacing w:before="0" w:beforeAutospacing="0" w:after="0" w:afterAutospacing="0"/>
      </w:pPr>
      <w:r>
        <w:rPr>
          <w:rFonts w:ascii="Calibri" w:hAnsi="Calibri" w:cs="Calibri"/>
          <w:b/>
          <w:bCs/>
          <w:color w:val="000000"/>
          <w:sz w:val="22"/>
          <w:szCs w:val="22"/>
        </w:rPr>
        <w:t>Verhoging budgetlijn 2022</w:t>
      </w:r>
    </w:p>
    <w:p w14:paraId="7B512588" w14:textId="77777777" w:rsidR="00DB56F5" w:rsidRDefault="00DB56F5" w:rsidP="00DB56F5">
      <w:pPr>
        <w:pStyle w:val="Normaalweb"/>
        <w:spacing w:before="0" w:beforeAutospacing="0" w:after="0" w:afterAutospacing="0"/>
      </w:pPr>
      <w:r>
        <w:rPr>
          <w:rFonts w:ascii="Calibri" w:hAnsi="Calibri" w:cs="Calibri"/>
          <w:color w:val="000000"/>
          <w:sz w:val="22"/>
          <w:szCs w:val="22"/>
        </w:rPr>
        <w:t>De herberekening van de budgetlijnen 2022  werd opgestart op 19 december 2023. Dat wil zeggen dat de budgetlijnen systematisch in de daaropvolgende dagen worden aangepast in mijnvaph.be. </w:t>
      </w:r>
    </w:p>
    <w:p w14:paraId="7319C98A" w14:textId="77777777" w:rsidR="00DB56F5" w:rsidRDefault="00DB56F5" w:rsidP="00DB56F5"/>
    <w:p w14:paraId="3F55AC24" w14:textId="77777777" w:rsidR="00DB56F5" w:rsidRDefault="00DB56F5" w:rsidP="00DB56F5">
      <w:pPr>
        <w:pStyle w:val="Normaalweb"/>
        <w:spacing w:before="0" w:beforeAutospacing="0" w:after="0" w:afterAutospacing="0"/>
      </w:pPr>
      <w:r>
        <w:rPr>
          <w:rFonts w:ascii="Calibri" w:hAnsi="Calibri" w:cs="Calibri"/>
          <w:color w:val="000000"/>
          <w:sz w:val="22"/>
          <w:szCs w:val="22"/>
        </w:rPr>
        <w:t>Het resterende saldo uit 2022 waar u recht op hebt, wordt toegevoegd aan uw budgetlijn 2022. </w:t>
      </w:r>
    </w:p>
    <w:p w14:paraId="54B9C867" w14:textId="77777777" w:rsidR="00DB56F5" w:rsidRDefault="00DB56F5" w:rsidP="00DB56F5"/>
    <w:p w14:paraId="764A03C3" w14:textId="77777777" w:rsidR="00DB56F5" w:rsidRDefault="00DB56F5" w:rsidP="00DB56F5">
      <w:pPr>
        <w:pStyle w:val="Normaalweb"/>
        <w:spacing w:before="0" w:beforeAutospacing="0" w:after="0" w:afterAutospacing="0"/>
      </w:pPr>
      <w:r>
        <w:rPr>
          <w:rFonts w:ascii="Calibri" w:hAnsi="Calibri" w:cs="Calibri"/>
          <w:b/>
          <w:bCs/>
          <w:color w:val="000000"/>
          <w:sz w:val="22"/>
          <w:szCs w:val="22"/>
        </w:rPr>
        <w:t>Eindejaarspremie 2023</w:t>
      </w:r>
    </w:p>
    <w:p w14:paraId="107F42B5" w14:textId="149F4F71" w:rsidR="00DB56F5" w:rsidRDefault="00DB56F5" w:rsidP="00DB56F5">
      <w:pPr>
        <w:pStyle w:val="Normaalweb"/>
        <w:spacing w:before="0" w:beforeAutospacing="0" w:after="0" w:afterAutospacing="0"/>
      </w:pPr>
      <w:r>
        <w:rPr>
          <w:rFonts w:ascii="Calibri" w:hAnsi="Calibri" w:cs="Calibri"/>
          <w:color w:val="000000"/>
          <w:sz w:val="22"/>
          <w:szCs w:val="22"/>
        </w:rPr>
        <w:t>Vanaf 2023 is er een nieuwe methode en wordt het bedrag van de eindejaarspremie in één keer uitbetaald. Het bedrag van de eindejaarspremie is gelijk aan</w:t>
      </w:r>
      <w:r>
        <w:rPr>
          <w:rFonts w:ascii="Calibri" w:hAnsi="Calibri" w:cs="Calibri"/>
          <w:b/>
          <w:bCs/>
          <w:color w:val="000000"/>
          <w:sz w:val="22"/>
          <w:szCs w:val="22"/>
        </w:rPr>
        <w:t xml:space="preserve"> </w:t>
      </w:r>
      <w:r>
        <w:rPr>
          <w:rFonts w:ascii="Calibri" w:hAnsi="Calibri" w:cs="Calibri"/>
          <w:color w:val="222222"/>
          <w:sz w:val="22"/>
          <w:szCs w:val="22"/>
          <w:shd w:val="clear" w:color="auto" w:fill="FFFFFF"/>
        </w:rPr>
        <w:t xml:space="preserve">54,54% van het geïndexeerd sectoraal bruto minimum maandloon van de maand oktober van het lopende kalenderjaar, met een referteperiode die loopt van 1 oktober van het voorafgaande kalenderjaar tot en met 30 september van het betrokken kalenderjaar. </w:t>
      </w:r>
      <w:r>
        <w:rPr>
          <w:rFonts w:ascii="Calibri" w:hAnsi="Calibri" w:cs="Calibri"/>
          <w:color w:val="000000"/>
          <w:sz w:val="22"/>
          <w:szCs w:val="22"/>
        </w:rPr>
        <w:t xml:space="preserve">Het bedrag voor 2023 bedraagt </w:t>
      </w:r>
      <w:r>
        <w:rPr>
          <w:rFonts w:ascii="Calibri" w:hAnsi="Calibri" w:cs="Calibri"/>
          <w:b/>
          <w:bCs/>
          <w:color w:val="000000"/>
          <w:sz w:val="22"/>
          <w:szCs w:val="22"/>
        </w:rPr>
        <w:t>1.266,10 euro bruto exclusief patronale lasten (1.608,20 euro inclusief patronale lasten)</w:t>
      </w:r>
      <w:r>
        <w:rPr>
          <w:rFonts w:ascii="Calibri" w:hAnsi="Calibri" w:cs="Calibri"/>
          <w:color w:val="000000"/>
          <w:sz w:val="22"/>
          <w:szCs w:val="22"/>
        </w:rPr>
        <w:t xml:space="preserve"> </w:t>
      </w:r>
      <w:r>
        <w:rPr>
          <w:rFonts w:ascii="Calibri" w:hAnsi="Calibri" w:cs="Calibri"/>
          <w:b/>
          <w:bCs/>
          <w:color w:val="000000"/>
          <w:sz w:val="22"/>
          <w:szCs w:val="22"/>
        </w:rPr>
        <w:t xml:space="preserve">voor een voltijdse </w:t>
      </w:r>
      <w:r>
        <w:rPr>
          <w:rFonts w:ascii="Calibri" w:hAnsi="Calibri" w:cs="Calibri"/>
          <w:b/>
          <w:bCs/>
          <w:color w:val="000000"/>
          <w:sz w:val="22"/>
          <w:szCs w:val="22"/>
        </w:rPr>
        <w:lastRenderedPageBreak/>
        <w:t xml:space="preserve">werknemer. </w:t>
      </w:r>
      <w:r>
        <w:rPr>
          <w:rFonts w:ascii="Calibri" w:hAnsi="Calibri" w:cs="Calibri"/>
          <w:b/>
          <w:bCs/>
          <w:color w:val="000000"/>
          <w:sz w:val="22"/>
          <w:szCs w:val="22"/>
        </w:rPr>
        <w:br/>
      </w:r>
    </w:p>
    <w:p w14:paraId="7D2EDEC2" w14:textId="3EB759F3" w:rsidR="00DB56F5" w:rsidRDefault="00DB56F5" w:rsidP="00DB56F5">
      <w:pPr>
        <w:pStyle w:val="Normaalweb"/>
        <w:spacing w:before="0" w:beforeAutospacing="0" w:after="0" w:afterAutospacing="0"/>
      </w:pPr>
      <w:r>
        <w:rPr>
          <w:rFonts w:ascii="Calibri" w:hAnsi="Calibri" w:cs="Calibri"/>
          <w:color w:val="000000"/>
          <w:sz w:val="22"/>
          <w:szCs w:val="22"/>
        </w:rPr>
        <w:t xml:space="preserve">Bij wijze van overgangsmaatregel wordt de eindejaarspremie 2023 uiterlijk betaald in februari 2024. </w:t>
      </w:r>
      <w:r>
        <w:rPr>
          <w:rFonts w:ascii="Calibri" w:hAnsi="Calibri" w:cs="Calibri"/>
          <w:b/>
          <w:bCs/>
          <w:color w:val="000000"/>
          <w:sz w:val="22"/>
          <w:szCs w:val="22"/>
        </w:rPr>
        <w:br/>
      </w:r>
    </w:p>
    <w:p w14:paraId="0A24C3D9" w14:textId="77777777" w:rsidR="00DB56F5" w:rsidRDefault="00DB56F5" w:rsidP="00DB56F5">
      <w:pPr>
        <w:pStyle w:val="Normaalweb"/>
        <w:spacing w:before="0" w:beforeAutospacing="0" w:after="0" w:afterAutospacing="0"/>
      </w:pPr>
      <w:r>
        <w:rPr>
          <w:rFonts w:ascii="Calibri" w:hAnsi="Calibri" w:cs="Calibri"/>
          <w:b/>
          <w:bCs/>
          <w:color w:val="000000"/>
          <w:sz w:val="22"/>
          <w:szCs w:val="22"/>
        </w:rPr>
        <w:t>Verhoging budgetlijn 2023</w:t>
      </w:r>
    </w:p>
    <w:p w14:paraId="47CFA533" w14:textId="1B028616" w:rsidR="00DB56F5" w:rsidRDefault="00DB56F5" w:rsidP="00DB56F5">
      <w:pPr>
        <w:pStyle w:val="Normaalweb"/>
        <w:spacing w:before="0" w:beforeAutospacing="0" w:after="0" w:afterAutospacing="0"/>
      </w:pPr>
      <w:r>
        <w:rPr>
          <w:rFonts w:ascii="Calibri" w:hAnsi="Calibri" w:cs="Calibri"/>
          <w:color w:val="000000"/>
          <w:sz w:val="22"/>
          <w:szCs w:val="22"/>
        </w:rPr>
        <w:t xml:space="preserve">De herberekening van de budgetlijn 2023  wordt opgestart eind januari 2024.  Dat wil zeggen dat de budgetlijnen systematisch in de daaropvolgende dagen worden aangepast in mijnvaph.be.  Het bedrag van de eindejaarspremie 2023 waar u recht op hebt, wordt toegevoegd aan uw budgetlijn 2023. </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b/>
          <w:bCs/>
          <w:color w:val="1D1D1D"/>
          <w:sz w:val="22"/>
          <w:szCs w:val="22"/>
        </w:rPr>
        <w:t xml:space="preserve">Moet u nog iets doorgeven aan uw sociaal secretariaat in verband met de verplichte eindejaarspremie? </w:t>
      </w:r>
      <w:r>
        <w:rPr>
          <w:rFonts w:ascii="Arial" w:hAnsi="Arial" w:cs="Arial"/>
          <w:b/>
          <w:bCs/>
          <w:color w:val="1D1D1D"/>
          <w:sz w:val="22"/>
          <w:szCs w:val="22"/>
        </w:rPr>
        <w:br/>
      </w:r>
      <w:r>
        <w:rPr>
          <w:rFonts w:ascii="Calibri" w:hAnsi="Calibri" w:cs="Calibri"/>
          <w:color w:val="000000"/>
          <w:sz w:val="22"/>
          <w:szCs w:val="22"/>
        </w:rPr>
        <w:t>Er is een bijkomende aangifte nodig van de VIA-deelcode 209 waaronder de begeleider of assistent tewerkgesteld is. Die code moet, voor iedere werknemer die u via een arbeidsovereenkomst in dienst hebt, ingevuld worden in de DMFA (multifunctionele aangifte of vroegere RSZ-kwartaalaangifte). Als u samenwerkt met een sociaal secretariaat, zal het sociaal secretariaat dat voor u in orde brengen. De deelcode 209 is noodzakelijk voor een correcte verwerking van de gegevens tussen de RSZ en het VAPH. Zonder de deelcode is het niet mogelijk om uw budgetlijn te verhogen met extra middelen voor de eindejaarspremie.</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b/>
          <w:bCs/>
          <w:color w:val="000000"/>
          <w:sz w:val="22"/>
          <w:szCs w:val="22"/>
        </w:rPr>
        <w:t>Hebt u vragen? </w:t>
      </w:r>
    </w:p>
    <w:p w14:paraId="04017537" w14:textId="77777777" w:rsidR="00DB56F5" w:rsidRDefault="00DB56F5" w:rsidP="00DB56F5">
      <w:pPr>
        <w:pStyle w:val="Normaalweb"/>
        <w:spacing w:before="0" w:beforeAutospacing="0" w:after="0" w:afterAutospacing="0"/>
      </w:pPr>
      <w:r>
        <w:rPr>
          <w:rFonts w:ascii="Calibri" w:hAnsi="Calibri" w:cs="Calibri"/>
          <w:color w:val="000000"/>
          <w:sz w:val="22"/>
          <w:szCs w:val="22"/>
        </w:rPr>
        <w:t xml:space="preserve">Aarzel niet om contact op te nemen. Het team Budgetbesteding is telefonisch bereikbaar op het nummer 02 249 30 00, van 8.30 tot 12.00 uur en van 13.00 tot 17.00 uur (op vrijdag en tijdens de maanden juli en augustus tot 16.00 uur). U kunt het team Budgetbesteding ook bereiken via </w:t>
      </w:r>
      <w:hyperlink r:id="rId8" w:history="1">
        <w:r>
          <w:rPr>
            <w:rStyle w:val="Hyperlink"/>
            <w:rFonts w:ascii="Calibri" w:hAnsi="Calibri" w:cs="Calibri"/>
            <w:color w:val="1155CC"/>
            <w:sz w:val="22"/>
            <w:szCs w:val="22"/>
          </w:rPr>
          <w:t>budgetbesteding@vaph.be</w:t>
        </w:r>
      </w:hyperlink>
      <w:r>
        <w:rPr>
          <w:rFonts w:ascii="Calibri" w:hAnsi="Calibri" w:cs="Calibri"/>
          <w:color w:val="000000"/>
          <w:sz w:val="22"/>
          <w:szCs w:val="22"/>
        </w:rPr>
        <w:t>.  </w:t>
      </w:r>
    </w:p>
    <w:p w14:paraId="46FA70BC" w14:textId="77777777" w:rsidR="00DB56F5" w:rsidRDefault="00DB56F5" w:rsidP="00DB56F5">
      <w:pPr>
        <w:pStyle w:val="Normaalweb"/>
        <w:spacing w:before="0" w:beforeAutospacing="0" w:after="0" w:afterAutospacing="0"/>
      </w:pPr>
      <w:r>
        <w:rPr>
          <w:rFonts w:ascii="Calibri" w:hAnsi="Calibri" w:cs="Calibri"/>
          <w:color w:val="000000"/>
          <w:sz w:val="22"/>
          <w:szCs w:val="22"/>
        </w:rPr>
        <w:t>Let op: het VAPH is gesloten van 25 december 2023 tot en met 2 januari 2024.</w:t>
      </w:r>
    </w:p>
    <w:p w14:paraId="095CB9CB" w14:textId="13A07097" w:rsidR="00BE1CCE" w:rsidRDefault="00BE1CCE" w:rsidP="00DB56F5">
      <w:pPr>
        <w:pStyle w:val="Normaalweb"/>
        <w:spacing w:before="0" w:beforeAutospacing="0" w:after="0" w:afterAutospacing="0"/>
      </w:pPr>
    </w:p>
    <w:sectPr w:rsidR="00BE1CCE">
      <w:headerReference w:type="default" r:id="rId9"/>
      <w:headerReference w:type="first" r:id="rId10"/>
      <w:footerReference w:type="first" r:id="rId11"/>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89E" w14:textId="77777777" w:rsidR="00007DF1" w:rsidRDefault="00D33412">
      <w:pPr>
        <w:spacing w:line="240" w:lineRule="auto"/>
      </w:pPr>
      <w:r>
        <w:separator/>
      </w:r>
    </w:p>
  </w:endnote>
  <w:endnote w:type="continuationSeparator" w:id="0">
    <w:p w14:paraId="1D8687EE" w14:textId="77777777" w:rsidR="00007DF1" w:rsidRDefault="00D33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ABCA" w14:textId="77777777" w:rsidR="00BE1CCE" w:rsidRDefault="00BE1CCE">
    <w:pPr>
      <w:pBdr>
        <w:top w:val="nil"/>
        <w:left w:val="nil"/>
        <w:bottom w:val="nil"/>
        <w:right w:val="nil"/>
        <w:between w:val="nil"/>
      </w:pBdr>
    </w:pPr>
  </w:p>
  <w:p w14:paraId="6E5B5932" w14:textId="77777777" w:rsidR="00BE1CCE" w:rsidRDefault="00D33412">
    <w:pPr>
      <w:pBdr>
        <w:top w:val="nil"/>
        <w:left w:val="nil"/>
        <w:bottom w:val="nil"/>
        <w:right w:val="nil"/>
        <w:between w:val="nil"/>
      </w:pBdr>
    </w:pPr>
    <w:r>
      <w:rPr>
        <w:noProof/>
      </w:rPr>
      <w:drawing>
        <wp:inline distT="114300" distB="114300" distL="114300" distR="114300" wp14:anchorId="23B0E23E" wp14:editId="53E425EF">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3964CE">
      <w:rPr>
        <w:noProof/>
      </w:rPr>
      <w:t>1</w:t>
    </w:r>
    <w:r>
      <w:fldChar w:fldCharType="end"/>
    </w:r>
    <w:r>
      <w:t xml:space="preserve"> van </w:t>
    </w:r>
    <w:r>
      <w:fldChar w:fldCharType="begin"/>
    </w:r>
    <w:r>
      <w:instrText>NUMPAGES</w:instrText>
    </w:r>
    <w:r>
      <w:fldChar w:fldCharType="separate"/>
    </w:r>
    <w:r w:rsidR="003964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4F6D" w14:textId="77777777" w:rsidR="00007DF1" w:rsidRDefault="00D33412">
      <w:pPr>
        <w:spacing w:line="240" w:lineRule="auto"/>
      </w:pPr>
      <w:r>
        <w:separator/>
      </w:r>
    </w:p>
  </w:footnote>
  <w:footnote w:type="continuationSeparator" w:id="0">
    <w:p w14:paraId="7201499F" w14:textId="77777777" w:rsidR="00007DF1" w:rsidRDefault="00D33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36" w14:textId="77777777" w:rsidR="00BE1CCE" w:rsidRDefault="00BE1CC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0D2" w14:textId="77777777" w:rsidR="00BE1CCE" w:rsidRDefault="00BE1CCE">
    <w:pPr>
      <w:pBdr>
        <w:top w:val="nil"/>
        <w:left w:val="nil"/>
        <w:bottom w:val="nil"/>
        <w:right w:val="nil"/>
        <w:between w:val="nil"/>
      </w:pBdr>
    </w:pPr>
  </w:p>
  <w:p w14:paraId="0351564A" w14:textId="77777777" w:rsidR="00BE1CCE" w:rsidRDefault="00BE1CCE">
    <w:pPr>
      <w:pBdr>
        <w:top w:val="nil"/>
        <w:left w:val="nil"/>
        <w:bottom w:val="nil"/>
        <w:right w:val="nil"/>
        <w:between w:val="nil"/>
      </w:pBdr>
      <w:rPr>
        <w:sz w:val="54"/>
        <w:szCs w:val="54"/>
      </w:rPr>
    </w:pPr>
  </w:p>
  <w:p w14:paraId="6267FADF" w14:textId="77777777" w:rsidR="00BE1CCE" w:rsidRDefault="00D33412">
    <w:pPr>
      <w:pBdr>
        <w:top w:val="nil"/>
        <w:left w:val="nil"/>
        <w:bottom w:val="nil"/>
        <w:right w:val="nil"/>
        <w:between w:val="nil"/>
      </w:pBdr>
    </w:pPr>
    <w:r>
      <w:rPr>
        <w:noProof/>
      </w:rPr>
      <w:drawing>
        <wp:inline distT="114300" distB="114300" distL="114300" distR="114300" wp14:anchorId="5EE38373" wp14:editId="5936BB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5D0"/>
    <w:multiLevelType w:val="multilevel"/>
    <w:tmpl w:val="B8AC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70167"/>
    <w:multiLevelType w:val="multilevel"/>
    <w:tmpl w:val="196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E64D4"/>
    <w:multiLevelType w:val="multilevel"/>
    <w:tmpl w:val="ED9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03266"/>
    <w:multiLevelType w:val="multilevel"/>
    <w:tmpl w:val="6C4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856D1"/>
    <w:multiLevelType w:val="multilevel"/>
    <w:tmpl w:val="A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74934"/>
    <w:multiLevelType w:val="multilevel"/>
    <w:tmpl w:val="047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C5D33"/>
    <w:multiLevelType w:val="multilevel"/>
    <w:tmpl w:val="4A5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B6004"/>
    <w:multiLevelType w:val="multilevel"/>
    <w:tmpl w:val="653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A77B6"/>
    <w:multiLevelType w:val="multilevel"/>
    <w:tmpl w:val="BB9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E4B01"/>
    <w:multiLevelType w:val="multilevel"/>
    <w:tmpl w:val="452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6748E"/>
    <w:multiLevelType w:val="multilevel"/>
    <w:tmpl w:val="672A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21F2D"/>
    <w:multiLevelType w:val="multilevel"/>
    <w:tmpl w:val="67DC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22488"/>
    <w:multiLevelType w:val="multilevel"/>
    <w:tmpl w:val="599C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20A1D"/>
    <w:multiLevelType w:val="multilevel"/>
    <w:tmpl w:val="4064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4113C"/>
    <w:multiLevelType w:val="multilevel"/>
    <w:tmpl w:val="B48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E6C5E"/>
    <w:multiLevelType w:val="multilevel"/>
    <w:tmpl w:val="3B1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15"/>
  </w:num>
  <w:num w:numId="6">
    <w:abstractNumId w:val="7"/>
  </w:num>
  <w:num w:numId="7">
    <w:abstractNumId w:val="12"/>
  </w:num>
  <w:num w:numId="8">
    <w:abstractNumId w:val="0"/>
  </w:num>
  <w:num w:numId="9">
    <w:abstractNumId w:val="10"/>
  </w:num>
  <w:num w:numId="10">
    <w:abstractNumId w:val="11"/>
  </w:num>
  <w:num w:numId="11">
    <w:abstractNumId w:val="9"/>
  </w:num>
  <w:num w:numId="12">
    <w:abstractNumId w:val="1"/>
  </w:num>
  <w:num w:numId="13">
    <w:abstractNumId w:val="14"/>
  </w:num>
  <w:num w:numId="14">
    <w:abstractNumId w:val="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CE"/>
    <w:rsid w:val="00007DF1"/>
    <w:rsid w:val="00027115"/>
    <w:rsid w:val="001341AE"/>
    <w:rsid w:val="001549D7"/>
    <w:rsid w:val="00251643"/>
    <w:rsid w:val="00251A11"/>
    <w:rsid w:val="003964CE"/>
    <w:rsid w:val="00470AEF"/>
    <w:rsid w:val="007A01C6"/>
    <w:rsid w:val="0095752D"/>
    <w:rsid w:val="00B31C75"/>
    <w:rsid w:val="00BE1CCE"/>
    <w:rsid w:val="00C748D7"/>
    <w:rsid w:val="00D33412"/>
    <w:rsid w:val="00DB56F5"/>
    <w:rsid w:val="00E02189"/>
    <w:rsid w:val="00ED50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48A"/>
  <w15:docId w15:val="{4C2D42AE-72FF-46C7-90A6-5BDC16C7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unhideWhenUsed/>
    <w:rsid w:val="00027115"/>
    <w:pPr>
      <w:spacing w:before="100" w:beforeAutospacing="1" w:after="100" w:afterAutospacing="1" w:line="240" w:lineRule="auto"/>
    </w:pPr>
    <w:rPr>
      <w:rFonts w:ascii="Times New Roman" w:eastAsia="Times New Roman" w:hAnsi="Times New Roman" w:cs="Times New Roman"/>
      <w:sz w:val="24"/>
      <w:szCs w:val="24"/>
      <w:lang w:val="nl-BE"/>
    </w:rPr>
  </w:style>
  <w:style w:type="character" w:styleId="Hyperlink">
    <w:name w:val="Hyperlink"/>
    <w:basedOn w:val="Standaardalinea-lettertype"/>
    <w:uiPriority w:val="99"/>
    <w:semiHidden/>
    <w:unhideWhenUsed/>
    <w:rsid w:val="00027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6665">
      <w:bodyDiv w:val="1"/>
      <w:marLeft w:val="0"/>
      <w:marRight w:val="0"/>
      <w:marTop w:val="0"/>
      <w:marBottom w:val="0"/>
      <w:divBdr>
        <w:top w:val="none" w:sz="0" w:space="0" w:color="auto"/>
        <w:left w:val="none" w:sz="0" w:space="0" w:color="auto"/>
        <w:bottom w:val="none" w:sz="0" w:space="0" w:color="auto"/>
        <w:right w:val="none" w:sz="0" w:space="0" w:color="auto"/>
      </w:divBdr>
    </w:div>
    <w:div w:id="842471573">
      <w:bodyDiv w:val="1"/>
      <w:marLeft w:val="0"/>
      <w:marRight w:val="0"/>
      <w:marTop w:val="0"/>
      <w:marBottom w:val="0"/>
      <w:divBdr>
        <w:top w:val="none" w:sz="0" w:space="0" w:color="auto"/>
        <w:left w:val="none" w:sz="0" w:space="0" w:color="auto"/>
        <w:bottom w:val="none" w:sz="0" w:space="0" w:color="auto"/>
        <w:right w:val="none" w:sz="0" w:space="0" w:color="auto"/>
      </w:divBdr>
    </w:div>
    <w:div w:id="193712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dgetbesteding@vap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ph.be/sites/default/files/documents/21297/mededeling-aan-pab-en-pvb-budgethouders-23-februari-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2023-12-20T12:00:00Z</dcterms:created>
  <dcterms:modified xsi:type="dcterms:W3CDTF">2023-12-20T12:00:00Z</dcterms:modified>
</cp:coreProperties>
</file>