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A5CE2" w14:textId="77777777" w:rsidR="0078764E" w:rsidRDefault="0078764E">
      <w:pPr>
        <w:rPr>
          <w:rFonts w:ascii="Arial" w:eastAsia="Arial" w:hAnsi="Arial" w:cs="Arial"/>
          <w:b/>
          <w:sz w:val="12"/>
          <w:szCs w:val="12"/>
        </w:rPr>
      </w:pPr>
    </w:p>
    <w:p w14:paraId="2FECAA02" w14:textId="77777777" w:rsidR="0078764E" w:rsidRDefault="0078764E">
      <w:pPr>
        <w:rPr>
          <w:rFonts w:ascii="Arial" w:eastAsia="Arial" w:hAnsi="Arial" w:cs="Arial"/>
          <w:sz w:val="34"/>
          <w:szCs w:val="34"/>
        </w:rPr>
      </w:pPr>
    </w:p>
    <w:tbl>
      <w:tblPr>
        <w:tblStyle w:val="a1"/>
        <w:tblW w:w="9516" w:type="dxa"/>
        <w:tblInd w:w="0" w:type="dxa"/>
        <w:tblLayout w:type="fixed"/>
        <w:tblLook w:val="0600" w:firstRow="0" w:lastRow="0" w:firstColumn="0" w:lastColumn="0" w:noHBand="1" w:noVBand="1"/>
      </w:tblPr>
      <w:tblGrid>
        <w:gridCol w:w="2668"/>
        <w:gridCol w:w="6848"/>
      </w:tblGrid>
      <w:tr w:rsidR="0078764E" w14:paraId="411596DC" w14:textId="77777777" w:rsidTr="00BB1A7B">
        <w:trPr>
          <w:trHeight w:val="715"/>
        </w:trPr>
        <w:tc>
          <w:tcPr>
            <w:tcW w:w="2668" w:type="dxa"/>
            <w:vMerge w:val="restart"/>
            <w:shd w:val="clear" w:color="auto" w:fill="auto"/>
            <w:tcMar>
              <w:top w:w="60" w:type="dxa"/>
              <w:left w:w="100" w:type="dxa"/>
              <w:bottom w:w="60" w:type="dxa"/>
              <w:right w:w="100" w:type="dxa"/>
            </w:tcMar>
          </w:tcPr>
          <w:p w14:paraId="4767EFFA" w14:textId="77777777" w:rsidR="0078764E" w:rsidRDefault="00FB7594">
            <w:pPr>
              <w:widowControl w:val="0"/>
              <w:spacing w:line="240" w:lineRule="auto"/>
            </w:pPr>
            <w:r>
              <w:rPr>
                <w:noProof/>
              </w:rPr>
              <w:drawing>
                <wp:inline distT="114300" distB="114300" distL="114300" distR="114300" wp14:anchorId="04ED5F68" wp14:editId="2171C8AA">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796E36F3" w14:textId="77777777" w:rsidR="0078764E" w:rsidRDefault="0078764E">
            <w:pPr>
              <w:widowControl w:val="0"/>
              <w:spacing w:line="240" w:lineRule="auto"/>
            </w:pPr>
          </w:p>
          <w:p w14:paraId="143F0ACE" w14:textId="77777777" w:rsidR="0078764E" w:rsidRDefault="00FB7594">
            <w:pPr>
              <w:widowControl w:val="0"/>
              <w:spacing w:line="240" w:lineRule="auto"/>
              <w:rPr>
                <w:color w:val="666666"/>
              </w:rPr>
            </w:pPr>
            <w:r>
              <w:rPr>
                <w:color w:val="666666"/>
              </w:rPr>
              <w:t>Zenithgebouw</w:t>
            </w:r>
          </w:p>
          <w:p w14:paraId="518E447F" w14:textId="77777777" w:rsidR="0078764E" w:rsidRDefault="00FB7594">
            <w:pPr>
              <w:widowControl w:val="0"/>
              <w:spacing w:line="240" w:lineRule="auto"/>
              <w:rPr>
                <w:color w:val="666666"/>
              </w:rPr>
            </w:pPr>
            <w:r>
              <w:rPr>
                <w:color w:val="666666"/>
              </w:rPr>
              <w:t>Koning Albert II-laan 37</w:t>
            </w:r>
            <w:r>
              <w:rPr>
                <w:color w:val="666666"/>
              </w:rPr>
              <w:br/>
              <w:t>1030 BRUSSEL</w:t>
            </w:r>
          </w:p>
          <w:p w14:paraId="59E696CC" w14:textId="77777777" w:rsidR="0078764E" w:rsidRDefault="00FB7594">
            <w:pPr>
              <w:widowControl w:val="0"/>
              <w:spacing w:line="240" w:lineRule="auto"/>
            </w:pPr>
            <w:r>
              <w:t>www.vaph.be</w:t>
            </w:r>
          </w:p>
        </w:tc>
        <w:tc>
          <w:tcPr>
            <w:tcW w:w="6848" w:type="dxa"/>
            <w:shd w:val="clear" w:color="auto" w:fill="auto"/>
            <w:tcMar>
              <w:top w:w="60" w:type="dxa"/>
              <w:left w:w="100" w:type="dxa"/>
              <w:bottom w:w="60" w:type="dxa"/>
              <w:right w:w="100" w:type="dxa"/>
            </w:tcMar>
          </w:tcPr>
          <w:p w14:paraId="7E340811" w14:textId="77777777" w:rsidR="0078764E" w:rsidRDefault="0078764E">
            <w:pPr>
              <w:widowControl w:val="0"/>
              <w:jc w:val="right"/>
              <w:rPr>
                <w:b/>
                <w:sz w:val="36"/>
                <w:szCs w:val="36"/>
              </w:rPr>
            </w:pPr>
          </w:p>
          <w:p w14:paraId="2D266CF6" w14:textId="77777777" w:rsidR="0078764E" w:rsidRDefault="0078764E">
            <w:pPr>
              <w:widowControl w:val="0"/>
              <w:jc w:val="right"/>
              <w:rPr>
                <w:b/>
                <w:sz w:val="36"/>
                <w:szCs w:val="36"/>
              </w:rPr>
            </w:pPr>
          </w:p>
          <w:p w14:paraId="362EEBB7" w14:textId="77777777" w:rsidR="0078764E" w:rsidRDefault="00FB7594">
            <w:pPr>
              <w:widowControl w:val="0"/>
              <w:jc w:val="right"/>
              <w:rPr>
                <w:b/>
                <w:sz w:val="36"/>
                <w:szCs w:val="36"/>
              </w:rPr>
            </w:pPr>
            <w:r>
              <w:rPr>
                <w:b/>
                <w:sz w:val="36"/>
                <w:szCs w:val="36"/>
              </w:rPr>
              <w:t>INFONOTA</w:t>
            </w:r>
          </w:p>
        </w:tc>
      </w:tr>
      <w:tr w:rsidR="0078764E" w14:paraId="22CF0F12" w14:textId="77777777" w:rsidTr="00BB1A7B">
        <w:trPr>
          <w:trHeight w:val="256"/>
        </w:trPr>
        <w:tc>
          <w:tcPr>
            <w:tcW w:w="2668" w:type="dxa"/>
            <w:vMerge/>
            <w:shd w:val="clear" w:color="auto" w:fill="auto"/>
            <w:tcMar>
              <w:top w:w="100" w:type="dxa"/>
              <w:left w:w="100" w:type="dxa"/>
              <w:bottom w:w="100" w:type="dxa"/>
              <w:right w:w="100" w:type="dxa"/>
            </w:tcMar>
          </w:tcPr>
          <w:p w14:paraId="7449456B" w14:textId="77777777" w:rsidR="0078764E" w:rsidRDefault="0078764E">
            <w:pPr>
              <w:widowControl w:val="0"/>
            </w:pPr>
          </w:p>
        </w:tc>
        <w:tc>
          <w:tcPr>
            <w:tcW w:w="6848" w:type="dxa"/>
            <w:shd w:val="clear" w:color="auto" w:fill="auto"/>
            <w:tcMar>
              <w:top w:w="60" w:type="dxa"/>
              <w:left w:w="100" w:type="dxa"/>
              <w:bottom w:w="60" w:type="dxa"/>
              <w:right w:w="100" w:type="dxa"/>
            </w:tcMar>
          </w:tcPr>
          <w:p w14:paraId="39F90F5C" w14:textId="77777777" w:rsidR="0078764E" w:rsidRDefault="00FB7594">
            <w:pPr>
              <w:widowControl w:val="0"/>
              <w:jc w:val="right"/>
              <w:rPr>
                <w:b/>
                <w:sz w:val="26"/>
                <w:szCs w:val="26"/>
              </w:rPr>
            </w:pPr>
            <w:r>
              <w:rPr>
                <w:sz w:val="26"/>
                <w:szCs w:val="26"/>
              </w:rPr>
              <w:t>Aan: multidisciplinaire teams (MDT)</w:t>
            </w:r>
          </w:p>
        </w:tc>
      </w:tr>
      <w:tr w:rsidR="0078764E" w14:paraId="0E37EF85" w14:textId="77777777" w:rsidTr="00BB1A7B">
        <w:trPr>
          <w:trHeight w:val="234"/>
        </w:trPr>
        <w:tc>
          <w:tcPr>
            <w:tcW w:w="2668" w:type="dxa"/>
            <w:vMerge/>
            <w:shd w:val="clear" w:color="auto" w:fill="auto"/>
            <w:tcMar>
              <w:top w:w="100" w:type="dxa"/>
              <w:left w:w="100" w:type="dxa"/>
              <w:bottom w:w="100" w:type="dxa"/>
              <w:right w:w="100" w:type="dxa"/>
            </w:tcMar>
          </w:tcPr>
          <w:p w14:paraId="7C81E66C" w14:textId="77777777" w:rsidR="0078764E" w:rsidRDefault="0078764E">
            <w:pPr>
              <w:widowControl w:val="0"/>
            </w:pPr>
          </w:p>
        </w:tc>
        <w:tc>
          <w:tcPr>
            <w:tcW w:w="6848" w:type="dxa"/>
            <w:shd w:val="clear" w:color="auto" w:fill="auto"/>
            <w:tcMar>
              <w:top w:w="60" w:type="dxa"/>
              <w:left w:w="100" w:type="dxa"/>
              <w:bottom w:w="60" w:type="dxa"/>
              <w:right w:w="100" w:type="dxa"/>
            </w:tcMar>
          </w:tcPr>
          <w:p w14:paraId="1E71C8FA" w14:textId="45DDD46F" w:rsidR="0078764E" w:rsidRDefault="00FB7594">
            <w:pPr>
              <w:widowControl w:val="0"/>
              <w:jc w:val="right"/>
              <w:rPr>
                <w:color w:val="666666"/>
              </w:rPr>
            </w:pPr>
            <w:r>
              <w:rPr>
                <w:color w:val="666666"/>
              </w:rPr>
              <w:t>1</w:t>
            </w:r>
            <w:r w:rsidR="005A3817">
              <w:rPr>
                <w:color w:val="666666"/>
              </w:rPr>
              <w:t>8</w:t>
            </w:r>
            <w:r>
              <w:rPr>
                <w:color w:val="666666"/>
              </w:rPr>
              <w:t xml:space="preserve"> januari 2024</w:t>
            </w:r>
          </w:p>
        </w:tc>
      </w:tr>
      <w:tr w:rsidR="0078764E" w14:paraId="2475E62A" w14:textId="77777777" w:rsidTr="00BB1A7B">
        <w:trPr>
          <w:trHeight w:val="185"/>
        </w:trPr>
        <w:tc>
          <w:tcPr>
            <w:tcW w:w="2668" w:type="dxa"/>
            <w:vMerge/>
            <w:shd w:val="clear" w:color="auto" w:fill="auto"/>
            <w:tcMar>
              <w:top w:w="100" w:type="dxa"/>
              <w:left w:w="100" w:type="dxa"/>
              <w:bottom w:w="100" w:type="dxa"/>
              <w:right w:w="100" w:type="dxa"/>
            </w:tcMar>
          </w:tcPr>
          <w:p w14:paraId="12EC8CD9" w14:textId="77777777" w:rsidR="0078764E" w:rsidRDefault="0078764E">
            <w:pPr>
              <w:widowControl w:val="0"/>
            </w:pPr>
          </w:p>
        </w:tc>
        <w:tc>
          <w:tcPr>
            <w:tcW w:w="6848" w:type="dxa"/>
            <w:shd w:val="clear" w:color="auto" w:fill="auto"/>
            <w:tcMar>
              <w:top w:w="60" w:type="dxa"/>
              <w:left w:w="100" w:type="dxa"/>
              <w:bottom w:w="60" w:type="dxa"/>
              <w:right w:w="100" w:type="dxa"/>
            </w:tcMar>
          </w:tcPr>
          <w:p w14:paraId="17E417E8" w14:textId="77777777" w:rsidR="0078764E" w:rsidRDefault="00FB7594">
            <w:pPr>
              <w:widowControl w:val="0"/>
              <w:jc w:val="right"/>
              <w:rPr>
                <w:color w:val="666666"/>
              </w:rPr>
            </w:pPr>
            <w:r>
              <w:rPr>
                <w:color w:val="666666"/>
              </w:rPr>
              <w:t>INF/24/02</w:t>
            </w:r>
          </w:p>
        </w:tc>
      </w:tr>
      <w:tr w:rsidR="0078764E" w14:paraId="3D3D0DE8" w14:textId="77777777" w:rsidTr="00BB1A7B">
        <w:trPr>
          <w:trHeight w:val="136"/>
        </w:trPr>
        <w:tc>
          <w:tcPr>
            <w:tcW w:w="2668" w:type="dxa"/>
            <w:shd w:val="clear" w:color="auto" w:fill="auto"/>
            <w:tcMar>
              <w:top w:w="20" w:type="dxa"/>
              <w:left w:w="100" w:type="dxa"/>
              <w:bottom w:w="20" w:type="dxa"/>
              <w:right w:w="100" w:type="dxa"/>
            </w:tcMar>
          </w:tcPr>
          <w:p w14:paraId="5A0BACA7" w14:textId="77777777" w:rsidR="0078764E" w:rsidRDefault="00FB7594">
            <w:pPr>
              <w:widowControl w:val="0"/>
              <w:jc w:val="right"/>
              <w:rPr>
                <w:b/>
                <w:sz w:val="20"/>
                <w:szCs w:val="20"/>
              </w:rPr>
            </w:pPr>
            <w:r>
              <w:rPr>
                <w:b/>
                <w:sz w:val="20"/>
                <w:szCs w:val="20"/>
              </w:rPr>
              <w:t>Contactpersoon</w:t>
            </w:r>
          </w:p>
        </w:tc>
        <w:tc>
          <w:tcPr>
            <w:tcW w:w="6848" w:type="dxa"/>
            <w:shd w:val="clear" w:color="auto" w:fill="auto"/>
            <w:tcMar>
              <w:top w:w="20" w:type="dxa"/>
              <w:left w:w="100" w:type="dxa"/>
              <w:bottom w:w="20" w:type="dxa"/>
              <w:right w:w="100" w:type="dxa"/>
            </w:tcMar>
            <w:vAlign w:val="bottom"/>
          </w:tcPr>
          <w:p w14:paraId="0CEB62E1" w14:textId="77777777" w:rsidR="0078764E" w:rsidRDefault="00FB7594">
            <w:pPr>
              <w:widowControl w:val="0"/>
            </w:pPr>
            <w:r>
              <w:t>Cluster indicatiestelling &amp; prioritering</w:t>
            </w:r>
          </w:p>
        </w:tc>
      </w:tr>
      <w:tr w:rsidR="0078764E" w14:paraId="135AA533" w14:textId="77777777" w:rsidTr="00BB1A7B">
        <w:trPr>
          <w:trHeight w:val="125"/>
        </w:trPr>
        <w:tc>
          <w:tcPr>
            <w:tcW w:w="2668" w:type="dxa"/>
            <w:shd w:val="clear" w:color="auto" w:fill="auto"/>
            <w:tcMar>
              <w:top w:w="20" w:type="dxa"/>
              <w:left w:w="100" w:type="dxa"/>
              <w:bottom w:w="20" w:type="dxa"/>
              <w:right w:w="100" w:type="dxa"/>
            </w:tcMar>
          </w:tcPr>
          <w:p w14:paraId="6A4B51A6" w14:textId="77777777" w:rsidR="0078764E" w:rsidRDefault="00FB7594">
            <w:pPr>
              <w:widowControl w:val="0"/>
              <w:jc w:val="right"/>
              <w:rPr>
                <w:b/>
                <w:sz w:val="20"/>
                <w:szCs w:val="20"/>
              </w:rPr>
            </w:pPr>
            <w:r>
              <w:rPr>
                <w:b/>
                <w:sz w:val="20"/>
                <w:szCs w:val="20"/>
              </w:rPr>
              <w:t>E-mail</w:t>
            </w:r>
          </w:p>
        </w:tc>
        <w:tc>
          <w:tcPr>
            <w:tcW w:w="6848" w:type="dxa"/>
            <w:shd w:val="clear" w:color="auto" w:fill="auto"/>
            <w:tcMar>
              <w:top w:w="20" w:type="dxa"/>
              <w:left w:w="100" w:type="dxa"/>
              <w:bottom w:w="20" w:type="dxa"/>
              <w:right w:w="100" w:type="dxa"/>
            </w:tcMar>
            <w:vAlign w:val="bottom"/>
          </w:tcPr>
          <w:p w14:paraId="66883B5F" w14:textId="77777777" w:rsidR="0078764E" w:rsidRDefault="00FB7594">
            <w:pPr>
              <w:widowControl w:val="0"/>
              <w:rPr>
                <w:sz w:val="20"/>
                <w:szCs w:val="20"/>
              </w:rPr>
            </w:pPr>
            <w:r>
              <w:rPr>
                <w:sz w:val="20"/>
                <w:szCs w:val="20"/>
              </w:rPr>
              <w:t>indicatiestelling@vaph.be</w:t>
            </w:r>
          </w:p>
        </w:tc>
      </w:tr>
      <w:tr w:rsidR="0078764E" w14:paraId="09FF4C8A" w14:textId="77777777" w:rsidTr="00BB1A7B">
        <w:trPr>
          <w:trHeight w:val="125"/>
        </w:trPr>
        <w:tc>
          <w:tcPr>
            <w:tcW w:w="2668" w:type="dxa"/>
            <w:shd w:val="clear" w:color="auto" w:fill="auto"/>
            <w:tcMar>
              <w:top w:w="20" w:type="dxa"/>
              <w:left w:w="100" w:type="dxa"/>
              <w:bottom w:w="20" w:type="dxa"/>
              <w:right w:w="100" w:type="dxa"/>
            </w:tcMar>
          </w:tcPr>
          <w:p w14:paraId="17804868" w14:textId="77777777" w:rsidR="0078764E" w:rsidRDefault="00FB7594">
            <w:pPr>
              <w:widowControl w:val="0"/>
              <w:jc w:val="right"/>
              <w:rPr>
                <w:b/>
                <w:sz w:val="20"/>
                <w:szCs w:val="20"/>
              </w:rPr>
            </w:pPr>
            <w:r>
              <w:rPr>
                <w:b/>
                <w:sz w:val="20"/>
                <w:szCs w:val="20"/>
              </w:rPr>
              <w:t>Bijlagen</w:t>
            </w:r>
          </w:p>
        </w:tc>
        <w:tc>
          <w:tcPr>
            <w:tcW w:w="6848" w:type="dxa"/>
            <w:shd w:val="clear" w:color="auto" w:fill="auto"/>
            <w:tcMar>
              <w:top w:w="20" w:type="dxa"/>
              <w:left w:w="100" w:type="dxa"/>
              <w:bottom w:w="20" w:type="dxa"/>
              <w:right w:w="100" w:type="dxa"/>
            </w:tcMar>
            <w:vAlign w:val="bottom"/>
          </w:tcPr>
          <w:p w14:paraId="2F667E12" w14:textId="77777777" w:rsidR="0078764E" w:rsidRDefault="00FB7594">
            <w:pPr>
              <w:widowControl w:val="0"/>
              <w:rPr>
                <w:sz w:val="20"/>
                <w:szCs w:val="20"/>
              </w:rPr>
            </w:pPr>
            <w:r>
              <w:rPr>
                <w:sz w:val="20"/>
                <w:szCs w:val="20"/>
              </w:rPr>
              <w:t>0</w:t>
            </w:r>
          </w:p>
        </w:tc>
      </w:tr>
      <w:tr w:rsidR="0078764E" w14:paraId="7108948F" w14:textId="77777777" w:rsidTr="00BB1A7B">
        <w:trPr>
          <w:trHeight w:val="218"/>
        </w:trPr>
        <w:tc>
          <w:tcPr>
            <w:tcW w:w="9516" w:type="dxa"/>
            <w:gridSpan w:val="2"/>
            <w:shd w:val="clear" w:color="auto" w:fill="auto"/>
            <w:tcMar>
              <w:top w:w="60" w:type="dxa"/>
              <w:left w:w="100" w:type="dxa"/>
              <w:bottom w:w="60" w:type="dxa"/>
              <w:right w:w="100" w:type="dxa"/>
            </w:tcMar>
          </w:tcPr>
          <w:p w14:paraId="2227EF00" w14:textId="77777777" w:rsidR="0078764E" w:rsidRDefault="0078764E">
            <w:pPr>
              <w:widowControl w:val="0"/>
              <w:rPr>
                <w:sz w:val="34"/>
                <w:szCs w:val="34"/>
              </w:rPr>
            </w:pPr>
          </w:p>
        </w:tc>
      </w:tr>
      <w:tr w:rsidR="0078764E" w14:paraId="1389F843" w14:textId="77777777" w:rsidTr="00BB1A7B">
        <w:trPr>
          <w:trHeight w:val="213"/>
        </w:trPr>
        <w:tc>
          <w:tcPr>
            <w:tcW w:w="9516" w:type="dxa"/>
            <w:gridSpan w:val="2"/>
            <w:shd w:val="clear" w:color="auto" w:fill="auto"/>
            <w:tcMar>
              <w:top w:w="60" w:type="dxa"/>
              <w:left w:w="100" w:type="dxa"/>
              <w:bottom w:w="60" w:type="dxa"/>
              <w:right w:w="100" w:type="dxa"/>
            </w:tcMar>
          </w:tcPr>
          <w:p w14:paraId="71382FAD" w14:textId="77777777" w:rsidR="0078764E" w:rsidRDefault="00FB7594">
            <w:pPr>
              <w:widowControl w:val="0"/>
              <w:rPr>
                <w:sz w:val="34"/>
                <w:szCs w:val="34"/>
              </w:rPr>
            </w:pPr>
            <w:r>
              <w:rPr>
                <w:sz w:val="34"/>
                <w:szCs w:val="34"/>
              </w:rPr>
              <w:t>Module A in Mijn VAPH</w:t>
            </w:r>
          </w:p>
        </w:tc>
      </w:tr>
      <w:tr w:rsidR="0078764E" w14:paraId="0D530B53" w14:textId="77777777" w:rsidTr="00BB1A7B">
        <w:trPr>
          <w:trHeight w:val="131"/>
        </w:trPr>
        <w:tc>
          <w:tcPr>
            <w:tcW w:w="9516" w:type="dxa"/>
            <w:gridSpan w:val="2"/>
            <w:shd w:val="clear" w:color="auto" w:fill="auto"/>
            <w:tcMar>
              <w:top w:w="60" w:type="dxa"/>
              <w:left w:w="100" w:type="dxa"/>
              <w:bottom w:w="60" w:type="dxa"/>
              <w:right w:w="100" w:type="dxa"/>
            </w:tcMar>
          </w:tcPr>
          <w:p w14:paraId="2F05D1EC" w14:textId="77777777" w:rsidR="0078764E" w:rsidRDefault="00FB7594">
            <w:pPr>
              <w:widowControl w:val="0"/>
              <w:jc w:val="right"/>
              <w:rPr>
                <w:sz w:val="20"/>
                <w:szCs w:val="20"/>
              </w:rPr>
            </w:pPr>
            <w:r>
              <w:rPr>
                <w:sz w:val="20"/>
                <w:szCs w:val="20"/>
              </w:rPr>
              <w:t xml:space="preserve"> </w:t>
            </w:r>
          </w:p>
        </w:tc>
      </w:tr>
    </w:tbl>
    <w:p w14:paraId="45E638A8" w14:textId="77777777" w:rsidR="0078764E" w:rsidRDefault="00FB7594">
      <w:pPr>
        <w:spacing w:after="120"/>
      </w:pPr>
      <w:r>
        <w:t>Het VAPH heeft de voorbije jaren ingezet op een stapsgewijze migratie van de modules van het multidisciplinair verslag naar het e-loket mijnvaph.be. Modules B (ZZI) en C (objectivering dringendheid) werden reeds gemigreerd en op 8 maart 2024 zal ook de nie</w:t>
      </w:r>
      <w:r>
        <w:t>uwe module A beschikbaar zijn in mijnvaph.be.</w:t>
      </w:r>
    </w:p>
    <w:p w14:paraId="2C186624" w14:textId="77777777" w:rsidR="0078764E" w:rsidRDefault="00FB7594">
      <w:pPr>
        <w:spacing w:after="120"/>
      </w:pPr>
      <w:r>
        <w:t>De migratie van de module A naar de nieuwe applicatie werd tevens aangegrepen om enkele aanpassingen aan de module door te voeren. Hoewel de website voor een groot aantal stoornissen vermeldt welke informatie noodzakelijk is, wordt opgemerkt dat er soms to</w:t>
      </w:r>
      <w:r>
        <w:t>ch informatie ontbreekt. Daarom werden de velden van de huidige module A verder opgesplitst en afgestemd op de informatie die noodzakelijk is voor de beoordeling van de erkenning handicap. Op die manier wordt er op stoornisniveau gevraagd naar specifieke i</w:t>
      </w:r>
      <w:r>
        <w:t xml:space="preserve">nformatie voor die stoornis en wordt alle noodzakelijke informatie opgenomen in de module A. </w:t>
      </w:r>
    </w:p>
    <w:p w14:paraId="3F133624" w14:textId="77777777" w:rsidR="0078764E" w:rsidRDefault="00FB7594">
      <w:pPr>
        <w:spacing w:after="120"/>
      </w:pPr>
      <w:r>
        <w:t>De oplevering van de nieuwe module A houdt in dat de huidige module A vanaf een bepaald moment niet meer beschikbaar zal zijn. De timing en overstap naar de nieuw</w:t>
      </w:r>
      <w:r>
        <w:t>e module A ziet er uit als volgt:</w:t>
      </w:r>
    </w:p>
    <w:p w14:paraId="5F10CC5B" w14:textId="77777777" w:rsidR="0078764E" w:rsidRDefault="00FB7594">
      <w:pPr>
        <w:numPr>
          <w:ilvl w:val="0"/>
          <w:numId w:val="1"/>
        </w:numPr>
        <w:spacing w:after="120"/>
      </w:pPr>
      <w:r>
        <w:rPr>
          <w:b/>
        </w:rPr>
        <w:t>Een module A in de huidige applicatie</w:t>
      </w:r>
      <w:r>
        <w:t xml:space="preserve"> (Helios) kan nog ingediend worden </w:t>
      </w:r>
      <w:r>
        <w:rPr>
          <w:b/>
        </w:rPr>
        <w:t>tot en met 7 maart om 16u00</w:t>
      </w:r>
      <w:r>
        <w:t>. Daarna zal het niet meer mogelijk zijn om modules A aan te maken in Helios. Ook reeds opgestarte modules A (in Helios) ku</w:t>
      </w:r>
      <w:r>
        <w:t>nnen na 7 maart (16u00) niet meer afgewerkt en ingediend worden in Helios. De reeds ingevoerde informatie van deze modules zal gekopieerd moeten worden naar de module A in mijnvaph.be. Door een overgangsperiode te voorzien tot en met 7 maart hopen we de ov</w:t>
      </w:r>
      <w:r>
        <w:t xml:space="preserve">erlast hiervan tot een minimum te beperken zodat eventuele onvolledige modules nog afgewerkt kunnen worden voor deze datum. </w:t>
      </w:r>
    </w:p>
    <w:p w14:paraId="227CB1A0" w14:textId="77777777" w:rsidR="0078764E" w:rsidRDefault="00FB7594">
      <w:pPr>
        <w:numPr>
          <w:ilvl w:val="0"/>
          <w:numId w:val="1"/>
        </w:numPr>
        <w:spacing w:after="120"/>
      </w:pPr>
      <w:r>
        <w:t xml:space="preserve">Op </w:t>
      </w:r>
      <w:r>
        <w:rPr>
          <w:b/>
        </w:rPr>
        <w:t xml:space="preserve">vrijdag 8 maart </w:t>
      </w:r>
      <w:r>
        <w:t xml:space="preserve">is de </w:t>
      </w:r>
      <w:r>
        <w:rPr>
          <w:b/>
        </w:rPr>
        <w:t>nieuwe module A beschikbaar in mijnvaph.be</w:t>
      </w:r>
      <w:r>
        <w:t>. Vanaf die vrijdag kunnen modules A enkel nog aangemaakt en bew</w:t>
      </w:r>
      <w:r>
        <w:t>erkt worden in mijnvaph.be. Ook als er informatie wordt opgevraagd voor oudere modules A (via Helios), moet het MDT een nieuwe module A via mijnvaph.be aanmaken en deze aanvullen met de opgevraagde informatie. Daarvoor kan de noodzakelijke informatie uit d</w:t>
      </w:r>
      <w:r>
        <w:t>e module A van Helios gekopieerd worden naar mijnvaph.be.</w:t>
      </w:r>
    </w:p>
    <w:p w14:paraId="4AA3BD0E" w14:textId="77777777" w:rsidR="00285D03" w:rsidRDefault="00285D03">
      <w:pPr>
        <w:pStyle w:val="Kop1"/>
        <w:spacing w:before="200" w:after="120" w:line="360" w:lineRule="auto"/>
        <w:rPr>
          <w:sz w:val="22"/>
          <w:szCs w:val="22"/>
        </w:rPr>
      </w:pPr>
      <w:bookmarkStart w:id="0" w:name="_id408mpcp00e" w:colFirst="0" w:colLast="0"/>
      <w:bookmarkEnd w:id="0"/>
    </w:p>
    <w:p w14:paraId="24B7168D" w14:textId="06989051" w:rsidR="0078764E" w:rsidRDefault="00FB7594">
      <w:pPr>
        <w:pStyle w:val="Kop1"/>
        <w:spacing w:before="200" w:after="120" w:line="360" w:lineRule="auto"/>
        <w:rPr>
          <w:sz w:val="22"/>
          <w:szCs w:val="22"/>
        </w:rPr>
      </w:pPr>
      <w:r>
        <w:rPr>
          <w:sz w:val="22"/>
          <w:szCs w:val="22"/>
        </w:rPr>
        <w:t>OPLEIDING</w:t>
      </w:r>
    </w:p>
    <w:p w14:paraId="1EE8E762" w14:textId="77777777" w:rsidR="0078764E" w:rsidRDefault="00FB7594">
      <w:pPr>
        <w:spacing w:after="120"/>
      </w:pPr>
      <w:r>
        <w:t>De oplevering van de nieuwe module A wordt aangegrepen om een opleidingsaanbod rond module A uit te werken. Dat opleidingsaanbod zal bestaan uit verschillende e-learnings over verschillend</w:t>
      </w:r>
      <w:r>
        <w:t xml:space="preserve">e onderdelen van module A toegepast op enkele stoornissen. Deze e-learnings kunnen door alle MDT-leden geraadpleegd worden wanneer het voor hen past. Enkele weken na de oplevering van de module A zullen er ook digitale vragenmomenten georganiseerd worden. </w:t>
      </w:r>
      <w:r>
        <w:t xml:space="preserve">Het opleidingsaanbod zal op 1 februari gepubliceerd worden. Daarover volgt nog communicatie via het </w:t>
      </w:r>
      <w:hyperlink r:id="rId8">
        <w:r>
          <w:rPr>
            <w:color w:val="1155CC"/>
            <w:u w:val="single"/>
          </w:rPr>
          <w:t>nieuws voor professionelen</w:t>
        </w:r>
      </w:hyperlink>
      <w:r>
        <w:t>.</w:t>
      </w:r>
    </w:p>
    <w:p w14:paraId="68014B01" w14:textId="77777777" w:rsidR="0078764E" w:rsidRDefault="00FB7594">
      <w:pPr>
        <w:pStyle w:val="Kop1"/>
        <w:spacing w:before="200" w:after="120" w:line="360" w:lineRule="auto"/>
        <w:rPr>
          <w:sz w:val="22"/>
          <w:szCs w:val="22"/>
        </w:rPr>
      </w:pPr>
      <w:bookmarkStart w:id="1" w:name="_f0jbnuj75aqh" w:colFirst="0" w:colLast="0"/>
      <w:bookmarkEnd w:id="1"/>
      <w:r>
        <w:rPr>
          <w:sz w:val="22"/>
          <w:szCs w:val="22"/>
        </w:rPr>
        <w:t>WEBSITE</w:t>
      </w:r>
    </w:p>
    <w:p w14:paraId="14A74C3E" w14:textId="77777777" w:rsidR="0078764E" w:rsidRDefault="00FB7594">
      <w:pPr>
        <w:spacing w:after="120"/>
      </w:pPr>
      <w:r>
        <w:t>Ook de webpagina’s over modul</w:t>
      </w:r>
      <w:r>
        <w:t>e A zullen volledig aangepast worden aan de nieuwe module A. Die aanpassing zal gepubliceerd worden op 8 maart 2024 zodat de nieuwe instructies voor iedereen beschikbaar zijn.</w:t>
      </w:r>
    </w:p>
    <w:p w14:paraId="7124A90F" w14:textId="77777777" w:rsidR="0078764E" w:rsidRDefault="0078764E">
      <w:pPr>
        <w:spacing w:after="120"/>
      </w:pPr>
    </w:p>
    <w:p w14:paraId="267689AE" w14:textId="77777777" w:rsidR="0078764E" w:rsidRDefault="0078764E">
      <w:pPr>
        <w:widowControl w:val="0"/>
        <w:pBdr>
          <w:top w:val="nil"/>
          <w:left w:val="nil"/>
          <w:bottom w:val="nil"/>
          <w:right w:val="nil"/>
          <w:between w:val="nil"/>
        </w:pBdr>
      </w:pPr>
    </w:p>
    <w:p w14:paraId="2C8C9AF9" w14:textId="77777777" w:rsidR="0078764E" w:rsidRDefault="0078764E">
      <w:pPr>
        <w:widowControl w:val="0"/>
        <w:pBdr>
          <w:top w:val="nil"/>
          <w:left w:val="nil"/>
          <w:bottom w:val="nil"/>
          <w:right w:val="nil"/>
          <w:between w:val="nil"/>
        </w:pBdr>
      </w:pPr>
    </w:p>
    <w:p w14:paraId="2922163B" w14:textId="77777777" w:rsidR="0078764E" w:rsidRDefault="00FB7594">
      <w:pPr>
        <w:widowControl w:val="0"/>
        <w:pBdr>
          <w:top w:val="nil"/>
          <w:left w:val="nil"/>
          <w:bottom w:val="nil"/>
          <w:right w:val="nil"/>
          <w:between w:val="nil"/>
        </w:pBdr>
      </w:pPr>
      <w:r>
        <w:t>James Van Casteren</w:t>
      </w:r>
    </w:p>
    <w:p w14:paraId="1BBB8BC2" w14:textId="77777777" w:rsidR="0078764E" w:rsidRDefault="00FB7594">
      <w:pPr>
        <w:widowControl w:val="0"/>
        <w:pBdr>
          <w:top w:val="nil"/>
          <w:left w:val="nil"/>
          <w:bottom w:val="nil"/>
          <w:right w:val="nil"/>
          <w:between w:val="nil"/>
        </w:pBdr>
        <w:rPr>
          <w:i/>
        </w:rPr>
      </w:pPr>
      <w:r>
        <w:t>Administrateur-generaal</w:t>
      </w:r>
    </w:p>
    <w:sectPr w:rsidR="0078764E" w:rsidSect="00BB1A7B">
      <w:footerReference w:type="default" r:id="rId9"/>
      <w:footerReference w:type="first" r:id="rId10"/>
      <w:pgSz w:w="11906" w:h="16838"/>
      <w:pgMar w:top="851" w:right="1133" w:bottom="1870" w:left="992"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FA98" w14:textId="77777777" w:rsidR="00000000" w:rsidRDefault="00FB7594">
      <w:pPr>
        <w:spacing w:line="240" w:lineRule="auto"/>
      </w:pPr>
      <w:r>
        <w:separator/>
      </w:r>
    </w:p>
  </w:endnote>
  <w:endnote w:type="continuationSeparator" w:id="0">
    <w:p w14:paraId="565DE083" w14:textId="77777777" w:rsidR="00000000" w:rsidRDefault="00FB7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5C51" w14:textId="77777777" w:rsidR="005A3817" w:rsidRDefault="005A3817" w:rsidP="005A3817">
    <w:pPr>
      <w:pBdr>
        <w:top w:val="nil"/>
        <w:left w:val="nil"/>
        <w:bottom w:val="nil"/>
        <w:right w:val="nil"/>
        <w:between w:val="nil"/>
      </w:pBdr>
    </w:pPr>
  </w:p>
  <w:p w14:paraId="12AADFAA" w14:textId="2F434B62" w:rsidR="0078764E" w:rsidRDefault="009F5229" w:rsidP="005A3817">
    <w:pPr>
      <w:pBdr>
        <w:top w:val="nil"/>
        <w:left w:val="nil"/>
        <w:bottom w:val="nil"/>
        <w:right w:val="nil"/>
        <w:between w:val="nil"/>
      </w:pBdr>
    </w:pPr>
    <w:r>
      <w:rPr>
        <w:noProof/>
      </w:rPr>
      <w:drawing>
        <wp:inline distT="0" distB="0" distL="0" distR="0" wp14:anchorId="72F7BA4E" wp14:editId="0716A674">
          <wp:extent cx="1364615" cy="566420"/>
          <wp:effectExtent l="0" t="0" r="6985" b="5080"/>
          <wp:docPr id="4"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4615" cy="566420"/>
                  </a:xfrm>
                  <a:prstGeom prst="rect">
                    <a:avLst/>
                  </a:prstGeom>
                  <a:ln/>
                </pic:spPr>
              </pic:pic>
            </a:graphicData>
          </a:graphic>
        </wp:inline>
      </w:drawing>
    </w:r>
    <w:r w:rsidR="005A3817">
      <w:tab/>
    </w:r>
    <w:r w:rsidR="005A3817">
      <w:tab/>
    </w:r>
    <w:r w:rsidR="005A3817">
      <w:tab/>
    </w:r>
    <w:r w:rsidR="005A3817">
      <w:tab/>
    </w:r>
    <w:r w:rsidR="005A3817">
      <w:tab/>
    </w:r>
    <w:r w:rsidR="005A3817">
      <w:tab/>
    </w:r>
    <w:r w:rsidR="005A3817">
      <w:tab/>
      <w:t xml:space="preserve">          </w:t>
    </w:r>
    <w:r w:rsidR="005A3817">
      <w:tab/>
      <w:t xml:space="preserve">           </w:t>
    </w:r>
    <w:r w:rsidR="001B08F2">
      <w:t xml:space="preserve">Pagina </w:t>
    </w:r>
    <w:r>
      <w:t>2</w:t>
    </w:r>
    <w:r w:rsidR="001B08F2">
      <w:t xml:space="preserve"> van </w:t>
    </w:r>
    <w:r w:rsidR="001B08F2">
      <w:fldChar w:fldCharType="begin"/>
    </w:r>
    <w:r w:rsidR="001B08F2">
      <w:instrText>NUMPAGES</w:instrText>
    </w:r>
    <w:r w:rsidR="001B08F2">
      <w:fldChar w:fldCharType="separate"/>
    </w:r>
    <w:r w:rsidR="001B08F2">
      <w:t>2</w:t>
    </w:r>
    <w:r w:rsidR="001B08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39A1" w14:textId="77777777" w:rsidR="0078764E" w:rsidRDefault="0078764E">
    <w:pPr>
      <w:pBdr>
        <w:top w:val="nil"/>
        <w:left w:val="nil"/>
        <w:bottom w:val="nil"/>
        <w:right w:val="nil"/>
        <w:between w:val="nil"/>
      </w:pBdr>
    </w:pPr>
  </w:p>
  <w:p w14:paraId="0B53B7F3" w14:textId="00BAD536" w:rsidR="0078764E" w:rsidRDefault="009F5229" w:rsidP="001B08F2">
    <w:pPr>
      <w:pBdr>
        <w:top w:val="nil"/>
        <w:left w:val="nil"/>
        <w:bottom w:val="nil"/>
        <w:right w:val="nil"/>
        <w:between w:val="nil"/>
      </w:pBdr>
    </w:pPr>
    <w:r>
      <w:rPr>
        <w:noProof/>
      </w:rPr>
      <w:drawing>
        <wp:inline distT="114300" distB="114300" distL="114300" distR="114300" wp14:anchorId="7CBDE98E" wp14:editId="1CB5DCE8">
          <wp:extent cx="1364840" cy="566738"/>
          <wp:effectExtent l="0" t="0" r="0" b="0"/>
          <wp:docPr id="5"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rsidR="00FB7594">
      <w:tab/>
    </w:r>
    <w:r w:rsidR="00FB7594">
      <w:tab/>
    </w:r>
    <w:r w:rsidR="00FB7594">
      <w:tab/>
    </w:r>
    <w:r w:rsidR="00FB7594">
      <w:tab/>
    </w:r>
    <w:r w:rsidR="00FB7594">
      <w:tab/>
    </w:r>
    <w:r w:rsidR="00FB7594">
      <w:tab/>
    </w:r>
    <w:r w:rsidR="001B08F2">
      <w:t xml:space="preserve">      </w:t>
    </w:r>
    <w:r w:rsidR="00FB7594">
      <w:tab/>
    </w:r>
    <w:r w:rsidR="001B08F2">
      <w:tab/>
    </w:r>
    <w:r w:rsidR="001B08F2">
      <w:tab/>
    </w:r>
    <w:r w:rsidR="00FB7594">
      <w:t xml:space="preserve">Pagina </w:t>
    </w:r>
    <w:r w:rsidR="001B08F2">
      <w:t>1</w:t>
    </w:r>
    <w:r w:rsidR="00FB7594">
      <w:t xml:space="preserve"> van </w:t>
    </w:r>
    <w:r w:rsidR="00FB7594">
      <w:fldChar w:fldCharType="begin"/>
    </w:r>
    <w:r w:rsidR="00FB7594">
      <w:instrText>NUMPAGES</w:instrText>
    </w:r>
    <w:r w:rsidR="00FB7594">
      <w:fldChar w:fldCharType="separate"/>
    </w:r>
    <w:r w:rsidR="00BB1A7B">
      <w:rPr>
        <w:noProof/>
      </w:rPr>
      <w:t>2</w:t>
    </w:r>
    <w:r w:rsidR="00FB75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D7DC" w14:textId="77777777" w:rsidR="00000000" w:rsidRDefault="00FB7594">
      <w:pPr>
        <w:spacing w:line="240" w:lineRule="auto"/>
      </w:pPr>
      <w:r>
        <w:separator/>
      </w:r>
    </w:p>
  </w:footnote>
  <w:footnote w:type="continuationSeparator" w:id="0">
    <w:p w14:paraId="3910BF28" w14:textId="77777777" w:rsidR="00000000" w:rsidRDefault="00FB7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123"/>
    <w:multiLevelType w:val="hybridMultilevel"/>
    <w:tmpl w:val="385EBB02"/>
    <w:lvl w:ilvl="0" w:tplc="788880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B3241A"/>
    <w:multiLevelType w:val="multilevel"/>
    <w:tmpl w:val="799E2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4E"/>
    <w:rsid w:val="001B08F2"/>
    <w:rsid w:val="00285D03"/>
    <w:rsid w:val="005A3817"/>
    <w:rsid w:val="0078764E"/>
    <w:rsid w:val="009F5229"/>
    <w:rsid w:val="00BB1A7B"/>
    <w:rsid w:val="00BF7514"/>
    <w:rsid w:val="00FB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A075"/>
  <w15:docId w15:val="{5C67144C-1B11-45CB-9227-EF4DB895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BB1A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1A7B"/>
  </w:style>
  <w:style w:type="paragraph" w:styleId="Voettekst">
    <w:name w:val="footer"/>
    <w:basedOn w:val="Standaard"/>
    <w:link w:val="VoettekstChar"/>
    <w:uiPriority w:val="99"/>
    <w:unhideWhenUsed/>
    <w:rsid w:val="00BB1A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1A7B"/>
  </w:style>
  <w:style w:type="paragraph" w:styleId="Lijstalinea">
    <w:name w:val="List Paragraph"/>
    <w:basedOn w:val="Standaard"/>
    <w:uiPriority w:val="34"/>
    <w:qFormat/>
    <w:rsid w:val="001B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actueel/nieuwsbrief/nieuwsbrief-voor-professionel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Vanhoomissen</dc:creator>
  <cp:lastModifiedBy>Evelien Vanhoomissen</cp:lastModifiedBy>
  <cp:revision>5</cp:revision>
  <cp:lastPrinted>2024-01-18T15:01:00Z</cp:lastPrinted>
  <dcterms:created xsi:type="dcterms:W3CDTF">2024-01-18T14:38:00Z</dcterms:created>
  <dcterms:modified xsi:type="dcterms:W3CDTF">2024-01-18T15:02:00Z</dcterms:modified>
</cp:coreProperties>
</file>