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7DB63D" w14:textId="77777777" w:rsidR="00770629" w:rsidRDefault="00770629">
      <w:pPr>
        <w:widowControl w:val="0"/>
        <w:spacing w:line="240" w:lineRule="auto"/>
        <w:rPr>
          <w:sz w:val="12"/>
          <w:szCs w:val="12"/>
        </w:rPr>
      </w:pPr>
    </w:p>
    <w:tbl>
      <w:tblPr>
        <w:tblStyle w:val="a"/>
        <w:tblpPr w:leftFromText="180" w:rightFromText="180" w:topFromText="180" w:bottomFromText="180" w:vertAnchor="text" w:tblpX="334" w:tblpY="300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770629" w14:paraId="4CF08968" w14:textId="77777777">
        <w:tc>
          <w:tcPr>
            <w:tcW w:w="24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BC533E8" w14:textId="77777777" w:rsidR="00770629" w:rsidRDefault="00C2734B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14:paraId="2764F46B" w14:textId="77777777" w:rsidR="00770629" w:rsidRDefault="00C2734B">
            <w:pPr>
              <w:widowControl w:val="0"/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>Koning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14:paraId="67017BFE" w14:textId="77777777" w:rsidR="00770629" w:rsidRDefault="00C2734B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EFEB848" w14:textId="77777777" w:rsidR="00770629" w:rsidRDefault="00C2734B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MEDEDELING</w:t>
            </w:r>
          </w:p>
        </w:tc>
      </w:tr>
      <w:tr w:rsidR="00770629" w14:paraId="2D47F3E1" w14:textId="77777777">
        <w:tc>
          <w:tcPr>
            <w:tcW w:w="24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D44029" w14:textId="77777777" w:rsidR="00770629" w:rsidRDefault="00770629">
            <w:pPr>
              <w:widowControl w:val="0"/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3AE3584" w14:textId="77777777" w:rsidR="00770629" w:rsidRDefault="00C2734B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Gericht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aan</w:t>
            </w:r>
            <w:proofErr w:type="spellEnd"/>
            <w:r>
              <w:rPr>
                <w:b/>
                <w:sz w:val="26"/>
                <w:szCs w:val="26"/>
              </w:rPr>
              <w:t>: PAB-</w:t>
            </w:r>
            <w:proofErr w:type="spellStart"/>
            <w:r>
              <w:rPr>
                <w:b/>
                <w:sz w:val="26"/>
                <w:szCs w:val="26"/>
              </w:rPr>
              <w:t>budgethouders</w:t>
            </w:r>
            <w:proofErr w:type="spellEnd"/>
          </w:p>
        </w:tc>
      </w:tr>
      <w:tr w:rsidR="00770629" w14:paraId="430BAFCC" w14:textId="77777777">
        <w:tc>
          <w:tcPr>
            <w:tcW w:w="24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63B9EF" w14:textId="77777777" w:rsidR="00770629" w:rsidRDefault="00770629">
            <w:pPr>
              <w:widowControl w:val="0"/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8E0CC55" w14:textId="77777777" w:rsidR="00770629" w:rsidRDefault="00C2734B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 xml:space="preserve">26 </w:t>
            </w:r>
            <w:proofErr w:type="spellStart"/>
            <w:r>
              <w:rPr>
                <w:color w:val="666666"/>
              </w:rPr>
              <w:t>januari</w:t>
            </w:r>
            <w:proofErr w:type="spellEnd"/>
            <w:r>
              <w:rPr>
                <w:color w:val="666666"/>
              </w:rPr>
              <w:t xml:space="preserve"> 2024</w:t>
            </w:r>
          </w:p>
        </w:tc>
      </w:tr>
      <w:tr w:rsidR="00770629" w14:paraId="360F4149" w14:textId="77777777">
        <w:tc>
          <w:tcPr>
            <w:tcW w:w="24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63F38F" w14:textId="77777777" w:rsidR="00770629" w:rsidRDefault="00770629">
            <w:pPr>
              <w:widowControl w:val="0"/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F83959B" w14:textId="77777777" w:rsidR="00770629" w:rsidRDefault="00C2734B">
            <w:pPr>
              <w:widowControl w:val="0"/>
              <w:jc w:val="right"/>
              <w:rPr>
                <w:color w:val="666666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VAPH/24/02</w:t>
            </w:r>
          </w:p>
        </w:tc>
      </w:tr>
      <w:tr w:rsidR="00770629" w14:paraId="729BB631" w14:textId="77777777"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02486F88" w14:textId="77777777" w:rsidR="00770629" w:rsidRDefault="00C2734B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2FEB5800" w14:textId="77777777" w:rsidR="00770629" w:rsidRDefault="00C2734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</w:t>
            </w:r>
            <w:proofErr w:type="spellStart"/>
            <w:r>
              <w:rPr>
                <w:sz w:val="20"/>
                <w:szCs w:val="20"/>
              </w:rPr>
              <w:t>Budgetbesteding</w:t>
            </w:r>
            <w:proofErr w:type="spellEnd"/>
          </w:p>
        </w:tc>
      </w:tr>
      <w:tr w:rsidR="00770629" w14:paraId="54CEAE69" w14:textId="77777777"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5AA95D80" w14:textId="77777777" w:rsidR="00770629" w:rsidRDefault="00C2734B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2E74E053" w14:textId="77777777" w:rsidR="00770629" w:rsidRDefault="00C2734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budgetbesteding@vaph.be</w:t>
            </w:r>
          </w:p>
        </w:tc>
      </w:tr>
      <w:tr w:rsidR="00770629" w14:paraId="39F57986" w14:textId="77777777"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1805DF51" w14:textId="77777777" w:rsidR="00770629" w:rsidRDefault="00C2734B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3454F2DB" w14:textId="77777777" w:rsidR="00770629" w:rsidRDefault="00C2734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02 249 30 00</w:t>
            </w:r>
          </w:p>
        </w:tc>
      </w:tr>
      <w:tr w:rsidR="00770629" w14:paraId="74DE4B29" w14:textId="77777777"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1943EBD7" w14:textId="77777777" w:rsidR="00770629" w:rsidRDefault="00C2734B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5DBB48A2" w14:textId="77777777" w:rsidR="00770629" w:rsidRDefault="00C2734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0629" w14:paraId="1C28F351" w14:textId="77777777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EF65BB5" w14:textId="77777777" w:rsidR="00770629" w:rsidRDefault="00C2734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70629" w14:paraId="48AF0B45" w14:textId="77777777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A0B259E" w14:textId="77777777" w:rsidR="00770629" w:rsidRDefault="00C2734B">
            <w:pPr>
              <w:pStyle w:val="Kop1"/>
              <w:widowControl w:val="0"/>
            </w:pPr>
            <w:bookmarkStart w:id="0" w:name="_9gxd5wnrrkgc" w:colFirst="0" w:colLast="0"/>
            <w:bookmarkEnd w:id="0"/>
            <w:proofErr w:type="spellStart"/>
            <w:r>
              <w:t>Combinatie</w:t>
            </w:r>
            <w:proofErr w:type="spellEnd"/>
            <w:r>
              <w:t xml:space="preserve"> van het </w:t>
            </w:r>
            <w:proofErr w:type="spellStart"/>
            <w:r>
              <w:t>persoonlijke-assistentiebudget</w:t>
            </w:r>
            <w:proofErr w:type="spellEnd"/>
            <w:r>
              <w:t xml:space="preserve"> met </w:t>
            </w:r>
            <w:proofErr w:type="spellStart"/>
            <w:r>
              <w:t>ondersteuning</w:t>
            </w:r>
            <w:proofErr w:type="spellEnd"/>
            <w:r>
              <w:t xml:space="preserve"> door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multifunctioneel</w:t>
            </w:r>
            <w:proofErr w:type="spellEnd"/>
            <w:r>
              <w:t xml:space="preserve"> centrum in </w:t>
            </w:r>
            <w:proofErr w:type="spellStart"/>
            <w:r>
              <w:t>juli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augustus</w:t>
            </w:r>
            <w:proofErr w:type="spellEnd"/>
          </w:p>
        </w:tc>
      </w:tr>
      <w:tr w:rsidR="00770629" w14:paraId="64DA8DFF" w14:textId="77777777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E502CFB" w14:textId="77777777" w:rsidR="00770629" w:rsidRDefault="00C2734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2F86505F" w14:textId="77777777" w:rsidR="00770629" w:rsidRDefault="00C2734B">
      <w:pPr>
        <w:widowControl w:val="0"/>
      </w:pPr>
      <w:r>
        <w:t>.</w:t>
      </w:r>
    </w:p>
    <w:p w14:paraId="040899C5" w14:textId="4DCD0AD4" w:rsidR="00770629" w:rsidRDefault="00C2734B" w:rsidP="00000D5E">
      <w:bookmarkStart w:id="1" w:name="_ci5emzd3zl9h" w:colFirst="0" w:colLast="0"/>
      <w:bookmarkStart w:id="2" w:name="_4n3bs3li3ifg" w:colFirst="0" w:colLast="0"/>
      <w:bookmarkStart w:id="3" w:name="_ib72g2y4t7ao" w:colFirst="0" w:colLast="0"/>
      <w:bookmarkStart w:id="4" w:name="_xkpnkt617bof" w:colFirst="0" w:colLast="0"/>
      <w:bookmarkStart w:id="5" w:name="_rzjdvuwak0r9" w:colFirst="0" w:colLast="0"/>
      <w:bookmarkStart w:id="6" w:name="_coutl8mofmwf" w:colFirst="0" w:colLast="0"/>
      <w:bookmarkStart w:id="7" w:name="_ok6zbnjh6uzl" w:colFirst="0" w:colLast="0"/>
      <w:bookmarkStart w:id="8" w:name="_uw1gxlvpx6sp" w:colFirst="0" w:colLast="0"/>
      <w:bookmarkStart w:id="9" w:name="_cbbe1i3i694" w:colFirst="0" w:colLast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proofErr w:type="spellStart"/>
      <w:r>
        <w:t>Een</w:t>
      </w:r>
      <w:proofErr w:type="spellEnd"/>
      <w:r>
        <w:t xml:space="preserve"> </w:t>
      </w:r>
      <w:proofErr w:type="spellStart"/>
      <w:r>
        <w:t>persoonlijke-assistentiebudget</w:t>
      </w:r>
      <w:proofErr w:type="spellEnd"/>
      <w:r>
        <w:t xml:space="preserve"> (PAB) </w:t>
      </w:r>
      <w:proofErr w:type="spellStart"/>
      <w:r>
        <w:t>kan</w:t>
      </w:r>
      <w:proofErr w:type="spellEnd"/>
      <w:r>
        <w:t xml:space="preserve"> </w:t>
      </w:r>
      <w:proofErr w:type="spellStart"/>
      <w:r>
        <w:t>gecombineerd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met </w:t>
      </w:r>
      <w:proofErr w:type="spellStart"/>
      <w:r>
        <w:t>dagopvang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multifunctioneel</w:t>
      </w:r>
      <w:proofErr w:type="spellEnd"/>
      <w:r>
        <w:t xml:space="preserve"> centrum (M</w:t>
      </w:r>
      <w:r>
        <w:t xml:space="preserve">FC). Het PAB </w:t>
      </w:r>
      <w:proofErr w:type="spellStart"/>
      <w:r>
        <w:t>wordt</w:t>
      </w:r>
      <w:proofErr w:type="spellEnd"/>
      <w:r>
        <w:t xml:space="preserve"> dan </w:t>
      </w:r>
      <w:proofErr w:type="spellStart"/>
      <w:r>
        <w:t>aangepast</w:t>
      </w:r>
      <w:proofErr w:type="spellEnd"/>
      <w:r>
        <w:t xml:space="preserve">. </w:t>
      </w:r>
      <w:proofErr w:type="spellStart"/>
      <w:r>
        <w:t>Vanaf</w:t>
      </w:r>
      <w:proofErr w:type="spellEnd"/>
      <w:r>
        <w:t xml:space="preserve"> 2024 </w:t>
      </w:r>
      <w:proofErr w:type="spellStart"/>
      <w:r>
        <w:t>geldt</w:t>
      </w:r>
      <w:proofErr w:type="spellEnd"/>
      <w:r>
        <w:t xml:space="preserve"> er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gunstmaatregel</w:t>
      </w:r>
      <w:proofErr w:type="spellEnd"/>
      <w:r>
        <w:t xml:space="preserve">: </w:t>
      </w:r>
      <w:proofErr w:type="spellStart"/>
      <w:r>
        <w:t>bij</w:t>
      </w:r>
      <w:proofErr w:type="spellEnd"/>
      <w:r>
        <w:t xml:space="preserve"> </w:t>
      </w:r>
      <w:proofErr w:type="spellStart"/>
      <w:r>
        <w:t>combinatie</w:t>
      </w:r>
      <w:proofErr w:type="spellEnd"/>
      <w:r>
        <w:t xml:space="preserve"> in de </w:t>
      </w:r>
      <w:proofErr w:type="spellStart"/>
      <w:r>
        <w:t>maanden</w:t>
      </w:r>
      <w:proofErr w:type="spellEnd"/>
      <w:r>
        <w:t xml:space="preserve"> </w:t>
      </w:r>
      <w:proofErr w:type="spellStart"/>
      <w:r>
        <w:t>juli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augustus</w:t>
      </w:r>
      <w:proofErr w:type="spellEnd"/>
      <w:r>
        <w:t xml:space="preserve">, </w:t>
      </w:r>
      <w:proofErr w:type="spellStart"/>
      <w:r>
        <w:t>wordt</w:t>
      </w:r>
      <w:proofErr w:type="spellEnd"/>
      <w:r>
        <w:t xml:space="preserve"> het PAB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verlaagd</w:t>
      </w:r>
      <w:proofErr w:type="spellEnd"/>
      <w:r>
        <w:t>.</w:t>
      </w:r>
    </w:p>
    <w:p w14:paraId="58FFC473" w14:textId="77777777" w:rsidR="00770629" w:rsidRDefault="00770629">
      <w:pPr>
        <w:widowControl w:val="0"/>
        <w:spacing w:line="240" w:lineRule="auto"/>
      </w:pPr>
    </w:p>
    <w:p w14:paraId="67205E38" w14:textId="77777777" w:rsidR="00770629" w:rsidRPr="00A60763" w:rsidRDefault="00C2734B" w:rsidP="00000D5E">
      <w:pPr>
        <w:pStyle w:val="Kop2"/>
      </w:pPr>
      <w:r w:rsidRPr="00A60763">
        <w:t xml:space="preserve">PAB </w:t>
      </w:r>
      <w:proofErr w:type="spellStart"/>
      <w:r w:rsidRPr="00A60763">
        <w:t>en</w:t>
      </w:r>
      <w:proofErr w:type="spellEnd"/>
      <w:r w:rsidRPr="00A60763">
        <w:t xml:space="preserve"> </w:t>
      </w:r>
      <w:proofErr w:type="spellStart"/>
      <w:r w:rsidRPr="00A60763">
        <w:t>dagopvang</w:t>
      </w:r>
      <w:proofErr w:type="spellEnd"/>
      <w:r w:rsidRPr="00A60763">
        <w:t xml:space="preserve"> MFC </w:t>
      </w:r>
      <w:proofErr w:type="spellStart"/>
      <w:r w:rsidRPr="00A60763">
        <w:t>combineren</w:t>
      </w:r>
      <w:proofErr w:type="spellEnd"/>
    </w:p>
    <w:p w14:paraId="5FCB8081" w14:textId="77777777" w:rsidR="00770629" w:rsidRDefault="00770629">
      <w:pPr>
        <w:widowControl w:val="0"/>
        <w:spacing w:line="240" w:lineRule="auto"/>
      </w:pPr>
    </w:p>
    <w:p w14:paraId="1D0DBFDD" w14:textId="77777777" w:rsidR="00770629" w:rsidRDefault="00C2734B">
      <w:pPr>
        <w:widowControl w:val="0"/>
        <w:spacing w:line="240" w:lineRule="auto"/>
      </w:pPr>
      <w:r>
        <w:t xml:space="preserve">Wie over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persoonlijke-assistentiebudget</w:t>
      </w:r>
      <w:proofErr w:type="spellEnd"/>
      <w:r>
        <w:t xml:space="preserve"> (PAB) </w:t>
      </w:r>
      <w:proofErr w:type="spellStart"/>
      <w:r>
        <w:t>beschikt</w:t>
      </w:r>
      <w:proofErr w:type="spellEnd"/>
      <w:r>
        <w:t xml:space="preserve">, </w:t>
      </w:r>
      <w:proofErr w:type="spellStart"/>
      <w:r>
        <w:t>kan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combineren</w:t>
      </w:r>
      <w:proofErr w:type="spellEnd"/>
      <w:r>
        <w:t xml:space="preserve"> met </w:t>
      </w:r>
      <w:proofErr w:type="spellStart"/>
      <w:r>
        <w:t>dagopvang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multifunctioneel</w:t>
      </w:r>
      <w:proofErr w:type="spellEnd"/>
      <w:r>
        <w:t xml:space="preserve"> centrum (MFC)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erkend</w:t>
      </w:r>
      <w:proofErr w:type="spellEnd"/>
      <w:r>
        <w:t xml:space="preserve"> is door het VAPH. </w:t>
      </w:r>
      <w:proofErr w:type="spellStart"/>
      <w:r>
        <w:t>Uw</w:t>
      </w:r>
      <w:proofErr w:type="spellEnd"/>
      <w:r>
        <w:t xml:space="preserve"> PAB </w:t>
      </w:r>
      <w:proofErr w:type="spellStart"/>
      <w:r>
        <w:t>wordt</w:t>
      </w:r>
      <w:proofErr w:type="spellEnd"/>
      <w:r>
        <w:t xml:space="preserve"> dan </w:t>
      </w:r>
      <w:proofErr w:type="spellStart"/>
      <w:r>
        <w:t>aangepast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 xml:space="preserve"> </w:t>
      </w:r>
      <w:proofErr w:type="spellStart"/>
      <w:r>
        <w:t>houdend</w:t>
      </w:r>
      <w:proofErr w:type="spellEnd"/>
      <w:r>
        <w:t xml:space="preserve"> met het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u </w:t>
      </w:r>
      <w:proofErr w:type="spellStart"/>
      <w:r>
        <w:t>gebruikmaakt</w:t>
      </w:r>
      <w:proofErr w:type="spellEnd"/>
      <w:r>
        <w:t xml:space="preserve"> van het MFC.</w:t>
      </w:r>
      <w:r>
        <w:t xml:space="preserve"> </w:t>
      </w:r>
    </w:p>
    <w:p w14:paraId="33864373" w14:textId="77777777" w:rsidR="00770629" w:rsidRDefault="00770629">
      <w:pPr>
        <w:widowControl w:val="0"/>
        <w:spacing w:line="240" w:lineRule="auto"/>
      </w:pPr>
    </w:p>
    <w:p w14:paraId="40D6552A" w14:textId="77777777" w:rsidR="00770629" w:rsidRDefault="00C2734B">
      <w:pPr>
        <w:widowControl w:val="0"/>
        <w:spacing w:line="240" w:lineRule="auto"/>
      </w:pPr>
      <w:r>
        <w:t xml:space="preserve">Als u het PAB </w:t>
      </w:r>
      <w:proofErr w:type="spellStart"/>
      <w:r>
        <w:t>combineert</w:t>
      </w:r>
      <w:proofErr w:type="spellEnd"/>
      <w:r>
        <w:t xml:space="preserve"> met </w:t>
      </w:r>
      <w:proofErr w:type="spellStart"/>
      <w:r>
        <w:t>dagopvang</w:t>
      </w:r>
      <w:proofErr w:type="spellEnd"/>
      <w:r>
        <w:t xml:space="preserve"> door </w:t>
      </w:r>
      <w:proofErr w:type="spellStart"/>
      <w:r>
        <w:t>een</w:t>
      </w:r>
      <w:proofErr w:type="spellEnd"/>
      <w:r>
        <w:t xml:space="preserve"> MFC, </w:t>
      </w:r>
      <w:proofErr w:type="spellStart"/>
      <w:r>
        <w:t>moet</w:t>
      </w:r>
      <w:proofErr w:type="spellEnd"/>
      <w:r>
        <w:t xml:space="preserve"> u </w:t>
      </w:r>
      <w:proofErr w:type="spellStart"/>
      <w:r>
        <w:t>dat</w:t>
      </w:r>
      <w:proofErr w:type="spellEnd"/>
      <w:r>
        <w:t xml:space="preserve"> laten </w:t>
      </w:r>
      <w:proofErr w:type="spellStart"/>
      <w:r>
        <w:t>weten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team </w:t>
      </w:r>
      <w:proofErr w:type="spellStart"/>
      <w:r>
        <w:t>Budgetbesteding</w:t>
      </w:r>
      <w:proofErr w:type="spellEnd"/>
      <w:r>
        <w:t xml:space="preserve"> van het VAPH. </w:t>
      </w:r>
      <w:proofErr w:type="spellStart"/>
      <w:r>
        <w:t>Daarvoor</w:t>
      </w:r>
      <w:proofErr w:type="spellEnd"/>
      <w:r>
        <w:t xml:space="preserve"> </w:t>
      </w:r>
      <w:proofErr w:type="spellStart"/>
      <w:r>
        <w:t>gebruikt</w:t>
      </w:r>
      <w:proofErr w:type="spellEnd"/>
      <w:r>
        <w:t xml:space="preserve"> u het </w:t>
      </w:r>
      <w:proofErr w:type="spellStart"/>
      <w:r>
        <w:t>formulier</w:t>
      </w:r>
      <w:proofErr w:type="spellEnd"/>
      <w:r>
        <w:t xml:space="preserve"> ‘</w:t>
      </w:r>
      <w:hyperlink r:id="rId6">
        <w:r>
          <w:rPr>
            <w:color w:val="1155CC"/>
            <w:u w:val="single"/>
          </w:rPr>
          <w:t xml:space="preserve">Melding van de </w:t>
        </w:r>
        <w:proofErr w:type="spellStart"/>
        <w:r>
          <w:rPr>
            <w:color w:val="1155CC"/>
            <w:u w:val="single"/>
          </w:rPr>
          <w:t>combinatie</w:t>
        </w:r>
        <w:proofErr w:type="spellEnd"/>
        <w:r>
          <w:rPr>
            <w:color w:val="1155CC"/>
            <w:u w:val="single"/>
          </w:rPr>
          <w:t xml:space="preserve"> van het </w:t>
        </w:r>
        <w:proofErr w:type="spellStart"/>
        <w:r>
          <w:rPr>
            <w:color w:val="1155CC"/>
            <w:u w:val="single"/>
          </w:rPr>
          <w:t>persoonlijke</w:t>
        </w:r>
        <w:proofErr w:type="spellEnd"/>
        <w:r>
          <w:rPr>
            <w:color w:val="1155CC"/>
            <w:u w:val="single"/>
          </w:rPr>
          <w:t>–</w:t>
        </w:r>
        <w:proofErr w:type="spellStart"/>
        <w:r>
          <w:rPr>
            <w:color w:val="1155CC"/>
            <w:u w:val="single"/>
          </w:rPr>
          <w:t>assistentiebudget</w:t>
        </w:r>
        <w:proofErr w:type="spellEnd"/>
        <w:r>
          <w:rPr>
            <w:color w:val="1155CC"/>
            <w:u w:val="single"/>
          </w:rPr>
          <w:t xml:space="preserve"> (PAB) met </w:t>
        </w:r>
        <w:proofErr w:type="spellStart"/>
        <w:r>
          <w:rPr>
            <w:color w:val="1155CC"/>
            <w:u w:val="single"/>
          </w:rPr>
          <w:t>andere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zorgvormen</w:t>
        </w:r>
        <w:proofErr w:type="spellEnd"/>
      </w:hyperlink>
      <w:r>
        <w:t xml:space="preserve">’. Elke </w:t>
      </w:r>
      <w:proofErr w:type="spellStart"/>
      <w:r>
        <w:t>wijziging</w:t>
      </w:r>
      <w:proofErr w:type="spellEnd"/>
      <w:r>
        <w:t xml:space="preserve"> van </w:t>
      </w:r>
      <w:proofErr w:type="spellStart"/>
      <w:r>
        <w:t>minstens</w:t>
      </w:r>
      <w:proofErr w:type="spellEnd"/>
      <w:r>
        <w:t xml:space="preserve">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opeenvolgende</w:t>
      </w:r>
      <w:proofErr w:type="spellEnd"/>
      <w:r>
        <w:t xml:space="preserve"> </w:t>
      </w:r>
      <w:proofErr w:type="spellStart"/>
      <w:r>
        <w:t>weken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u </w:t>
      </w:r>
      <w:proofErr w:type="spellStart"/>
      <w:r>
        <w:t>doorgeven</w:t>
      </w:r>
      <w:proofErr w:type="spellEnd"/>
      <w:r>
        <w:t xml:space="preserve">. </w:t>
      </w:r>
      <w:proofErr w:type="spellStart"/>
      <w:r>
        <w:t>Kortere</w:t>
      </w:r>
      <w:proofErr w:type="spellEnd"/>
      <w:r>
        <w:t xml:space="preserve"> </w:t>
      </w:r>
      <w:proofErr w:type="spellStart"/>
      <w:r>
        <w:t>wijzigingen</w:t>
      </w:r>
      <w:proofErr w:type="spellEnd"/>
      <w:r>
        <w:t xml:space="preserve"> </w:t>
      </w:r>
      <w:proofErr w:type="spellStart"/>
      <w:r>
        <w:t>geeft</w:t>
      </w:r>
      <w:proofErr w:type="spellEnd"/>
      <w:r>
        <w:t xml:space="preserve"> u </w:t>
      </w:r>
      <w:proofErr w:type="spellStart"/>
      <w:r>
        <w:t>niet</w:t>
      </w:r>
      <w:proofErr w:type="spellEnd"/>
      <w:r>
        <w:t xml:space="preserve"> door </w:t>
      </w:r>
      <w:proofErr w:type="spellStart"/>
      <w:r>
        <w:t>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in</w:t>
      </w:r>
      <w:r>
        <w:t>vloed</w:t>
      </w:r>
      <w:proofErr w:type="spellEnd"/>
      <w:r>
        <w:t xml:space="preserve"> op de </w:t>
      </w:r>
      <w:proofErr w:type="spellStart"/>
      <w:r>
        <w:t>hoogte</w:t>
      </w:r>
      <w:proofErr w:type="spellEnd"/>
      <w:r>
        <w:t xml:space="preserve"> van </w:t>
      </w:r>
      <w:proofErr w:type="spellStart"/>
      <w:r>
        <w:t>uw</w:t>
      </w:r>
      <w:proofErr w:type="spellEnd"/>
      <w:r>
        <w:t xml:space="preserve"> PAB. Het </w:t>
      </w:r>
      <w:proofErr w:type="spellStart"/>
      <w:r>
        <w:t>werken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gemiddelde</w:t>
      </w:r>
      <w:proofErr w:type="spellEnd"/>
      <w:r>
        <w:t xml:space="preserve"> is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toegestaan</w:t>
      </w:r>
      <w:proofErr w:type="spellEnd"/>
      <w:r>
        <w:t xml:space="preserve">. </w:t>
      </w:r>
    </w:p>
    <w:p w14:paraId="798E038C" w14:textId="77777777" w:rsidR="00770629" w:rsidRDefault="00770629">
      <w:pPr>
        <w:widowControl w:val="0"/>
        <w:spacing w:line="240" w:lineRule="auto"/>
      </w:pPr>
    </w:p>
    <w:p w14:paraId="582B0326" w14:textId="77777777" w:rsidR="00770629" w:rsidRDefault="00C2734B">
      <w:pPr>
        <w:widowControl w:val="0"/>
        <w:spacing w:line="240" w:lineRule="auto"/>
      </w:pPr>
      <w:proofErr w:type="spellStart"/>
      <w:r>
        <w:t>Voor</w:t>
      </w:r>
      <w:proofErr w:type="spellEnd"/>
      <w:r>
        <w:t xml:space="preserve"> het </w:t>
      </w:r>
      <w:proofErr w:type="spellStart"/>
      <w:r>
        <w:t>combineren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de </w:t>
      </w:r>
      <w:proofErr w:type="spellStart"/>
      <w:r>
        <w:t>zomermaanden</w:t>
      </w:r>
      <w:proofErr w:type="spellEnd"/>
      <w:r>
        <w:t xml:space="preserve"> </w:t>
      </w:r>
      <w:proofErr w:type="spellStart"/>
      <w:r>
        <w:t>juli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augustus</w:t>
      </w:r>
      <w:proofErr w:type="spellEnd"/>
      <w:r>
        <w:t xml:space="preserve"> </w:t>
      </w:r>
      <w:proofErr w:type="spellStart"/>
      <w:r>
        <w:t>geldt</w:t>
      </w:r>
      <w:proofErr w:type="spellEnd"/>
      <w:r>
        <w:t xml:space="preserve"> er </w:t>
      </w:r>
      <w:proofErr w:type="spellStart"/>
      <w:r>
        <w:t>vanaf</w:t>
      </w:r>
      <w:proofErr w:type="spellEnd"/>
      <w:r>
        <w:t xml:space="preserve"> </w:t>
      </w:r>
      <w:proofErr w:type="spellStart"/>
      <w:r>
        <w:t>budgetjaar</w:t>
      </w:r>
      <w:proofErr w:type="spellEnd"/>
      <w:r>
        <w:t xml:space="preserve"> 2024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gunstmaatregel</w:t>
      </w:r>
      <w:proofErr w:type="spellEnd"/>
      <w:r>
        <w:t>.</w:t>
      </w:r>
    </w:p>
    <w:p w14:paraId="0524BB39" w14:textId="77777777" w:rsidR="00770629" w:rsidRDefault="00770629">
      <w:pPr>
        <w:widowControl w:val="0"/>
        <w:spacing w:line="240" w:lineRule="auto"/>
      </w:pPr>
    </w:p>
    <w:p w14:paraId="6D2F3B31" w14:textId="77777777" w:rsidR="00770629" w:rsidRDefault="00770629">
      <w:pPr>
        <w:widowControl w:val="0"/>
        <w:spacing w:line="240" w:lineRule="auto"/>
        <w:rPr>
          <w:b/>
        </w:rPr>
      </w:pPr>
    </w:p>
    <w:p w14:paraId="47FEBD90" w14:textId="77777777" w:rsidR="00770629" w:rsidRDefault="00770629">
      <w:pPr>
        <w:widowControl w:val="0"/>
        <w:spacing w:line="240" w:lineRule="auto"/>
        <w:rPr>
          <w:b/>
        </w:rPr>
      </w:pPr>
    </w:p>
    <w:p w14:paraId="12BB1368" w14:textId="77777777" w:rsidR="00770629" w:rsidRDefault="00770629">
      <w:pPr>
        <w:widowControl w:val="0"/>
        <w:spacing w:line="240" w:lineRule="auto"/>
        <w:rPr>
          <w:b/>
        </w:rPr>
      </w:pPr>
    </w:p>
    <w:p w14:paraId="2DE44B4F" w14:textId="77777777" w:rsidR="00770629" w:rsidRDefault="00770629">
      <w:pPr>
        <w:widowControl w:val="0"/>
        <w:spacing w:line="240" w:lineRule="auto"/>
        <w:rPr>
          <w:b/>
        </w:rPr>
      </w:pPr>
    </w:p>
    <w:p w14:paraId="2A29D6F7" w14:textId="77777777" w:rsidR="00770629" w:rsidRPr="00A60763" w:rsidRDefault="00C2734B" w:rsidP="00A60763">
      <w:pPr>
        <w:pStyle w:val="Kop2"/>
      </w:pPr>
      <w:r w:rsidRPr="00A60763">
        <w:t xml:space="preserve">Wat </w:t>
      </w:r>
      <w:proofErr w:type="spellStart"/>
      <w:r w:rsidRPr="00A60763">
        <w:t>verandert</w:t>
      </w:r>
      <w:proofErr w:type="spellEnd"/>
      <w:r w:rsidRPr="00A60763">
        <w:t xml:space="preserve"> er?</w:t>
      </w:r>
    </w:p>
    <w:p w14:paraId="22287D3A" w14:textId="77777777" w:rsidR="00770629" w:rsidRDefault="00770629">
      <w:pPr>
        <w:widowControl w:val="0"/>
        <w:spacing w:line="240" w:lineRule="auto"/>
      </w:pPr>
    </w:p>
    <w:p w14:paraId="0658D617" w14:textId="77777777" w:rsidR="00770629" w:rsidRDefault="00C2734B">
      <w:pPr>
        <w:widowControl w:val="0"/>
        <w:spacing w:line="240" w:lineRule="auto"/>
      </w:pPr>
      <w:proofErr w:type="spellStart"/>
      <w:r>
        <w:t>Vanaf</w:t>
      </w:r>
      <w:proofErr w:type="spellEnd"/>
      <w:r>
        <w:t xml:space="preserve"> 2024 </w:t>
      </w:r>
      <w:proofErr w:type="spellStart"/>
      <w:r>
        <w:t>gaat</w:t>
      </w:r>
      <w:proofErr w:type="spellEnd"/>
      <w:r>
        <w:t xml:space="preserve"> het VAPH de </w:t>
      </w:r>
      <w:proofErr w:type="spellStart"/>
      <w:r>
        <w:t>combinati</w:t>
      </w:r>
      <w:r>
        <w:t>e</w:t>
      </w:r>
      <w:proofErr w:type="spellEnd"/>
      <w:r>
        <w:t xml:space="preserve"> van het PAB met </w:t>
      </w:r>
      <w:proofErr w:type="spellStart"/>
      <w:r>
        <w:t>dagopvang</w:t>
      </w:r>
      <w:proofErr w:type="spellEnd"/>
      <w:r>
        <w:t xml:space="preserve"> MFC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zomermaanden</w:t>
      </w:r>
      <w:proofErr w:type="spellEnd"/>
      <w:r>
        <w:t xml:space="preserve"> </w:t>
      </w:r>
      <w:proofErr w:type="spellStart"/>
      <w:r>
        <w:t>juli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augustus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0 </w:t>
      </w:r>
      <w:proofErr w:type="spellStart"/>
      <w:r>
        <w:t>dagdelen</w:t>
      </w:r>
      <w:proofErr w:type="spellEnd"/>
      <w:r>
        <w:t xml:space="preserve"> </w:t>
      </w:r>
      <w:proofErr w:type="spellStart"/>
      <w:r>
        <w:t>combinatie</w:t>
      </w:r>
      <w:proofErr w:type="spellEnd"/>
      <w:r>
        <w:t xml:space="preserve"> </w:t>
      </w:r>
      <w:proofErr w:type="spellStart"/>
      <w:r>
        <w:t>registreren</w:t>
      </w:r>
      <w:proofErr w:type="spellEnd"/>
      <w:r>
        <w:t xml:space="preserve">. Ook </w:t>
      </w:r>
      <w:proofErr w:type="spellStart"/>
      <w:r>
        <w:t>als</w:t>
      </w:r>
      <w:proofErr w:type="spellEnd"/>
      <w:r>
        <w:t xml:space="preserve"> u die </w:t>
      </w:r>
      <w:proofErr w:type="spellStart"/>
      <w:r>
        <w:t>maanden</w:t>
      </w:r>
      <w:proofErr w:type="spellEnd"/>
      <w:r>
        <w:t xml:space="preserve"> </w:t>
      </w:r>
      <w:proofErr w:type="spellStart"/>
      <w:r>
        <w:t>gebruikmaakt</w:t>
      </w:r>
      <w:proofErr w:type="spellEnd"/>
      <w:r>
        <w:t xml:space="preserve"> van de </w:t>
      </w:r>
      <w:proofErr w:type="spellStart"/>
      <w:r>
        <w:t>dagopvang</w:t>
      </w:r>
      <w:proofErr w:type="spellEnd"/>
      <w:r>
        <w:t xml:space="preserve"> in het MFC via </w:t>
      </w:r>
      <w:proofErr w:type="spellStart"/>
      <w:r>
        <w:t>bijvoorbeeld</w:t>
      </w:r>
      <w:proofErr w:type="spellEnd"/>
      <w:r>
        <w:t xml:space="preserve"> de </w:t>
      </w:r>
      <w:proofErr w:type="spellStart"/>
      <w:r>
        <w:t>vakantie-opvang</w:t>
      </w:r>
      <w:proofErr w:type="spellEnd"/>
      <w:r>
        <w:t xml:space="preserve">. </w:t>
      </w:r>
      <w:proofErr w:type="spellStart"/>
      <w:r>
        <w:t>Zelfs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u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dag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dagopvang</w:t>
      </w:r>
      <w:proofErr w:type="spellEnd"/>
      <w:r>
        <w:t xml:space="preserve"> </w:t>
      </w:r>
      <w:proofErr w:type="spellStart"/>
      <w:r>
        <w:t>gaat</w:t>
      </w:r>
      <w:proofErr w:type="spellEnd"/>
      <w:r>
        <w:t>, is</w:t>
      </w:r>
      <w:r>
        <w:t xml:space="preserve"> </w:t>
      </w:r>
      <w:proofErr w:type="spellStart"/>
      <w:r>
        <w:t>deze</w:t>
      </w:r>
      <w:proofErr w:type="spellEnd"/>
      <w:r>
        <w:t xml:space="preserve"> regel </w:t>
      </w:r>
      <w:proofErr w:type="spellStart"/>
      <w:r>
        <w:t>ook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u van </w:t>
      </w:r>
      <w:proofErr w:type="spellStart"/>
      <w:r>
        <w:t>toepassing</w:t>
      </w:r>
      <w:proofErr w:type="spellEnd"/>
      <w:r>
        <w:t>.</w:t>
      </w:r>
    </w:p>
    <w:p w14:paraId="1919F6CA" w14:textId="77777777" w:rsidR="00770629" w:rsidRDefault="00770629">
      <w:pPr>
        <w:widowControl w:val="0"/>
        <w:spacing w:line="240" w:lineRule="auto"/>
      </w:pPr>
    </w:p>
    <w:p w14:paraId="141D7356" w14:textId="77777777" w:rsidR="00770629" w:rsidRDefault="00C2734B">
      <w:pPr>
        <w:widowControl w:val="0"/>
        <w:spacing w:line="240" w:lineRule="auto"/>
      </w:pPr>
      <w:r>
        <w:t xml:space="preserve">Het PAB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zomermaanden</w:t>
      </w:r>
      <w:proofErr w:type="spellEnd"/>
      <w:r>
        <w:t xml:space="preserve"> </w:t>
      </w:r>
      <w:proofErr w:type="spellStart"/>
      <w:r>
        <w:t>juli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augustus</w:t>
      </w:r>
      <w:proofErr w:type="spellEnd"/>
      <w:r>
        <w:t xml:space="preserve"> </w:t>
      </w:r>
      <w:proofErr w:type="spellStart"/>
      <w:r>
        <w:t>altijd</w:t>
      </w:r>
      <w:proofErr w:type="spellEnd"/>
      <w:r>
        <w:t xml:space="preserve"> </w:t>
      </w:r>
      <w:proofErr w:type="spellStart"/>
      <w:r>
        <w:t>verhoogd</w:t>
      </w:r>
      <w:proofErr w:type="spellEnd"/>
      <w:r>
        <w:t xml:space="preserve">. U </w:t>
      </w:r>
      <w:proofErr w:type="spellStart"/>
      <w:r>
        <w:t>kan</w:t>
      </w:r>
      <w:proofErr w:type="spellEnd"/>
      <w:r>
        <w:t xml:space="preserve"> </w:t>
      </w:r>
      <w:proofErr w:type="spellStart"/>
      <w:r>
        <w:t>daarnaast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dagopvang</w:t>
      </w:r>
      <w:proofErr w:type="spellEnd"/>
      <w:r>
        <w:t xml:space="preserve"> in het MFC </w:t>
      </w:r>
      <w:proofErr w:type="spellStart"/>
      <w:r>
        <w:t>blijven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. </w:t>
      </w:r>
    </w:p>
    <w:p w14:paraId="48DE5673" w14:textId="77777777" w:rsidR="00770629" w:rsidRDefault="00770629"/>
    <w:p w14:paraId="14A75A10" w14:textId="77777777" w:rsidR="00770629" w:rsidRPr="00A60763" w:rsidRDefault="00C2734B" w:rsidP="00A60763">
      <w:pPr>
        <w:pStyle w:val="Kop2"/>
      </w:pPr>
      <w:r w:rsidRPr="00A60763">
        <w:t xml:space="preserve">Wat </w:t>
      </w:r>
      <w:proofErr w:type="spellStart"/>
      <w:r w:rsidRPr="00A60763">
        <w:t>moet</w:t>
      </w:r>
      <w:proofErr w:type="spellEnd"/>
      <w:r w:rsidRPr="00A60763">
        <w:t xml:space="preserve"> u </w:t>
      </w:r>
      <w:proofErr w:type="spellStart"/>
      <w:r w:rsidRPr="00A60763">
        <w:t>doen</w:t>
      </w:r>
      <w:proofErr w:type="spellEnd"/>
      <w:r w:rsidRPr="00A60763">
        <w:t>?</w:t>
      </w:r>
    </w:p>
    <w:p w14:paraId="7336DAF2" w14:textId="77777777" w:rsidR="00770629" w:rsidRDefault="00770629">
      <w:pPr>
        <w:rPr>
          <w:b/>
        </w:rPr>
      </w:pPr>
    </w:p>
    <w:p w14:paraId="1A7A6C87" w14:textId="77777777" w:rsidR="00770629" w:rsidRDefault="00C2734B">
      <w:r>
        <w:t xml:space="preserve">U </w:t>
      </w:r>
      <w:proofErr w:type="spellStart"/>
      <w:r>
        <w:t>hoeft</w:t>
      </w:r>
      <w:proofErr w:type="spellEnd"/>
      <w:r>
        <w:t xml:space="preserve"> </w:t>
      </w:r>
      <w:proofErr w:type="spellStart"/>
      <w:r>
        <w:t>hiervoor</w:t>
      </w:r>
      <w:proofErr w:type="spellEnd"/>
      <w:r>
        <w:t xml:space="preserve"> </w:t>
      </w:r>
      <w:proofErr w:type="spellStart"/>
      <w:r>
        <w:t>niets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. U </w:t>
      </w:r>
      <w:proofErr w:type="spellStart"/>
      <w:r>
        <w:t>bezorgt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gebruikelijk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wijziging</w:t>
      </w:r>
      <w:proofErr w:type="spellEnd"/>
      <w:r>
        <w:t xml:space="preserve"> van </w:t>
      </w:r>
      <w:proofErr w:type="spellStart"/>
      <w:r>
        <w:t>combinatie</w:t>
      </w:r>
      <w:proofErr w:type="spellEnd"/>
      <w:r>
        <w:t xml:space="preserve"> van </w:t>
      </w:r>
      <w:proofErr w:type="spellStart"/>
      <w:r>
        <w:t>minstens</w:t>
      </w:r>
      <w:proofErr w:type="spellEnd"/>
      <w:r>
        <w:t xml:space="preserve">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opeenvolgende</w:t>
      </w:r>
      <w:proofErr w:type="spellEnd"/>
      <w:r>
        <w:t xml:space="preserve"> </w:t>
      </w:r>
      <w:proofErr w:type="spellStart"/>
      <w:r>
        <w:t>weken</w:t>
      </w:r>
      <w:proofErr w:type="spellEnd"/>
      <w:r>
        <w:t xml:space="preserve">, met </w:t>
      </w:r>
      <w:proofErr w:type="spellStart"/>
      <w:r>
        <w:t>uitzondering</w:t>
      </w:r>
      <w:proofErr w:type="spellEnd"/>
      <w:r>
        <w:t xml:space="preserve"> van </w:t>
      </w:r>
      <w:proofErr w:type="spellStart"/>
      <w:r>
        <w:t>juli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augustus</w:t>
      </w:r>
      <w:proofErr w:type="spellEnd"/>
      <w:r>
        <w:t xml:space="preserve">, het </w:t>
      </w:r>
      <w:proofErr w:type="spellStart"/>
      <w:r>
        <w:t>combinatieformulier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VAPH. </w:t>
      </w:r>
    </w:p>
    <w:p w14:paraId="65A23F32" w14:textId="77777777" w:rsidR="00770629" w:rsidRDefault="00770629"/>
    <w:p w14:paraId="784BFC7B" w14:textId="77777777" w:rsidR="00A60763" w:rsidRPr="00A60763" w:rsidRDefault="00C2734B" w:rsidP="00A60763">
      <w:pPr>
        <w:pStyle w:val="Kop2"/>
      </w:pPr>
      <w:r w:rsidRPr="00A60763">
        <w:t xml:space="preserve">Wat </w:t>
      </w:r>
      <w:proofErr w:type="spellStart"/>
      <w:r w:rsidRPr="00A60763">
        <w:t>moet</w:t>
      </w:r>
      <w:proofErr w:type="spellEnd"/>
      <w:r w:rsidRPr="00A60763">
        <w:t xml:space="preserve"> het MFC </w:t>
      </w:r>
      <w:proofErr w:type="spellStart"/>
      <w:r w:rsidRPr="00A60763">
        <w:t>doen?</w:t>
      </w:r>
      <w:proofErr w:type="spellEnd"/>
    </w:p>
    <w:p w14:paraId="3085E982" w14:textId="77777777" w:rsidR="00A60763" w:rsidRDefault="00A60763" w:rsidP="00A60763">
      <w:pPr>
        <w:pStyle w:val="Kop2"/>
        <w:rPr>
          <w:b w:val="0"/>
          <w:bCs/>
        </w:rPr>
      </w:pPr>
    </w:p>
    <w:p w14:paraId="1C5F5E4C" w14:textId="1621FA24" w:rsidR="00770629" w:rsidRPr="00A60763" w:rsidRDefault="00C2734B" w:rsidP="00A60763">
      <w:r w:rsidRPr="00A60763">
        <w:t xml:space="preserve">Het MFC </w:t>
      </w:r>
      <w:proofErr w:type="spellStart"/>
      <w:r w:rsidRPr="00A60763">
        <w:t>blijft</w:t>
      </w:r>
      <w:proofErr w:type="spellEnd"/>
      <w:r w:rsidRPr="00A60763">
        <w:t xml:space="preserve"> </w:t>
      </w:r>
      <w:proofErr w:type="spellStart"/>
      <w:r w:rsidRPr="00A60763">
        <w:t>tijdens</w:t>
      </w:r>
      <w:proofErr w:type="spellEnd"/>
      <w:r w:rsidRPr="00A60763">
        <w:t xml:space="preserve"> de </w:t>
      </w:r>
      <w:proofErr w:type="spellStart"/>
      <w:r w:rsidRPr="00A60763">
        <w:t>zomermaanden</w:t>
      </w:r>
      <w:proofErr w:type="spellEnd"/>
      <w:r w:rsidRPr="00A60763">
        <w:t xml:space="preserve"> </w:t>
      </w:r>
      <w:proofErr w:type="spellStart"/>
      <w:r w:rsidRPr="00A60763">
        <w:t>juli</w:t>
      </w:r>
      <w:proofErr w:type="spellEnd"/>
      <w:r w:rsidRPr="00A60763">
        <w:t xml:space="preserve"> </w:t>
      </w:r>
      <w:proofErr w:type="spellStart"/>
      <w:r w:rsidRPr="00A60763">
        <w:t>en</w:t>
      </w:r>
      <w:proofErr w:type="spellEnd"/>
      <w:r w:rsidRPr="00A60763">
        <w:t xml:space="preserve"> </w:t>
      </w:r>
      <w:proofErr w:type="spellStart"/>
      <w:r w:rsidRPr="00A60763">
        <w:t>augustus</w:t>
      </w:r>
      <w:proofErr w:type="spellEnd"/>
      <w:r w:rsidRPr="00A60763">
        <w:t xml:space="preserve"> de </w:t>
      </w:r>
      <w:proofErr w:type="spellStart"/>
      <w:r w:rsidRPr="00A60763">
        <w:t>dagregistraties</w:t>
      </w:r>
      <w:proofErr w:type="spellEnd"/>
      <w:r w:rsidRPr="00A60763">
        <w:t xml:space="preserve"> </w:t>
      </w:r>
      <w:proofErr w:type="spellStart"/>
      <w:r w:rsidRPr="00A60763">
        <w:t>doorgeve</w:t>
      </w:r>
      <w:r w:rsidRPr="00A60763">
        <w:t>n</w:t>
      </w:r>
      <w:proofErr w:type="spellEnd"/>
      <w:r w:rsidRPr="00A60763">
        <w:t xml:space="preserve"> </w:t>
      </w:r>
      <w:proofErr w:type="spellStart"/>
      <w:r w:rsidRPr="00A60763">
        <w:t>aan</w:t>
      </w:r>
      <w:proofErr w:type="spellEnd"/>
      <w:r w:rsidRPr="00A60763">
        <w:t xml:space="preserve"> het VAPH.</w:t>
      </w:r>
    </w:p>
    <w:p w14:paraId="11B14A20" w14:textId="77777777" w:rsidR="00770629" w:rsidRDefault="00770629"/>
    <w:p w14:paraId="59757029" w14:textId="77777777" w:rsidR="00770629" w:rsidRDefault="00C2734B" w:rsidP="00A60763">
      <w:pPr>
        <w:pStyle w:val="Kop2"/>
      </w:pPr>
      <w:r>
        <w:t xml:space="preserve">Wat </w:t>
      </w:r>
      <w:proofErr w:type="spellStart"/>
      <w:r>
        <w:t>doet</w:t>
      </w:r>
      <w:proofErr w:type="spellEnd"/>
      <w:r>
        <w:t xml:space="preserve"> het VAPH?</w:t>
      </w:r>
      <w:r>
        <w:br/>
      </w:r>
    </w:p>
    <w:p w14:paraId="095CBA20" w14:textId="77777777" w:rsidR="00770629" w:rsidRDefault="00C2734B">
      <w:r>
        <w:t xml:space="preserve">Het VAPH past </w:t>
      </w:r>
      <w:proofErr w:type="spellStart"/>
      <w:r>
        <w:t>zelf</w:t>
      </w:r>
      <w:proofErr w:type="spellEnd"/>
      <w:r>
        <w:t xml:space="preserve"> de </w:t>
      </w:r>
      <w:proofErr w:type="spellStart"/>
      <w:r>
        <w:t>combinatie</w:t>
      </w:r>
      <w:proofErr w:type="spellEnd"/>
      <w:r>
        <w:t xml:space="preserve"> met </w:t>
      </w:r>
      <w:proofErr w:type="spellStart"/>
      <w:r>
        <w:t>dagopvang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zomermaanden</w:t>
      </w:r>
      <w:proofErr w:type="spellEnd"/>
      <w:r>
        <w:t xml:space="preserve"> </w:t>
      </w:r>
      <w:proofErr w:type="spellStart"/>
      <w:r>
        <w:t>juli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augustus</w:t>
      </w:r>
      <w:proofErr w:type="spellEnd"/>
      <w:r>
        <w:t xml:space="preserve">. Het PAB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verhoogd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1 </w:t>
      </w:r>
      <w:proofErr w:type="spellStart"/>
      <w:r>
        <w:t>juli</w:t>
      </w:r>
      <w:proofErr w:type="spellEnd"/>
      <w:r>
        <w:t xml:space="preserve"> tot </w:t>
      </w:r>
      <w:proofErr w:type="spellStart"/>
      <w:r>
        <w:t>en</w:t>
      </w:r>
      <w:proofErr w:type="spellEnd"/>
      <w:r>
        <w:t xml:space="preserve"> met 31 </w:t>
      </w:r>
      <w:proofErr w:type="spellStart"/>
      <w:r>
        <w:t>augustus</w:t>
      </w:r>
      <w:proofErr w:type="spellEnd"/>
      <w:r>
        <w:t xml:space="preserve">. </w:t>
      </w:r>
    </w:p>
    <w:p w14:paraId="455D2050" w14:textId="77777777" w:rsidR="00770629" w:rsidRDefault="00770629"/>
    <w:p w14:paraId="20AD69DE" w14:textId="77777777" w:rsidR="00770629" w:rsidRDefault="00C2734B">
      <w:proofErr w:type="spellStart"/>
      <w:r>
        <w:t>Heeft</w:t>
      </w:r>
      <w:proofErr w:type="spellEnd"/>
      <w:r>
        <w:t xml:space="preserve"> u </w:t>
      </w:r>
      <w:proofErr w:type="spellStart"/>
      <w:r>
        <w:t>een</w:t>
      </w:r>
      <w:proofErr w:type="spellEnd"/>
      <w:r>
        <w:t xml:space="preserve"> </w:t>
      </w:r>
      <w:proofErr w:type="spellStart"/>
      <w:r>
        <w:t>combinatie</w:t>
      </w:r>
      <w:proofErr w:type="spellEnd"/>
      <w:r>
        <w:t xml:space="preserve"> van </w:t>
      </w:r>
      <w:proofErr w:type="spellStart"/>
      <w:r>
        <w:t>onbepaalde</w:t>
      </w:r>
      <w:proofErr w:type="spellEnd"/>
      <w:r>
        <w:t xml:space="preserve"> </w:t>
      </w:r>
      <w:proofErr w:type="spellStart"/>
      <w:r>
        <w:t>duur</w:t>
      </w:r>
      <w:proofErr w:type="spellEnd"/>
      <w:r>
        <w:t xml:space="preserve">, dan </w:t>
      </w:r>
      <w:proofErr w:type="spellStart"/>
      <w:r>
        <w:t>zal</w:t>
      </w:r>
      <w:proofErr w:type="spellEnd"/>
      <w:r>
        <w:t xml:space="preserve"> het VAPH die </w:t>
      </w:r>
      <w:proofErr w:type="spellStart"/>
      <w:r>
        <w:t>opnieuw</w:t>
      </w:r>
      <w:proofErr w:type="spellEnd"/>
      <w:r>
        <w:t xml:space="preserve"> </w:t>
      </w:r>
      <w:proofErr w:type="spellStart"/>
      <w:r>
        <w:t>registreren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1 </w:t>
      </w:r>
      <w:proofErr w:type="spellStart"/>
      <w:r>
        <w:t>september</w:t>
      </w:r>
      <w:proofErr w:type="spellEnd"/>
      <w:r>
        <w:t xml:space="preserve">. </w:t>
      </w:r>
      <w:proofErr w:type="spellStart"/>
      <w:r>
        <w:t>Uw</w:t>
      </w:r>
      <w:proofErr w:type="spellEnd"/>
      <w:r>
        <w:t xml:space="preserve"> PAB </w:t>
      </w:r>
      <w:proofErr w:type="spellStart"/>
      <w:r>
        <w:t>verlaagt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</w:t>
      </w:r>
      <w:proofErr w:type="spellStart"/>
      <w:r>
        <w:t>opnieuw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1 </w:t>
      </w:r>
      <w:proofErr w:type="spellStart"/>
      <w:r>
        <w:t>september</w:t>
      </w:r>
      <w:proofErr w:type="spellEnd"/>
      <w:r>
        <w:t>.</w:t>
      </w:r>
      <w:r>
        <w:br/>
      </w:r>
    </w:p>
    <w:p w14:paraId="37C32418" w14:textId="77777777" w:rsidR="00770629" w:rsidRDefault="00C2734B">
      <w:pPr>
        <w:rPr>
          <w:b/>
        </w:rPr>
      </w:pPr>
      <w:proofErr w:type="spellStart"/>
      <w:r>
        <w:t>Indien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combinatie</w:t>
      </w:r>
      <w:proofErr w:type="spellEnd"/>
      <w:r>
        <w:t xml:space="preserve"> met </w:t>
      </w:r>
      <w:proofErr w:type="spellStart"/>
      <w:r>
        <w:t>dagopvang</w:t>
      </w:r>
      <w:proofErr w:type="spellEnd"/>
      <w:r>
        <w:t xml:space="preserve"> van </w:t>
      </w:r>
      <w:proofErr w:type="spellStart"/>
      <w:r>
        <w:t>bepaalde</w:t>
      </w:r>
      <w:proofErr w:type="spellEnd"/>
      <w:r>
        <w:t xml:space="preserve"> </w:t>
      </w:r>
      <w:proofErr w:type="spellStart"/>
      <w:r>
        <w:t>duur</w:t>
      </w:r>
      <w:proofErr w:type="spellEnd"/>
      <w:r>
        <w:t xml:space="preserve"> is, </w:t>
      </w:r>
      <w:proofErr w:type="spellStart"/>
      <w:r>
        <w:t>moet</w:t>
      </w:r>
      <w:proofErr w:type="spellEnd"/>
      <w:r>
        <w:t xml:space="preserve"> u het </w:t>
      </w:r>
      <w:proofErr w:type="spellStart"/>
      <w:r>
        <w:t>combinatieformulier</w:t>
      </w:r>
      <w:proofErr w:type="spellEnd"/>
      <w:r>
        <w:t xml:space="preserve"> steeds </w:t>
      </w:r>
      <w:proofErr w:type="spellStart"/>
      <w:r>
        <w:t>jaarlijks</w:t>
      </w:r>
      <w:proofErr w:type="spellEnd"/>
      <w:r>
        <w:t xml:space="preserve"> </w:t>
      </w:r>
      <w:proofErr w:type="spellStart"/>
      <w:r>
        <w:t>bezorgen</w:t>
      </w:r>
      <w:proofErr w:type="spellEnd"/>
      <w:r>
        <w:t xml:space="preserve">,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waarin</w:t>
      </w:r>
      <w:proofErr w:type="spellEnd"/>
      <w:r>
        <w:t xml:space="preserve"> u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maakt</w:t>
      </w:r>
      <w:proofErr w:type="spellEnd"/>
      <w:r>
        <w:t xml:space="preserve"> van de </w:t>
      </w:r>
      <w:proofErr w:type="spellStart"/>
      <w:r>
        <w:t>dagopvang</w:t>
      </w:r>
      <w:proofErr w:type="spellEnd"/>
      <w:r>
        <w:t xml:space="preserve"> (met </w:t>
      </w:r>
      <w:proofErr w:type="spellStart"/>
      <w:r>
        <w:t>uitzondering</w:t>
      </w:r>
      <w:proofErr w:type="spellEnd"/>
      <w:r>
        <w:t xml:space="preserve"> van de </w:t>
      </w:r>
      <w:proofErr w:type="spellStart"/>
      <w:r>
        <w:t>zomermaanden</w:t>
      </w:r>
      <w:proofErr w:type="spellEnd"/>
      <w:r>
        <w:t xml:space="preserve"> </w:t>
      </w:r>
      <w:proofErr w:type="spellStart"/>
      <w:r>
        <w:t>juli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augustus</w:t>
      </w:r>
      <w:proofErr w:type="spellEnd"/>
      <w:r>
        <w:t>).</w:t>
      </w:r>
    </w:p>
    <w:p w14:paraId="544C7A45" w14:textId="77777777" w:rsidR="00770629" w:rsidRDefault="00770629">
      <w:pPr>
        <w:rPr>
          <w:b/>
        </w:rPr>
      </w:pPr>
    </w:p>
    <w:p w14:paraId="14FB82D5" w14:textId="77777777" w:rsidR="00770629" w:rsidRDefault="00770629">
      <w:pPr>
        <w:rPr>
          <w:b/>
        </w:rPr>
      </w:pPr>
    </w:p>
    <w:p w14:paraId="0FD6F016" w14:textId="77777777" w:rsidR="00770629" w:rsidRDefault="00770629"/>
    <w:sectPr w:rsidR="00770629">
      <w:headerReference w:type="default" r:id="rId7"/>
      <w:headerReference w:type="first" r:id="rId8"/>
      <w:footerReference w:type="first" r:id="rId9"/>
      <w:pgSz w:w="11906" w:h="16838"/>
      <w:pgMar w:top="1133" w:right="1133" w:bottom="1870" w:left="187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8508F" w14:textId="77777777" w:rsidR="00000000" w:rsidRDefault="00C2734B">
      <w:pPr>
        <w:spacing w:line="240" w:lineRule="auto"/>
      </w:pPr>
      <w:r>
        <w:separator/>
      </w:r>
    </w:p>
  </w:endnote>
  <w:endnote w:type="continuationSeparator" w:id="0">
    <w:p w14:paraId="4DD5FCFA" w14:textId="77777777" w:rsidR="00000000" w:rsidRDefault="00C273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1EFC" w14:textId="77777777" w:rsidR="00770629" w:rsidRDefault="00770629">
    <w:pPr>
      <w:pBdr>
        <w:top w:val="nil"/>
        <w:left w:val="nil"/>
        <w:bottom w:val="nil"/>
        <w:right w:val="nil"/>
        <w:between w:val="nil"/>
      </w:pBdr>
    </w:pPr>
  </w:p>
  <w:p w14:paraId="38596318" w14:textId="77777777" w:rsidR="00770629" w:rsidRDefault="00C2734B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50D986DA" wp14:editId="4417343C">
          <wp:extent cx="1364840" cy="566738"/>
          <wp:effectExtent l="0" t="0" r="0" b="0"/>
          <wp:docPr id="2" name="image2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000D5E">
      <w:rPr>
        <w:noProof/>
      </w:rPr>
      <w:t>1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000D5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53324" w14:textId="77777777" w:rsidR="00000000" w:rsidRDefault="00C2734B">
      <w:pPr>
        <w:spacing w:line="240" w:lineRule="auto"/>
      </w:pPr>
      <w:r>
        <w:separator/>
      </w:r>
    </w:p>
  </w:footnote>
  <w:footnote w:type="continuationSeparator" w:id="0">
    <w:p w14:paraId="7DB4AEBB" w14:textId="77777777" w:rsidR="00000000" w:rsidRDefault="00C273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0BF4" w14:textId="77777777" w:rsidR="00770629" w:rsidRDefault="00770629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7D18" w14:textId="77777777" w:rsidR="00770629" w:rsidRDefault="00770629">
    <w:pPr>
      <w:pBdr>
        <w:top w:val="nil"/>
        <w:left w:val="nil"/>
        <w:bottom w:val="nil"/>
        <w:right w:val="nil"/>
        <w:between w:val="nil"/>
      </w:pBdr>
    </w:pPr>
  </w:p>
  <w:p w14:paraId="3EF7E693" w14:textId="77777777" w:rsidR="00770629" w:rsidRDefault="00770629">
    <w:pPr>
      <w:pBdr>
        <w:top w:val="nil"/>
        <w:left w:val="nil"/>
        <w:bottom w:val="nil"/>
        <w:right w:val="nil"/>
        <w:between w:val="nil"/>
      </w:pBdr>
      <w:rPr>
        <w:sz w:val="54"/>
        <w:szCs w:val="54"/>
      </w:rPr>
    </w:pPr>
  </w:p>
  <w:p w14:paraId="47555BC3" w14:textId="77777777" w:rsidR="00770629" w:rsidRDefault="00C2734B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3FB01D24" wp14:editId="625ACF8F">
          <wp:extent cx="1405278" cy="642938"/>
          <wp:effectExtent l="0" t="0" r="0" b="0"/>
          <wp:docPr id="1" name="image1.png" descr="logo_vaph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aph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278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629"/>
    <w:rsid w:val="00000D5E"/>
    <w:rsid w:val="00770629"/>
    <w:rsid w:val="00A60763"/>
    <w:rsid w:val="00C2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E232"/>
  <w15:docId w15:val="{7DE91C27-E9F8-4910-AD2C-1D57AE09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uiPriority w:val="9"/>
    <w:unhideWhenUsed/>
    <w:qFormat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aph.be/documenten/melding-van-de-combinatie-van-het-persoonlijke-assistentiebudget-pab-met-ander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Verbeken</dc:creator>
  <cp:lastModifiedBy>Myriam Verbeken</cp:lastModifiedBy>
  <cp:revision>2</cp:revision>
  <dcterms:created xsi:type="dcterms:W3CDTF">2024-01-25T14:18:00Z</dcterms:created>
  <dcterms:modified xsi:type="dcterms:W3CDTF">2024-01-25T14:18:00Z</dcterms:modified>
</cp:coreProperties>
</file>