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ABAA5" w14:textId="77777777" w:rsidR="0024312D" w:rsidRDefault="0024312D">
      <w:pPr>
        <w:widowControl w:val="0"/>
        <w:spacing w:line="240" w:lineRule="auto"/>
        <w:rPr>
          <w:rFonts w:ascii="Calibri" w:eastAsia="Calibri" w:hAnsi="Calibri" w:cs="Calibri"/>
          <w:sz w:val="12"/>
          <w:szCs w:val="12"/>
        </w:rPr>
      </w:pPr>
    </w:p>
    <w:tbl>
      <w:tblPr>
        <w:tblStyle w:val="a"/>
        <w:tblW w:w="8880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2490"/>
        <w:gridCol w:w="6390"/>
      </w:tblGrid>
      <w:tr w:rsidR="0024312D" w14:paraId="7207D600" w14:textId="77777777">
        <w:tc>
          <w:tcPr>
            <w:tcW w:w="2490" w:type="dxa"/>
            <w:vMerge w:val="restart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14:paraId="3ED72EEC" w14:textId="77777777" w:rsidR="0024312D" w:rsidRDefault="007B0371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noProof/>
              </w:rPr>
              <w:drawing>
                <wp:inline distT="114300" distB="114300" distL="114300" distR="114300" wp14:anchorId="19A3A6B8" wp14:editId="363FABD9">
                  <wp:extent cx="1405278" cy="642938"/>
                  <wp:effectExtent l="0" t="0" r="0" b="0"/>
                  <wp:docPr id="1" name="image1.png" descr="logo_vaph_word_300dpi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logo_vaph_word_300dpi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5278" cy="64293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602FEB8C" w14:textId="77777777" w:rsidR="0024312D" w:rsidRDefault="0024312D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14:paraId="296C5591" w14:textId="77777777" w:rsidR="0024312D" w:rsidRDefault="007B0371">
            <w:pPr>
              <w:widowControl w:val="0"/>
              <w:spacing w:line="240" w:lineRule="auto"/>
              <w:rPr>
                <w:rFonts w:ascii="Calibri" w:eastAsia="Calibri" w:hAnsi="Calibri" w:cs="Calibri"/>
                <w:color w:val="666666"/>
              </w:rPr>
            </w:pPr>
            <w:r>
              <w:rPr>
                <w:rFonts w:ascii="Calibri" w:eastAsia="Calibri" w:hAnsi="Calibri" w:cs="Calibri"/>
                <w:color w:val="666666"/>
              </w:rPr>
              <w:t>Zenithgebouw</w:t>
            </w:r>
          </w:p>
          <w:p w14:paraId="3C1B713F" w14:textId="77777777" w:rsidR="0024312D" w:rsidRDefault="007B0371">
            <w:pPr>
              <w:widowControl w:val="0"/>
              <w:spacing w:line="240" w:lineRule="auto"/>
              <w:rPr>
                <w:rFonts w:ascii="Calibri" w:eastAsia="Calibri" w:hAnsi="Calibri" w:cs="Calibri"/>
                <w:color w:val="666666"/>
              </w:rPr>
            </w:pPr>
            <w:r>
              <w:rPr>
                <w:rFonts w:ascii="Calibri" w:eastAsia="Calibri" w:hAnsi="Calibri" w:cs="Calibri"/>
                <w:color w:val="666666"/>
              </w:rPr>
              <w:t>Koning Albert II-laan 37</w:t>
            </w:r>
            <w:r>
              <w:rPr>
                <w:rFonts w:ascii="Calibri" w:eastAsia="Calibri" w:hAnsi="Calibri" w:cs="Calibri"/>
                <w:color w:val="666666"/>
              </w:rPr>
              <w:br/>
              <w:t>1030 BRUSSEL</w:t>
            </w:r>
          </w:p>
          <w:p w14:paraId="03D44200" w14:textId="77777777" w:rsidR="0024312D" w:rsidRDefault="007B0371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www.vaph.be</w:t>
            </w:r>
          </w:p>
        </w:tc>
        <w:tc>
          <w:tcPr>
            <w:tcW w:w="6390" w:type="dxa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14:paraId="00F4B1C0" w14:textId="77777777" w:rsidR="0024312D" w:rsidRDefault="0024312D">
            <w:pPr>
              <w:widowControl w:val="0"/>
              <w:jc w:val="right"/>
              <w:rPr>
                <w:rFonts w:ascii="Calibri" w:eastAsia="Calibri" w:hAnsi="Calibri" w:cs="Calibri"/>
                <w:b/>
                <w:sz w:val="36"/>
                <w:szCs w:val="36"/>
              </w:rPr>
            </w:pPr>
          </w:p>
          <w:p w14:paraId="4653CB9F" w14:textId="77777777" w:rsidR="0024312D" w:rsidRDefault="0024312D">
            <w:pPr>
              <w:widowControl w:val="0"/>
              <w:jc w:val="right"/>
              <w:rPr>
                <w:rFonts w:ascii="Calibri" w:eastAsia="Calibri" w:hAnsi="Calibri" w:cs="Calibri"/>
                <w:b/>
                <w:sz w:val="36"/>
                <w:szCs w:val="36"/>
              </w:rPr>
            </w:pPr>
          </w:p>
          <w:p w14:paraId="17B7676F" w14:textId="77777777" w:rsidR="0024312D" w:rsidRDefault="007B0371">
            <w:pPr>
              <w:widowControl w:val="0"/>
              <w:jc w:val="right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>INFONOTA</w:t>
            </w:r>
          </w:p>
        </w:tc>
      </w:tr>
      <w:tr w:rsidR="0024312D" w14:paraId="494AB0DB" w14:textId="77777777">
        <w:tc>
          <w:tcPr>
            <w:tcW w:w="24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A9C58C" w14:textId="77777777" w:rsidR="0024312D" w:rsidRDefault="0024312D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6390" w:type="dxa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14:paraId="590C55F6" w14:textId="77777777" w:rsidR="0024312D" w:rsidRDefault="007B0371">
            <w:pPr>
              <w:widowControl w:val="0"/>
              <w:jc w:val="right"/>
              <w:rPr>
                <w:rFonts w:ascii="Calibri" w:eastAsia="Calibri" w:hAnsi="Calibri" w:cs="Calibri"/>
                <w:b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Aan: bijstandsorganisaties, multifunctionele centra (MFC)</w:t>
            </w:r>
          </w:p>
        </w:tc>
      </w:tr>
      <w:tr w:rsidR="0024312D" w14:paraId="384DAF59" w14:textId="77777777">
        <w:tc>
          <w:tcPr>
            <w:tcW w:w="24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6FB060" w14:textId="77777777" w:rsidR="0024312D" w:rsidRDefault="0024312D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6390" w:type="dxa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14:paraId="44CE4584" w14:textId="77777777" w:rsidR="0024312D" w:rsidRDefault="007B0371">
            <w:pPr>
              <w:widowControl w:val="0"/>
              <w:jc w:val="right"/>
              <w:rPr>
                <w:rFonts w:ascii="Calibri" w:eastAsia="Calibri" w:hAnsi="Calibri" w:cs="Calibri"/>
                <w:color w:val="666666"/>
              </w:rPr>
            </w:pPr>
            <w:r>
              <w:rPr>
                <w:rFonts w:ascii="Calibri" w:eastAsia="Calibri" w:hAnsi="Calibri" w:cs="Calibri"/>
                <w:color w:val="666666"/>
              </w:rPr>
              <w:t>1 februari 2024</w:t>
            </w:r>
          </w:p>
        </w:tc>
      </w:tr>
      <w:tr w:rsidR="0024312D" w14:paraId="6CFAE83C" w14:textId="77777777">
        <w:tc>
          <w:tcPr>
            <w:tcW w:w="24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4CAD5F" w14:textId="77777777" w:rsidR="0024312D" w:rsidRDefault="0024312D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6390" w:type="dxa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14:paraId="73A3C64A" w14:textId="77777777" w:rsidR="0024312D" w:rsidRDefault="007B0371">
            <w:pPr>
              <w:widowControl w:val="0"/>
              <w:jc w:val="right"/>
              <w:rPr>
                <w:rFonts w:ascii="Calibri" w:eastAsia="Calibri" w:hAnsi="Calibri" w:cs="Calibri"/>
                <w:color w:val="666666"/>
              </w:rPr>
            </w:pPr>
            <w:r>
              <w:rPr>
                <w:rFonts w:ascii="Calibri" w:eastAsia="Calibri" w:hAnsi="Calibri" w:cs="Calibri"/>
                <w:color w:val="666666"/>
              </w:rPr>
              <w:t>INF/24/03</w:t>
            </w:r>
          </w:p>
        </w:tc>
      </w:tr>
      <w:tr w:rsidR="0024312D" w14:paraId="32FA9AB1" w14:textId="77777777">
        <w:tc>
          <w:tcPr>
            <w:tcW w:w="24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70AC409A" w14:textId="77777777" w:rsidR="0024312D" w:rsidRDefault="007B0371">
            <w:pPr>
              <w:widowControl w:val="0"/>
              <w:jc w:val="right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Contactpersoon</w:t>
            </w:r>
          </w:p>
        </w:tc>
        <w:tc>
          <w:tcPr>
            <w:tcW w:w="63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bottom"/>
          </w:tcPr>
          <w:p w14:paraId="1B374910" w14:textId="77777777" w:rsidR="0024312D" w:rsidRDefault="007B0371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Team budgetbesteding</w:t>
            </w:r>
          </w:p>
        </w:tc>
      </w:tr>
      <w:tr w:rsidR="0024312D" w14:paraId="716B194F" w14:textId="77777777">
        <w:tc>
          <w:tcPr>
            <w:tcW w:w="24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530D54C3" w14:textId="77777777" w:rsidR="0024312D" w:rsidRDefault="007B0371">
            <w:pPr>
              <w:widowControl w:val="0"/>
              <w:jc w:val="right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E-mail</w:t>
            </w:r>
          </w:p>
        </w:tc>
        <w:tc>
          <w:tcPr>
            <w:tcW w:w="63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bottom"/>
          </w:tcPr>
          <w:p w14:paraId="41799C39" w14:textId="77777777" w:rsidR="0024312D" w:rsidRDefault="007B0371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budgetbesteding@vaph.be</w:t>
            </w:r>
          </w:p>
        </w:tc>
      </w:tr>
      <w:tr w:rsidR="0024312D" w14:paraId="677975ED" w14:textId="77777777">
        <w:tc>
          <w:tcPr>
            <w:tcW w:w="24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34B6ED67" w14:textId="77777777" w:rsidR="0024312D" w:rsidRDefault="007B0371">
            <w:pPr>
              <w:widowControl w:val="0"/>
              <w:jc w:val="right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Telefoon</w:t>
            </w:r>
          </w:p>
        </w:tc>
        <w:tc>
          <w:tcPr>
            <w:tcW w:w="63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bottom"/>
          </w:tcPr>
          <w:p w14:paraId="68BE4C13" w14:textId="77777777" w:rsidR="0024312D" w:rsidRDefault="007B0371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02 249 30 00</w:t>
            </w:r>
          </w:p>
        </w:tc>
      </w:tr>
      <w:tr w:rsidR="0024312D" w14:paraId="2C920F5C" w14:textId="77777777">
        <w:tc>
          <w:tcPr>
            <w:tcW w:w="24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39ADFD0F" w14:textId="77777777" w:rsidR="0024312D" w:rsidRDefault="007B0371">
            <w:pPr>
              <w:widowControl w:val="0"/>
              <w:jc w:val="right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Bijlagen</w:t>
            </w:r>
          </w:p>
        </w:tc>
        <w:tc>
          <w:tcPr>
            <w:tcW w:w="63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bottom"/>
          </w:tcPr>
          <w:p w14:paraId="62D1FADE" w14:textId="77777777" w:rsidR="0024312D" w:rsidRDefault="007B0371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/</w:t>
            </w:r>
          </w:p>
        </w:tc>
      </w:tr>
      <w:tr w:rsidR="0024312D" w14:paraId="6A8C12F8" w14:textId="77777777">
        <w:tc>
          <w:tcPr>
            <w:tcW w:w="8880" w:type="dxa"/>
            <w:gridSpan w:val="2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14:paraId="7A6407CC" w14:textId="77777777" w:rsidR="0024312D" w:rsidRDefault="0024312D">
            <w:pPr>
              <w:widowControl w:val="0"/>
              <w:rPr>
                <w:rFonts w:ascii="Calibri" w:eastAsia="Calibri" w:hAnsi="Calibri" w:cs="Calibri"/>
                <w:sz w:val="34"/>
                <w:szCs w:val="34"/>
              </w:rPr>
            </w:pPr>
          </w:p>
        </w:tc>
      </w:tr>
      <w:tr w:rsidR="0024312D" w14:paraId="6C396BA5" w14:textId="77777777">
        <w:tc>
          <w:tcPr>
            <w:tcW w:w="8880" w:type="dxa"/>
            <w:gridSpan w:val="2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14:paraId="1AC0A9A9" w14:textId="77777777" w:rsidR="0024312D" w:rsidRDefault="007B0371">
            <w:pPr>
              <w:pStyle w:val="Ondertitel"/>
              <w:widowControl w:val="0"/>
              <w:rPr>
                <w:rFonts w:ascii="Calibri" w:eastAsia="Calibri" w:hAnsi="Calibri" w:cs="Calibri"/>
                <w:b/>
              </w:rPr>
            </w:pPr>
            <w:bookmarkStart w:id="0" w:name="_suwdyxcmhf48" w:colFirst="0" w:colLast="0"/>
            <w:bookmarkEnd w:id="0"/>
            <w:r>
              <w:rPr>
                <w:rFonts w:ascii="Calibri" w:eastAsia="Calibri" w:hAnsi="Calibri" w:cs="Calibri"/>
                <w:b/>
              </w:rPr>
              <w:t>Combinatie van het persoonlijke-assistentiebudget met ondersteuning door een multifunctioneel centrum in juli en augustus</w:t>
            </w:r>
          </w:p>
        </w:tc>
      </w:tr>
      <w:tr w:rsidR="0024312D" w14:paraId="3F1BA45E" w14:textId="77777777">
        <w:tc>
          <w:tcPr>
            <w:tcW w:w="8880" w:type="dxa"/>
            <w:gridSpan w:val="2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14:paraId="71E37C12" w14:textId="77777777" w:rsidR="0024312D" w:rsidRDefault="007B0371">
            <w:pPr>
              <w:widowControl w:val="0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</w:tbl>
    <w:p w14:paraId="227D7E4C" w14:textId="77777777" w:rsidR="0024312D" w:rsidRDefault="007B0371">
      <w:pPr>
        <w:widowControl w:val="0"/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Een persoonlijke-assistentiebudget (PAB) kan gecombineerd worden met dagopvang in een multifunctioneel centrum (MFC). Het PAB wordt dan aangepast. Vanaf 2024 geldt er een gunstmaatregel: bij combinatie in de maanden juli en augustus, wordt het PAB niet ver</w:t>
      </w:r>
      <w:r>
        <w:rPr>
          <w:rFonts w:ascii="Calibri" w:eastAsia="Calibri" w:hAnsi="Calibri" w:cs="Calibri"/>
        </w:rPr>
        <w:t>laagd.</w:t>
      </w:r>
    </w:p>
    <w:p w14:paraId="4362DC69" w14:textId="77777777" w:rsidR="0024312D" w:rsidRDefault="0024312D">
      <w:pPr>
        <w:widowControl w:val="0"/>
        <w:spacing w:line="240" w:lineRule="auto"/>
        <w:rPr>
          <w:rFonts w:ascii="Calibri" w:eastAsia="Calibri" w:hAnsi="Calibri" w:cs="Calibri"/>
        </w:rPr>
      </w:pPr>
    </w:p>
    <w:p w14:paraId="42AE87D4" w14:textId="77777777" w:rsidR="0024312D" w:rsidRDefault="007B0371">
      <w:pPr>
        <w:pStyle w:val="Kop1"/>
        <w:widowControl w:val="0"/>
        <w:spacing w:line="240" w:lineRule="auto"/>
        <w:rPr>
          <w:rFonts w:ascii="Calibri" w:eastAsia="Calibri" w:hAnsi="Calibri" w:cs="Calibri"/>
          <w:b/>
          <w:sz w:val="26"/>
          <w:szCs w:val="26"/>
        </w:rPr>
      </w:pPr>
      <w:bookmarkStart w:id="1" w:name="_gj7mdlq89rua" w:colFirst="0" w:colLast="0"/>
      <w:bookmarkEnd w:id="1"/>
      <w:r>
        <w:rPr>
          <w:rFonts w:ascii="Calibri" w:eastAsia="Calibri" w:hAnsi="Calibri" w:cs="Calibri"/>
          <w:b/>
          <w:sz w:val="26"/>
          <w:szCs w:val="26"/>
        </w:rPr>
        <w:t>PAB en dagopvang MFC combineren</w:t>
      </w:r>
    </w:p>
    <w:p w14:paraId="3C9DA822" w14:textId="77777777" w:rsidR="0024312D" w:rsidRDefault="0024312D">
      <w:pPr>
        <w:widowControl w:val="0"/>
        <w:spacing w:line="240" w:lineRule="auto"/>
        <w:rPr>
          <w:rFonts w:ascii="Calibri" w:eastAsia="Calibri" w:hAnsi="Calibri" w:cs="Calibri"/>
        </w:rPr>
      </w:pPr>
    </w:p>
    <w:p w14:paraId="0747EB35" w14:textId="77777777" w:rsidR="0024312D" w:rsidRDefault="007B0371">
      <w:pPr>
        <w:widowControl w:val="0"/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Wie over een persoonlijke-assistentiebudget (PAB) beschikt, kan dat combineren met dagopvang in een multifunctioneel centrum (MFC) dat erkend is door het VAPH. Het PAB wordt dan aangepast rekening houdend met het aa</w:t>
      </w:r>
      <w:r>
        <w:rPr>
          <w:rFonts w:ascii="Calibri" w:eastAsia="Calibri" w:hAnsi="Calibri" w:cs="Calibri"/>
        </w:rPr>
        <w:t xml:space="preserve">ntal dagen dat een PAB-budgethouder gebruikmaakt van het MFC. </w:t>
      </w:r>
    </w:p>
    <w:p w14:paraId="6D171556" w14:textId="77777777" w:rsidR="0024312D" w:rsidRDefault="0024312D">
      <w:pPr>
        <w:widowControl w:val="0"/>
        <w:spacing w:line="240" w:lineRule="auto"/>
        <w:rPr>
          <w:rFonts w:ascii="Calibri" w:eastAsia="Calibri" w:hAnsi="Calibri" w:cs="Calibri"/>
        </w:rPr>
      </w:pPr>
    </w:p>
    <w:p w14:paraId="299A7037" w14:textId="77777777" w:rsidR="0024312D" w:rsidRDefault="007B0371">
      <w:pPr>
        <w:widowControl w:val="0"/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Als een PAB-budgethouder het PAB combineert met dagopvang door een MFC, moet de budgethouder dat laten weten aan het team Budgetbesteding van het VAPH. Daarvoor gebruikt de budgethouder het fo</w:t>
      </w:r>
      <w:r>
        <w:rPr>
          <w:rFonts w:ascii="Calibri" w:eastAsia="Calibri" w:hAnsi="Calibri" w:cs="Calibri"/>
        </w:rPr>
        <w:t>rmulier ‘</w:t>
      </w:r>
      <w:hyperlink r:id="rId5">
        <w:r>
          <w:rPr>
            <w:rFonts w:ascii="Calibri" w:eastAsia="Calibri" w:hAnsi="Calibri" w:cs="Calibri"/>
            <w:color w:val="1155CC"/>
            <w:u w:val="single"/>
          </w:rPr>
          <w:t>Melding van de combinatie van het persoonlijke–assistentiebudget (PAB) met andere zorgvormen</w:t>
        </w:r>
      </w:hyperlink>
      <w:r>
        <w:rPr>
          <w:rFonts w:ascii="Calibri" w:eastAsia="Calibri" w:hAnsi="Calibri" w:cs="Calibri"/>
        </w:rPr>
        <w:t>’. Elke wijziging van minstens vier opeenvolgende weken moet worden doorgeven, kortere wijzigingen niet.  Deze hebben dus geen invloed op de hoogte van het PAB. Het</w:t>
      </w:r>
      <w:r>
        <w:rPr>
          <w:rFonts w:ascii="Calibri" w:eastAsia="Calibri" w:hAnsi="Calibri" w:cs="Calibri"/>
        </w:rPr>
        <w:t xml:space="preserve"> werken met een gemiddelde is niet toegestaan. </w:t>
      </w:r>
    </w:p>
    <w:p w14:paraId="24CFBE15" w14:textId="77777777" w:rsidR="0024312D" w:rsidRDefault="0024312D">
      <w:pPr>
        <w:widowControl w:val="0"/>
        <w:spacing w:line="240" w:lineRule="auto"/>
        <w:rPr>
          <w:rFonts w:ascii="Calibri" w:eastAsia="Calibri" w:hAnsi="Calibri" w:cs="Calibri"/>
        </w:rPr>
      </w:pPr>
    </w:p>
    <w:p w14:paraId="50BBE5C6" w14:textId="77777777" w:rsidR="0024312D" w:rsidRDefault="007B0371">
      <w:pPr>
        <w:widowControl w:val="0"/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Voor het combineren tijdens de zomermaanden juli en augustus geldt er vanaf budgetjaar 2024 een gunstmaatregel.</w:t>
      </w:r>
    </w:p>
    <w:p w14:paraId="536AB4F8" w14:textId="77777777" w:rsidR="0024312D" w:rsidRDefault="0024312D">
      <w:pPr>
        <w:widowControl w:val="0"/>
        <w:spacing w:line="240" w:lineRule="auto"/>
        <w:rPr>
          <w:rFonts w:ascii="Calibri" w:eastAsia="Calibri" w:hAnsi="Calibri" w:cs="Calibri"/>
        </w:rPr>
      </w:pPr>
    </w:p>
    <w:p w14:paraId="3FAD7858" w14:textId="77777777" w:rsidR="0024312D" w:rsidRDefault="0024312D">
      <w:pPr>
        <w:widowControl w:val="0"/>
        <w:spacing w:line="240" w:lineRule="auto"/>
        <w:rPr>
          <w:rFonts w:ascii="Calibri" w:eastAsia="Calibri" w:hAnsi="Calibri" w:cs="Calibri"/>
        </w:rPr>
      </w:pPr>
    </w:p>
    <w:p w14:paraId="7CEE912C" w14:textId="77777777" w:rsidR="0024312D" w:rsidRDefault="007B0371">
      <w:pPr>
        <w:pStyle w:val="Kop1"/>
        <w:widowControl w:val="0"/>
        <w:spacing w:line="240" w:lineRule="auto"/>
        <w:rPr>
          <w:rFonts w:ascii="Calibri" w:eastAsia="Calibri" w:hAnsi="Calibri" w:cs="Calibri"/>
          <w:b/>
          <w:sz w:val="26"/>
          <w:szCs w:val="26"/>
        </w:rPr>
      </w:pPr>
      <w:bookmarkStart w:id="2" w:name="_yt2ir5ij154d" w:colFirst="0" w:colLast="0"/>
      <w:bookmarkEnd w:id="2"/>
      <w:r>
        <w:rPr>
          <w:rFonts w:ascii="Calibri" w:eastAsia="Calibri" w:hAnsi="Calibri" w:cs="Calibri"/>
          <w:b/>
          <w:sz w:val="26"/>
          <w:szCs w:val="26"/>
        </w:rPr>
        <w:lastRenderedPageBreak/>
        <w:t>Wat verandert er?</w:t>
      </w:r>
    </w:p>
    <w:p w14:paraId="67443094" w14:textId="77777777" w:rsidR="0024312D" w:rsidRDefault="0024312D">
      <w:pPr>
        <w:widowControl w:val="0"/>
        <w:spacing w:line="240" w:lineRule="auto"/>
        <w:rPr>
          <w:rFonts w:ascii="Calibri" w:eastAsia="Calibri" w:hAnsi="Calibri" w:cs="Calibri"/>
        </w:rPr>
      </w:pPr>
    </w:p>
    <w:p w14:paraId="3E0897AD" w14:textId="77777777" w:rsidR="0024312D" w:rsidRDefault="007B0371">
      <w:pPr>
        <w:widowControl w:val="0"/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Vanaf 2024 gaat het VAPH de combinatie van het PAB met dagopvang MFC voor </w:t>
      </w:r>
      <w:r>
        <w:rPr>
          <w:rFonts w:ascii="Calibri" w:eastAsia="Calibri" w:hAnsi="Calibri" w:cs="Calibri"/>
        </w:rPr>
        <w:t>de zomermaanden juli en augustus als 0 dagdelen combinatie registreren. Ook als een PAB-budgethouder die maanden gebruikmaakt van de dagopvang in het MFC via bijvoorbeeld de vakantie-opvang. Zelfs als de PAB-budgethouder elke dag naar de dagopvang gaat, is</w:t>
      </w:r>
      <w:r>
        <w:rPr>
          <w:rFonts w:ascii="Calibri" w:eastAsia="Calibri" w:hAnsi="Calibri" w:cs="Calibri"/>
        </w:rPr>
        <w:t xml:space="preserve"> deze regel van toepassing.</w:t>
      </w:r>
    </w:p>
    <w:p w14:paraId="6AAF8FA0" w14:textId="77777777" w:rsidR="0024312D" w:rsidRDefault="0024312D">
      <w:pPr>
        <w:widowControl w:val="0"/>
        <w:spacing w:line="240" w:lineRule="auto"/>
        <w:rPr>
          <w:rFonts w:ascii="Calibri" w:eastAsia="Calibri" w:hAnsi="Calibri" w:cs="Calibri"/>
        </w:rPr>
      </w:pPr>
    </w:p>
    <w:p w14:paraId="6C25EDC6" w14:textId="77777777" w:rsidR="0024312D" w:rsidRDefault="007B0371">
      <w:pPr>
        <w:widowControl w:val="0"/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Het PAB wordt dus voor de zomermaanden juli en augustus altijd verhoogd. De PAB-budgethouder kan daarnaast naar de dagopvang in het MFC blijven gaan. </w:t>
      </w:r>
    </w:p>
    <w:p w14:paraId="061FC06A" w14:textId="77777777" w:rsidR="0024312D" w:rsidRDefault="007B0371">
      <w:pPr>
        <w:pStyle w:val="Kop1"/>
        <w:rPr>
          <w:rFonts w:ascii="Calibri" w:eastAsia="Calibri" w:hAnsi="Calibri" w:cs="Calibri"/>
          <w:b/>
          <w:sz w:val="26"/>
          <w:szCs w:val="26"/>
        </w:rPr>
      </w:pPr>
      <w:bookmarkStart w:id="3" w:name="_bk4aou6bjnzk" w:colFirst="0" w:colLast="0"/>
      <w:bookmarkEnd w:id="3"/>
      <w:r>
        <w:rPr>
          <w:rFonts w:ascii="Calibri" w:eastAsia="Calibri" w:hAnsi="Calibri" w:cs="Calibri"/>
          <w:b/>
          <w:sz w:val="26"/>
          <w:szCs w:val="26"/>
        </w:rPr>
        <w:t>Wat moet een PAB-budgethouder doen?</w:t>
      </w:r>
    </w:p>
    <w:p w14:paraId="0B25632D" w14:textId="77777777" w:rsidR="0024312D" w:rsidRDefault="007B037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De budgethouder hoeft hiervoor niets te </w:t>
      </w:r>
      <w:r>
        <w:rPr>
          <w:rFonts w:ascii="Calibri" w:eastAsia="Calibri" w:hAnsi="Calibri" w:cs="Calibri"/>
        </w:rPr>
        <w:t xml:space="preserve">doen. Hij bezorgt zoals gebruikelijk bij elke wijziging van combinatie van minstens vier opeenvolgende weken, met uitzondering van juli en augustus, het combinatieformulier aan het VAPH. </w:t>
      </w:r>
    </w:p>
    <w:p w14:paraId="345A5F75" w14:textId="77777777" w:rsidR="0024312D" w:rsidRDefault="0024312D">
      <w:pPr>
        <w:rPr>
          <w:rFonts w:ascii="Calibri" w:eastAsia="Calibri" w:hAnsi="Calibri" w:cs="Calibri"/>
        </w:rPr>
      </w:pPr>
    </w:p>
    <w:p w14:paraId="0A0CE87E" w14:textId="77777777" w:rsidR="0024312D" w:rsidRDefault="007B037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26"/>
          <w:szCs w:val="26"/>
        </w:rPr>
        <w:t>Wat moet het MFC doen?</w:t>
      </w:r>
      <w:r>
        <w:rPr>
          <w:rFonts w:ascii="Calibri" w:eastAsia="Calibri" w:hAnsi="Calibri" w:cs="Calibri"/>
          <w:b/>
          <w:sz w:val="26"/>
          <w:szCs w:val="26"/>
        </w:rPr>
        <w:br/>
      </w:r>
      <w:r>
        <w:br/>
      </w:r>
      <w:r>
        <w:rPr>
          <w:rFonts w:ascii="Calibri" w:eastAsia="Calibri" w:hAnsi="Calibri" w:cs="Calibri"/>
        </w:rPr>
        <w:t>Het MFC blijft tijdens de zomermaanden juli</w:t>
      </w:r>
      <w:r>
        <w:rPr>
          <w:rFonts w:ascii="Calibri" w:eastAsia="Calibri" w:hAnsi="Calibri" w:cs="Calibri"/>
        </w:rPr>
        <w:t xml:space="preserve"> en augustus de dagregistraties via de GIR doorgeven aan het VAPH. Ook de begeleidingsovereenkomst blijft doorlopen en moet niet worden gewijzigd.</w:t>
      </w:r>
    </w:p>
    <w:p w14:paraId="2C3FED36" w14:textId="77777777" w:rsidR="0024312D" w:rsidRDefault="007B0371">
      <w:pPr>
        <w:pStyle w:val="Kop1"/>
        <w:rPr>
          <w:rFonts w:ascii="Calibri" w:eastAsia="Calibri" w:hAnsi="Calibri" w:cs="Calibri"/>
          <w:b/>
          <w:sz w:val="26"/>
          <w:szCs w:val="26"/>
        </w:rPr>
      </w:pPr>
      <w:bookmarkStart w:id="4" w:name="_y4crow9s0m6z" w:colFirst="0" w:colLast="0"/>
      <w:bookmarkEnd w:id="4"/>
      <w:r>
        <w:rPr>
          <w:rFonts w:ascii="Calibri" w:eastAsia="Calibri" w:hAnsi="Calibri" w:cs="Calibri"/>
          <w:b/>
          <w:sz w:val="26"/>
          <w:szCs w:val="26"/>
        </w:rPr>
        <w:t>Wat doet het VAPH?</w:t>
      </w:r>
    </w:p>
    <w:p w14:paraId="2B7BF661" w14:textId="77777777" w:rsidR="0024312D" w:rsidRDefault="007B037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Het VAPH past zelf de combinatie met dagopvang aan voor de zomermaanden juli en augustus. Het PAB wordt verhoogd vanaf 1 juli tot en met 31 augustus. </w:t>
      </w:r>
    </w:p>
    <w:p w14:paraId="4DA79ED6" w14:textId="77777777" w:rsidR="0024312D" w:rsidRDefault="0024312D">
      <w:pPr>
        <w:rPr>
          <w:rFonts w:ascii="Calibri" w:eastAsia="Calibri" w:hAnsi="Calibri" w:cs="Calibri"/>
        </w:rPr>
      </w:pPr>
    </w:p>
    <w:p w14:paraId="3285490A" w14:textId="77777777" w:rsidR="0024312D" w:rsidRDefault="007B037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Heeft een PAB-budgethouder een combinatie van onbepaalde duur, dan zal het VAPH die opnieuw registreren </w:t>
      </w:r>
      <w:r>
        <w:rPr>
          <w:rFonts w:ascii="Calibri" w:eastAsia="Calibri" w:hAnsi="Calibri" w:cs="Calibri"/>
        </w:rPr>
        <w:t>vanaf 1 september. Het PAB verlaagt dus opnieuw vanaf 1 september.</w:t>
      </w:r>
      <w:r>
        <w:rPr>
          <w:rFonts w:ascii="Calibri" w:eastAsia="Calibri" w:hAnsi="Calibri" w:cs="Calibri"/>
        </w:rPr>
        <w:br/>
      </w:r>
    </w:p>
    <w:p w14:paraId="3E4FE18B" w14:textId="77777777" w:rsidR="0024312D" w:rsidRDefault="007B0371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>Indien een PAB-budgethouder een combinatie met dagopvang van bepaalde duur heeft, moet de budgethouder het combinatieformulier steeds jaarlijks bezorgen, voor elke periode waarin gebruik w</w:t>
      </w:r>
      <w:r>
        <w:rPr>
          <w:rFonts w:ascii="Calibri" w:eastAsia="Calibri" w:hAnsi="Calibri" w:cs="Calibri"/>
        </w:rPr>
        <w:t>ordt gemaakt van de dagopvang (met uitzondering van de zomermaanden juli en augustus).</w:t>
      </w:r>
    </w:p>
    <w:p w14:paraId="198C7454" w14:textId="77777777" w:rsidR="0024312D" w:rsidRDefault="0024312D">
      <w:pPr>
        <w:widowControl w:val="0"/>
        <w:spacing w:line="360" w:lineRule="auto"/>
        <w:rPr>
          <w:rFonts w:ascii="Calibri" w:eastAsia="Calibri" w:hAnsi="Calibri" w:cs="Calibri"/>
        </w:rPr>
      </w:pPr>
    </w:p>
    <w:p w14:paraId="3C578465" w14:textId="77777777" w:rsidR="0024312D" w:rsidRDefault="0024312D">
      <w:pPr>
        <w:widowControl w:val="0"/>
        <w:rPr>
          <w:rFonts w:ascii="Calibri" w:eastAsia="Calibri" w:hAnsi="Calibri" w:cs="Calibri"/>
        </w:rPr>
      </w:pPr>
    </w:p>
    <w:p w14:paraId="047EF448" w14:textId="77777777" w:rsidR="0024312D" w:rsidRDefault="0024312D">
      <w:pPr>
        <w:widowControl w:val="0"/>
        <w:rPr>
          <w:rFonts w:ascii="Calibri" w:eastAsia="Calibri" w:hAnsi="Calibri" w:cs="Calibri"/>
        </w:rPr>
      </w:pPr>
    </w:p>
    <w:p w14:paraId="156E1C9D" w14:textId="77777777" w:rsidR="0024312D" w:rsidRDefault="0024312D">
      <w:pPr>
        <w:widowControl w:val="0"/>
        <w:rPr>
          <w:rFonts w:ascii="Calibri" w:eastAsia="Calibri" w:hAnsi="Calibri" w:cs="Calibri"/>
        </w:rPr>
      </w:pPr>
    </w:p>
    <w:p w14:paraId="3C4C7E30" w14:textId="77777777" w:rsidR="0024312D" w:rsidRDefault="0024312D">
      <w:pPr>
        <w:widowControl w:val="0"/>
        <w:rPr>
          <w:rFonts w:ascii="Calibri" w:eastAsia="Calibri" w:hAnsi="Calibri" w:cs="Calibri"/>
        </w:rPr>
      </w:pPr>
    </w:p>
    <w:p w14:paraId="5D91D865" w14:textId="77777777" w:rsidR="0024312D" w:rsidRDefault="0024312D">
      <w:pPr>
        <w:widowControl w:val="0"/>
        <w:rPr>
          <w:rFonts w:ascii="Calibri" w:eastAsia="Calibri" w:hAnsi="Calibri" w:cs="Calibri"/>
        </w:rPr>
      </w:pPr>
    </w:p>
    <w:p w14:paraId="3F27762E" w14:textId="77777777" w:rsidR="0024312D" w:rsidRDefault="0024312D">
      <w:pPr>
        <w:widowControl w:val="0"/>
        <w:rPr>
          <w:rFonts w:ascii="Calibri" w:eastAsia="Calibri" w:hAnsi="Calibri" w:cs="Calibri"/>
        </w:rPr>
      </w:pPr>
    </w:p>
    <w:p w14:paraId="67ED943B" w14:textId="77777777" w:rsidR="0024312D" w:rsidRDefault="007B0371">
      <w:pPr>
        <w:widowControl w:val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James Van Casteren</w:t>
      </w:r>
    </w:p>
    <w:p w14:paraId="205C8D40" w14:textId="77777777" w:rsidR="0024312D" w:rsidRDefault="007B0371">
      <w:pPr>
        <w:widowControl w:val="0"/>
      </w:pPr>
      <w:r>
        <w:rPr>
          <w:rFonts w:ascii="Calibri" w:eastAsia="Calibri" w:hAnsi="Calibri" w:cs="Calibri"/>
        </w:rPr>
        <w:t>Administrateur-generaal</w:t>
      </w:r>
    </w:p>
    <w:sectPr w:rsidR="0024312D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12D"/>
    <w:rsid w:val="0024312D"/>
    <w:rsid w:val="007B0371"/>
    <w:rsid w:val="00D45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C6CEC"/>
  <w15:docId w15:val="{A8D65CF0-199B-496F-AC02-BE77ADB4E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nl" w:eastAsia="nl-B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vaph.be/documenten/melding-van-de-combinatie-van-het-persoonlijke-assistentiebudget-pab-met-ander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523</Words>
  <Characters>2880</Characters>
  <Application>Microsoft Office Word</Application>
  <DocSecurity>0</DocSecurity>
  <Lines>24</Lines>
  <Paragraphs>6</Paragraphs>
  <ScaleCrop>false</ScaleCrop>
  <Company/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Myriam Verbeken</dc:creator>
  <cp:lastModifiedBy>Myriam Verbeken</cp:lastModifiedBy>
  <cp:revision>2</cp:revision>
  <dcterms:created xsi:type="dcterms:W3CDTF">2024-02-01T08:43:00Z</dcterms:created>
  <dcterms:modified xsi:type="dcterms:W3CDTF">2024-02-01T08:43:00Z</dcterms:modified>
</cp:coreProperties>
</file>