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152EE" w14:textId="77777777" w:rsidR="004B66E8" w:rsidRDefault="004B66E8">
      <w:pPr>
        <w:widowControl w:val="0"/>
        <w:spacing w:line="240" w:lineRule="auto"/>
        <w:rPr>
          <w:rFonts w:ascii="Calibri" w:eastAsia="Calibri" w:hAnsi="Calibri" w:cs="Calibri"/>
          <w:sz w:val="12"/>
          <w:szCs w:val="12"/>
        </w:rPr>
      </w:pPr>
    </w:p>
    <w:tbl>
      <w:tblPr>
        <w:tblStyle w:val="a"/>
        <w:tblW w:w="8880" w:type="dxa"/>
        <w:tblInd w:w="0" w:type="dxa"/>
        <w:tblLayout w:type="fixed"/>
        <w:tblLook w:val="0600" w:firstRow="0" w:lastRow="0" w:firstColumn="0" w:lastColumn="0" w:noHBand="1" w:noVBand="1"/>
      </w:tblPr>
      <w:tblGrid>
        <w:gridCol w:w="2490"/>
        <w:gridCol w:w="6390"/>
      </w:tblGrid>
      <w:tr w:rsidR="004B66E8" w14:paraId="17AD7FBA" w14:textId="77777777">
        <w:tc>
          <w:tcPr>
            <w:tcW w:w="2490" w:type="dxa"/>
            <w:vMerge w:val="restart"/>
            <w:shd w:val="clear" w:color="auto" w:fill="auto"/>
            <w:tcMar>
              <w:top w:w="60" w:type="dxa"/>
              <w:left w:w="100" w:type="dxa"/>
              <w:bottom w:w="60" w:type="dxa"/>
              <w:right w:w="100" w:type="dxa"/>
            </w:tcMar>
          </w:tcPr>
          <w:p w14:paraId="27974769" w14:textId="77777777" w:rsidR="004B66E8" w:rsidRDefault="002514E2">
            <w:pPr>
              <w:widowControl w:val="0"/>
              <w:spacing w:line="240" w:lineRule="auto"/>
              <w:rPr>
                <w:rFonts w:ascii="Calibri" w:eastAsia="Calibri" w:hAnsi="Calibri" w:cs="Calibri"/>
              </w:rPr>
            </w:pPr>
            <w:r>
              <w:rPr>
                <w:rFonts w:ascii="Calibri" w:eastAsia="Calibri" w:hAnsi="Calibri" w:cs="Calibri"/>
                <w:noProof/>
              </w:rPr>
              <w:drawing>
                <wp:inline distT="114300" distB="114300" distL="114300" distR="114300" wp14:anchorId="76D66B62" wp14:editId="1AE28D4F">
                  <wp:extent cx="1405278" cy="642938"/>
                  <wp:effectExtent l="0" t="0" r="0" b="0"/>
                  <wp:docPr id="1" name="image1.png" descr="logo_vaph_word_300dpi.png"/>
                  <wp:cNvGraphicFramePr/>
                  <a:graphic xmlns:a="http://schemas.openxmlformats.org/drawingml/2006/main">
                    <a:graphicData uri="http://schemas.openxmlformats.org/drawingml/2006/picture">
                      <pic:pic xmlns:pic="http://schemas.openxmlformats.org/drawingml/2006/picture">
                        <pic:nvPicPr>
                          <pic:cNvPr id="0" name="image1.png" descr="logo_vaph_word_300dpi.png"/>
                          <pic:cNvPicPr preferRelativeResize="0"/>
                        </pic:nvPicPr>
                        <pic:blipFill>
                          <a:blip r:embed="rId5"/>
                          <a:srcRect/>
                          <a:stretch>
                            <a:fillRect/>
                          </a:stretch>
                        </pic:blipFill>
                        <pic:spPr>
                          <a:xfrm>
                            <a:off x="0" y="0"/>
                            <a:ext cx="1405278" cy="642938"/>
                          </a:xfrm>
                          <a:prstGeom prst="rect">
                            <a:avLst/>
                          </a:prstGeom>
                          <a:ln/>
                        </pic:spPr>
                      </pic:pic>
                    </a:graphicData>
                  </a:graphic>
                </wp:inline>
              </w:drawing>
            </w:r>
          </w:p>
          <w:p w14:paraId="719B3D8A" w14:textId="77777777" w:rsidR="004B66E8" w:rsidRDefault="004B66E8">
            <w:pPr>
              <w:widowControl w:val="0"/>
              <w:spacing w:line="240" w:lineRule="auto"/>
              <w:rPr>
                <w:rFonts w:ascii="Calibri" w:eastAsia="Calibri" w:hAnsi="Calibri" w:cs="Calibri"/>
              </w:rPr>
            </w:pPr>
          </w:p>
          <w:p w14:paraId="6B94D263" w14:textId="77777777" w:rsidR="004B66E8" w:rsidRDefault="002514E2">
            <w:pPr>
              <w:widowControl w:val="0"/>
              <w:spacing w:line="240" w:lineRule="auto"/>
              <w:rPr>
                <w:rFonts w:ascii="Calibri" w:eastAsia="Calibri" w:hAnsi="Calibri" w:cs="Calibri"/>
                <w:color w:val="666666"/>
              </w:rPr>
            </w:pPr>
            <w:r>
              <w:rPr>
                <w:rFonts w:ascii="Calibri" w:eastAsia="Calibri" w:hAnsi="Calibri" w:cs="Calibri"/>
                <w:color w:val="666666"/>
              </w:rPr>
              <w:t>Zenithgebouw</w:t>
            </w:r>
          </w:p>
          <w:p w14:paraId="47581886" w14:textId="77777777" w:rsidR="004B66E8" w:rsidRDefault="002514E2">
            <w:pPr>
              <w:widowControl w:val="0"/>
              <w:spacing w:line="240" w:lineRule="auto"/>
              <w:rPr>
                <w:rFonts w:ascii="Calibri" w:eastAsia="Calibri" w:hAnsi="Calibri" w:cs="Calibri"/>
                <w:color w:val="666666"/>
              </w:rPr>
            </w:pPr>
            <w:r>
              <w:rPr>
                <w:rFonts w:ascii="Calibri" w:eastAsia="Calibri" w:hAnsi="Calibri" w:cs="Calibri"/>
                <w:color w:val="666666"/>
              </w:rPr>
              <w:t>Koning Albert II-laan 37</w:t>
            </w:r>
            <w:r>
              <w:rPr>
                <w:rFonts w:ascii="Calibri" w:eastAsia="Calibri" w:hAnsi="Calibri" w:cs="Calibri"/>
                <w:color w:val="666666"/>
              </w:rPr>
              <w:br/>
              <w:t>1030 BRUSSEL</w:t>
            </w:r>
          </w:p>
          <w:p w14:paraId="19B1B090" w14:textId="77777777" w:rsidR="004B66E8" w:rsidRDefault="002514E2">
            <w:pPr>
              <w:widowControl w:val="0"/>
              <w:spacing w:line="240" w:lineRule="auto"/>
              <w:rPr>
                <w:rFonts w:ascii="Calibri" w:eastAsia="Calibri" w:hAnsi="Calibri" w:cs="Calibri"/>
              </w:rPr>
            </w:pPr>
            <w:r>
              <w:rPr>
                <w:rFonts w:ascii="Calibri" w:eastAsia="Calibri" w:hAnsi="Calibri" w:cs="Calibri"/>
              </w:rPr>
              <w:t>www.vaph.be</w:t>
            </w:r>
          </w:p>
        </w:tc>
        <w:tc>
          <w:tcPr>
            <w:tcW w:w="6390" w:type="dxa"/>
            <w:shd w:val="clear" w:color="auto" w:fill="auto"/>
            <w:tcMar>
              <w:top w:w="60" w:type="dxa"/>
              <w:left w:w="100" w:type="dxa"/>
              <w:bottom w:w="60" w:type="dxa"/>
              <w:right w:w="100" w:type="dxa"/>
            </w:tcMar>
          </w:tcPr>
          <w:p w14:paraId="50CF3CA8" w14:textId="77777777" w:rsidR="004B66E8" w:rsidRDefault="004B66E8">
            <w:pPr>
              <w:widowControl w:val="0"/>
              <w:jc w:val="right"/>
              <w:rPr>
                <w:rFonts w:ascii="Calibri" w:eastAsia="Calibri" w:hAnsi="Calibri" w:cs="Calibri"/>
                <w:b/>
                <w:sz w:val="36"/>
                <w:szCs w:val="36"/>
              </w:rPr>
            </w:pPr>
          </w:p>
          <w:p w14:paraId="3956E9A6" w14:textId="77777777" w:rsidR="004B66E8" w:rsidRDefault="004B66E8">
            <w:pPr>
              <w:widowControl w:val="0"/>
              <w:jc w:val="right"/>
              <w:rPr>
                <w:rFonts w:ascii="Calibri" w:eastAsia="Calibri" w:hAnsi="Calibri" w:cs="Calibri"/>
                <w:b/>
                <w:sz w:val="36"/>
                <w:szCs w:val="36"/>
              </w:rPr>
            </w:pPr>
          </w:p>
          <w:p w14:paraId="564E5F5E" w14:textId="77777777" w:rsidR="004B66E8" w:rsidRDefault="002514E2">
            <w:pPr>
              <w:widowControl w:val="0"/>
              <w:jc w:val="right"/>
              <w:rPr>
                <w:rFonts w:ascii="Calibri" w:eastAsia="Calibri" w:hAnsi="Calibri" w:cs="Calibri"/>
                <w:b/>
                <w:sz w:val="36"/>
                <w:szCs w:val="36"/>
              </w:rPr>
            </w:pPr>
            <w:r>
              <w:rPr>
                <w:rFonts w:ascii="Calibri" w:eastAsia="Calibri" w:hAnsi="Calibri" w:cs="Calibri"/>
                <w:b/>
                <w:sz w:val="36"/>
                <w:szCs w:val="36"/>
              </w:rPr>
              <w:t>INFONOTA</w:t>
            </w:r>
          </w:p>
        </w:tc>
      </w:tr>
      <w:tr w:rsidR="004B66E8" w14:paraId="219A6517" w14:textId="77777777">
        <w:tc>
          <w:tcPr>
            <w:tcW w:w="2490" w:type="dxa"/>
            <w:vMerge/>
            <w:shd w:val="clear" w:color="auto" w:fill="auto"/>
            <w:tcMar>
              <w:top w:w="100" w:type="dxa"/>
              <w:left w:w="100" w:type="dxa"/>
              <w:bottom w:w="100" w:type="dxa"/>
              <w:right w:w="100" w:type="dxa"/>
            </w:tcMar>
          </w:tcPr>
          <w:p w14:paraId="7609CF98" w14:textId="77777777" w:rsidR="004B66E8" w:rsidRDefault="004B66E8">
            <w:pPr>
              <w:widowControl w:val="0"/>
              <w:rPr>
                <w:rFonts w:ascii="Calibri" w:eastAsia="Calibri" w:hAnsi="Calibri" w:cs="Calibri"/>
              </w:rPr>
            </w:pPr>
          </w:p>
        </w:tc>
        <w:tc>
          <w:tcPr>
            <w:tcW w:w="6390" w:type="dxa"/>
            <w:shd w:val="clear" w:color="auto" w:fill="auto"/>
            <w:tcMar>
              <w:top w:w="60" w:type="dxa"/>
              <w:left w:w="100" w:type="dxa"/>
              <w:bottom w:w="60" w:type="dxa"/>
              <w:right w:w="100" w:type="dxa"/>
            </w:tcMar>
          </w:tcPr>
          <w:p w14:paraId="716DEFEE" w14:textId="77777777" w:rsidR="004B66E8" w:rsidRDefault="002514E2">
            <w:pPr>
              <w:widowControl w:val="0"/>
              <w:jc w:val="right"/>
              <w:rPr>
                <w:rFonts w:ascii="Calibri" w:eastAsia="Calibri" w:hAnsi="Calibri" w:cs="Calibri"/>
                <w:b/>
                <w:sz w:val="26"/>
                <w:szCs w:val="26"/>
              </w:rPr>
            </w:pPr>
            <w:r>
              <w:rPr>
                <w:rFonts w:ascii="Calibri" w:eastAsia="Calibri" w:hAnsi="Calibri" w:cs="Calibri"/>
                <w:sz w:val="26"/>
                <w:szCs w:val="26"/>
              </w:rPr>
              <w:t>Aan: aanbieders van rechtstreeks toegankelijke hulp (RTH-diensten), diensten ondersteuningsplan (DOP), multifunctionele centra (MFC), observatie-/ diagnose- en behandelingsunits (ODB), forensische VAPH-units, vergunde zorgaanbieders (VZA)</w:t>
            </w:r>
          </w:p>
        </w:tc>
      </w:tr>
      <w:tr w:rsidR="004B66E8" w14:paraId="6FFC274D" w14:textId="77777777">
        <w:tc>
          <w:tcPr>
            <w:tcW w:w="2490" w:type="dxa"/>
            <w:vMerge/>
            <w:shd w:val="clear" w:color="auto" w:fill="auto"/>
            <w:tcMar>
              <w:top w:w="100" w:type="dxa"/>
              <w:left w:w="100" w:type="dxa"/>
              <w:bottom w:w="100" w:type="dxa"/>
              <w:right w:w="100" w:type="dxa"/>
            </w:tcMar>
          </w:tcPr>
          <w:p w14:paraId="3B24DEED" w14:textId="77777777" w:rsidR="004B66E8" w:rsidRDefault="004B66E8">
            <w:pPr>
              <w:widowControl w:val="0"/>
              <w:rPr>
                <w:rFonts w:ascii="Calibri" w:eastAsia="Calibri" w:hAnsi="Calibri" w:cs="Calibri"/>
              </w:rPr>
            </w:pPr>
          </w:p>
        </w:tc>
        <w:tc>
          <w:tcPr>
            <w:tcW w:w="6390" w:type="dxa"/>
            <w:shd w:val="clear" w:color="auto" w:fill="auto"/>
            <w:tcMar>
              <w:top w:w="60" w:type="dxa"/>
              <w:left w:w="100" w:type="dxa"/>
              <w:bottom w:w="60" w:type="dxa"/>
              <w:right w:w="100" w:type="dxa"/>
            </w:tcMar>
          </w:tcPr>
          <w:p w14:paraId="1088ED16" w14:textId="77777777" w:rsidR="004B66E8" w:rsidRDefault="002514E2">
            <w:pPr>
              <w:widowControl w:val="0"/>
              <w:jc w:val="right"/>
              <w:rPr>
                <w:rFonts w:ascii="Calibri" w:eastAsia="Calibri" w:hAnsi="Calibri" w:cs="Calibri"/>
                <w:color w:val="666666"/>
              </w:rPr>
            </w:pPr>
            <w:r>
              <w:rPr>
                <w:rFonts w:ascii="Calibri" w:eastAsia="Calibri" w:hAnsi="Calibri" w:cs="Calibri"/>
                <w:color w:val="666666"/>
              </w:rPr>
              <w:t>2 april 2024</w:t>
            </w:r>
          </w:p>
        </w:tc>
      </w:tr>
      <w:tr w:rsidR="004B66E8" w14:paraId="51257E17" w14:textId="77777777">
        <w:tc>
          <w:tcPr>
            <w:tcW w:w="2490" w:type="dxa"/>
            <w:vMerge/>
            <w:shd w:val="clear" w:color="auto" w:fill="auto"/>
            <w:tcMar>
              <w:top w:w="100" w:type="dxa"/>
              <w:left w:w="100" w:type="dxa"/>
              <w:bottom w:w="100" w:type="dxa"/>
              <w:right w:w="100" w:type="dxa"/>
            </w:tcMar>
          </w:tcPr>
          <w:p w14:paraId="377CABA9" w14:textId="77777777" w:rsidR="004B66E8" w:rsidRDefault="004B66E8">
            <w:pPr>
              <w:widowControl w:val="0"/>
              <w:rPr>
                <w:rFonts w:ascii="Calibri" w:eastAsia="Calibri" w:hAnsi="Calibri" w:cs="Calibri"/>
              </w:rPr>
            </w:pPr>
          </w:p>
        </w:tc>
        <w:tc>
          <w:tcPr>
            <w:tcW w:w="6390" w:type="dxa"/>
            <w:shd w:val="clear" w:color="auto" w:fill="auto"/>
            <w:tcMar>
              <w:top w:w="60" w:type="dxa"/>
              <w:left w:w="100" w:type="dxa"/>
              <w:bottom w:w="60" w:type="dxa"/>
              <w:right w:w="100" w:type="dxa"/>
            </w:tcMar>
          </w:tcPr>
          <w:p w14:paraId="44D24172" w14:textId="77777777" w:rsidR="004B66E8" w:rsidRDefault="002514E2">
            <w:pPr>
              <w:widowControl w:val="0"/>
              <w:jc w:val="right"/>
              <w:rPr>
                <w:rFonts w:ascii="Calibri" w:eastAsia="Calibri" w:hAnsi="Calibri" w:cs="Calibri"/>
                <w:color w:val="666666"/>
              </w:rPr>
            </w:pPr>
            <w:r>
              <w:rPr>
                <w:rFonts w:ascii="Calibri" w:eastAsia="Calibri" w:hAnsi="Calibri" w:cs="Calibri"/>
                <w:color w:val="666666"/>
              </w:rPr>
              <w:t>INF/24/11</w:t>
            </w:r>
          </w:p>
        </w:tc>
      </w:tr>
      <w:tr w:rsidR="004B66E8" w14:paraId="71CD2403" w14:textId="77777777">
        <w:tc>
          <w:tcPr>
            <w:tcW w:w="2490" w:type="dxa"/>
            <w:shd w:val="clear" w:color="auto" w:fill="auto"/>
            <w:tcMar>
              <w:top w:w="20" w:type="dxa"/>
              <w:left w:w="100" w:type="dxa"/>
              <w:bottom w:w="20" w:type="dxa"/>
              <w:right w:w="100" w:type="dxa"/>
            </w:tcMar>
          </w:tcPr>
          <w:p w14:paraId="266323BB" w14:textId="77777777" w:rsidR="004B66E8" w:rsidRDefault="002514E2">
            <w:pPr>
              <w:widowControl w:val="0"/>
              <w:jc w:val="right"/>
              <w:rPr>
                <w:rFonts w:ascii="Calibri" w:eastAsia="Calibri" w:hAnsi="Calibri" w:cs="Calibri"/>
                <w:b/>
                <w:sz w:val="20"/>
                <w:szCs w:val="20"/>
              </w:rPr>
            </w:pPr>
            <w:r>
              <w:rPr>
                <w:rFonts w:ascii="Calibri" w:eastAsia="Calibri" w:hAnsi="Calibri" w:cs="Calibri"/>
                <w:b/>
                <w:sz w:val="20"/>
                <w:szCs w:val="20"/>
              </w:rPr>
              <w:t>Contactpersoon</w:t>
            </w:r>
          </w:p>
        </w:tc>
        <w:tc>
          <w:tcPr>
            <w:tcW w:w="6390" w:type="dxa"/>
            <w:shd w:val="clear" w:color="auto" w:fill="auto"/>
            <w:tcMar>
              <w:top w:w="20" w:type="dxa"/>
              <w:left w:w="100" w:type="dxa"/>
              <w:bottom w:w="20" w:type="dxa"/>
              <w:right w:w="100" w:type="dxa"/>
            </w:tcMar>
            <w:vAlign w:val="bottom"/>
          </w:tcPr>
          <w:p w14:paraId="445E7B93" w14:textId="77777777" w:rsidR="004B66E8" w:rsidRDefault="002514E2">
            <w:pPr>
              <w:widowControl w:val="0"/>
              <w:rPr>
                <w:rFonts w:ascii="Calibri" w:eastAsia="Calibri" w:hAnsi="Calibri" w:cs="Calibri"/>
              </w:rPr>
            </w:pPr>
            <w:r>
              <w:rPr>
                <w:rFonts w:ascii="Calibri" w:eastAsia="Calibri" w:hAnsi="Calibri" w:cs="Calibri"/>
              </w:rPr>
              <w:t>Helpdesk personeelsregistratie</w:t>
            </w:r>
          </w:p>
          <w:p w14:paraId="77B78A8B" w14:textId="77777777" w:rsidR="004B66E8" w:rsidRDefault="002514E2">
            <w:pPr>
              <w:widowControl w:val="0"/>
              <w:rPr>
                <w:rFonts w:ascii="Calibri" w:eastAsia="Calibri" w:hAnsi="Calibri" w:cs="Calibri"/>
              </w:rPr>
            </w:pPr>
            <w:r>
              <w:rPr>
                <w:rFonts w:ascii="Calibri" w:eastAsia="Calibri" w:hAnsi="Calibri" w:cs="Calibri"/>
              </w:rPr>
              <w:t>Helpdesk afrekeningen</w:t>
            </w:r>
          </w:p>
          <w:p w14:paraId="574AF606" w14:textId="77777777" w:rsidR="004B66E8" w:rsidRDefault="004B66E8">
            <w:pPr>
              <w:widowControl w:val="0"/>
              <w:rPr>
                <w:rFonts w:ascii="Calibri" w:eastAsia="Calibri" w:hAnsi="Calibri" w:cs="Calibri"/>
              </w:rPr>
            </w:pPr>
          </w:p>
        </w:tc>
      </w:tr>
      <w:tr w:rsidR="004B66E8" w14:paraId="0995C1D5" w14:textId="77777777">
        <w:tc>
          <w:tcPr>
            <w:tcW w:w="2490" w:type="dxa"/>
            <w:shd w:val="clear" w:color="auto" w:fill="auto"/>
            <w:tcMar>
              <w:top w:w="20" w:type="dxa"/>
              <w:left w:w="100" w:type="dxa"/>
              <w:bottom w:w="20" w:type="dxa"/>
              <w:right w:w="100" w:type="dxa"/>
            </w:tcMar>
          </w:tcPr>
          <w:p w14:paraId="65EB6D24" w14:textId="77777777" w:rsidR="004B66E8" w:rsidRDefault="002514E2">
            <w:pPr>
              <w:widowControl w:val="0"/>
              <w:jc w:val="right"/>
              <w:rPr>
                <w:rFonts w:ascii="Calibri" w:eastAsia="Calibri" w:hAnsi="Calibri" w:cs="Calibri"/>
                <w:b/>
                <w:sz w:val="20"/>
                <w:szCs w:val="20"/>
              </w:rPr>
            </w:pPr>
            <w:r>
              <w:rPr>
                <w:rFonts w:ascii="Calibri" w:eastAsia="Calibri" w:hAnsi="Calibri" w:cs="Calibri"/>
                <w:b/>
                <w:sz w:val="20"/>
                <w:szCs w:val="20"/>
              </w:rPr>
              <w:t>E-mail</w:t>
            </w:r>
          </w:p>
        </w:tc>
        <w:tc>
          <w:tcPr>
            <w:tcW w:w="6390" w:type="dxa"/>
            <w:shd w:val="clear" w:color="auto" w:fill="auto"/>
            <w:tcMar>
              <w:top w:w="20" w:type="dxa"/>
              <w:left w:w="100" w:type="dxa"/>
              <w:bottom w:w="20" w:type="dxa"/>
              <w:right w:w="100" w:type="dxa"/>
            </w:tcMar>
            <w:vAlign w:val="bottom"/>
          </w:tcPr>
          <w:p w14:paraId="13C6E735" w14:textId="77777777" w:rsidR="004B66E8" w:rsidRDefault="002514E2">
            <w:pPr>
              <w:widowControl w:val="0"/>
              <w:rPr>
                <w:rFonts w:ascii="Calibri" w:eastAsia="Calibri" w:hAnsi="Calibri" w:cs="Calibri"/>
              </w:rPr>
            </w:pPr>
            <w:hyperlink r:id="rId6">
              <w:r>
                <w:rPr>
                  <w:rFonts w:ascii="Calibri" w:eastAsia="Calibri" w:hAnsi="Calibri" w:cs="Calibri"/>
                  <w:color w:val="1155CC"/>
                  <w:u w:val="single"/>
                </w:rPr>
                <w:t>personeelsregistratie@vaph.be</w:t>
              </w:r>
            </w:hyperlink>
          </w:p>
          <w:p w14:paraId="50A089A9" w14:textId="77777777" w:rsidR="004B66E8" w:rsidRDefault="002514E2">
            <w:pPr>
              <w:widowControl w:val="0"/>
              <w:rPr>
                <w:rFonts w:ascii="Calibri" w:eastAsia="Calibri" w:hAnsi="Calibri" w:cs="Calibri"/>
              </w:rPr>
            </w:pPr>
            <w:hyperlink r:id="rId7">
              <w:r>
                <w:rPr>
                  <w:rFonts w:ascii="Calibri" w:eastAsia="Calibri" w:hAnsi="Calibri" w:cs="Calibri"/>
                  <w:color w:val="1155CC"/>
                  <w:u w:val="single"/>
                </w:rPr>
                <w:t>ancienniteiten@vaph.be</w:t>
              </w:r>
            </w:hyperlink>
          </w:p>
          <w:p w14:paraId="39CDF515" w14:textId="77777777" w:rsidR="004B66E8" w:rsidRDefault="002514E2">
            <w:pPr>
              <w:widowControl w:val="0"/>
              <w:rPr>
                <w:rFonts w:ascii="Calibri" w:eastAsia="Calibri" w:hAnsi="Calibri" w:cs="Calibri"/>
              </w:rPr>
            </w:pPr>
            <w:hyperlink r:id="rId8">
              <w:r>
                <w:rPr>
                  <w:rFonts w:ascii="Calibri" w:eastAsia="Calibri" w:hAnsi="Calibri" w:cs="Calibri"/>
                  <w:color w:val="1155CC"/>
                  <w:u w:val="single"/>
                </w:rPr>
                <w:t>afrekeningen@vaph.be</w:t>
              </w:r>
            </w:hyperlink>
          </w:p>
          <w:p w14:paraId="2D3FF48E" w14:textId="77777777" w:rsidR="004B66E8" w:rsidRDefault="004B66E8">
            <w:pPr>
              <w:widowControl w:val="0"/>
              <w:rPr>
                <w:rFonts w:ascii="Calibri" w:eastAsia="Calibri" w:hAnsi="Calibri" w:cs="Calibri"/>
                <w:sz w:val="20"/>
                <w:szCs w:val="20"/>
              </w:rPr>
            </w:pPr>
          </w:p>
        </w:tc>
      </w:tr>
      <w:tr w:rsidR="004B66E8" w14:paraId="03E93B69" w14:textId="77777777">
        <w:tc>
          <w:tcPr>
            <w:tcW w:w="2490" w:type="dxa"/>
            <w:shd w:val="clear" w:color="auto" w:fill="auto"/>
            <w:tcMar>
              <w:top w:w="20" w:type="dxa"/>
              <w:left w:w="100" w:type="dxa"/>
              <w:bottom w:w="20" w:type="dxa"/>
              <w:right w:w="100" w:type="dxa"/>
            </w:tcMar>
          </w:tcPr>
          <w:p w14:paraId="5139BE7A" w14:textId="77777777" w:rsidR="004B66E8" w:rsidRDefault="002514E2">
            <w:pPr>
              <w:widowControl w:val="0"/>
              <w:jc w:val="right"/>
              <w:rPr>
                <w:rFonts w:ascii="Calibri" w:eastAsia="Calibri" w:hAnsi="Calibri" w:cs="Calibri"/>
                <w:b/>
                <w:sz w:val="20"/>
                <w:szCs w:val="20"/>
              </w:rPr>
            </w:pPr>
            <w:r>
              <w:rPr>
                <w:rFonts w:ascii="Calibri" w:eastAsia="Calibri" w:hAnsi="Calibri" w:cs="Calibri"/>
                <w:b/>
                <w:sz w:val="20"/>
                <w:szCs w:val="20"/>
              </w:rPr>
              <w:t>Telefoon</w:t>
            </w:r>
          </w:p>
        </w:tc>
        <w:tc>
          <w:tcPr>
            <w:tcW w:w="6390" w:type="dxa"/>
            <w:shd w:val="clear" w:color="auto" w:fill="auto"/>
            <w:tcMar>
              <w:top w:w="20" w:type="dxa"/>
              <w:left w:w="100" w:type="dxa"/>
              <w:bottom w:w="20" w:type="dxa"/>
              <w:right w:w="100" w:type="dxa"/>
            </w:tcMar>
            <w:vAlign w:val="bottom"/>
          </w:tcPr>
          <w:p w14:paraId="2F4D2DB5" w14:textId="77777777" w:rsidR="004B66E8" w:rsidRDefault="002514E2">
            <w:pPr>
              <w:widowControl w:val="0"/>
              <w:rPr>
                <w:rFonts w:ascii="Calibri" w:eastAsia="Calibri" w:hAnsi="Calibri" w:cs="Calibri"/>
                <w:sz w:val="20"/>
                <w:szCs w:val="20"/>
              </w:rPr>
            </w:pPr>
            <w:r>
              <w:rPr>
                <w:rFonts w:ascii="Calibri" w:eastAsia="Calibri" w:hAnsi="Calibri" w:cs="Calibri"/>
                <w:sz w:val="20"/>
                <w:szCs w:val="20"/>
              </w:rPr>
              <w:t>Helpdesk personeelsregistratie: 02 249 33 44</w:t>
            </w:r>
          </w:p>
          <w:p w14:paraId="3EDF34FF" w14:textId="77777777" w:rsidR="004B66E8" w:rsidRDefault="002514E2">
            <w:pPr>
              <w:widowControl w:val="0"/>
              <w:rPr>
                <w:rFonts w:ascii="Calibri" w:eastAsia="Calibri" w:hAnsi="Calibri" w:cs="Calibri"/>
                <w:sz w:val="20"/>
                <w:szCs w:val="20"/>
              </w:rPr>
            </w:pPr>
            <w:r>
              <w:rPr>
                <w:rFonts w:ascii="Calibri" w:eastAsia="Calibri" w:hAnsi="Calibri" w:cs="Calibri"/>
                <w:sz w:val="20"/>
                <w:szCs w:val="20"/>
              </w:rPr>
              <w:t>Helpdesk afrekeningen: 02 249 33 55</w:t>
            </w:r>
          </w:p>
          <w:p w14:paraId="1400F5FA" w14:textId="77777777" w:rsidR="004B66E8" w:rsidRDefault="004B66E8">
            <w:pPr>
              <w:widowControl w:val="0"/>
              <w:rPr>
                <w:rFonts w:ascii="Calibri" w:eastAsia="Calibri" w:hAnsi="Calibri" w:cs="Calibri"/>
                <w:sz w:val="20"/>
                <w:szCs w:val="20"/>
              </w:rPr>
            </w:pPr>
          </w:p>
        </w:tc>
      </w:tr>
      <w:tr w:rsidR="004B66E8" w14:paraId="62B11C27" w14:textId="77777777">
        <w:tc>
          <w:tcPr>
            <w:tcW w:w="2490" w:type="dxa"/>
            <w:shd w:val="clear" w:color="auto" w:fill="auto"/>
            <w:tcMar>
              <w:top w:w="20" w:type="dxa"/>
              <w:left w:w="100" w:type="dxa"/>
              <w:bottom w:w="20" w:type="dxa"/>
              <w:right w:w="100" w:type="dxa"/>
            </w:tcMar>
          </w:tcPr>
          <w:p w14:paraId="2598D87A" w14:textId="77777777" w:rsidR="004B66E8" w:rsidRDefault="002514E2">
            <w:pPr>
              <w:widowControl w:val="0"/>
              <w:jc w:val="right"/>
              <w:rPr>
                <w:rFonts w:ascii="Calibri" w:eastAsia="Calibri" w:hAnsi="Calibri" w:cs="Calibri"/>
                <w:b/>
                <w:sz w:val="20"/>
                <w:szCs w:val="20"/>
              </w:rPr>
            </w:pPr>
            <w:r>
              <w:rPr>
                <w:rFonts w:ascii="Calibri" w:eastAsia="Calibri" w:hAnsi="Calibri" w:cs="Calibri"/>
                <w:b/>
                <w:sz w:val="20"/>
                <w:szCs w:val="20"/>
              </w:rPr>
              <w:t>Bijlagen</w:t>
            </w:r>
          </w:p>
        </w:tc>
        <w:tc>
          <w:tcPr>
            <w:tcW w:w="6390" w:type="dxa"/>
            <w:shd w:val="clear" w:color="auto" w:fill="auto"/>
            <w:tcMar>
              <w:top w:w="20" w:type="dxa"/>
              <w:left w:w="100" w:type="dxa"/>
              <w:bottom w:w="20" w:type="dxa"/>
              <w:right w:w="100" w:type="dxa"/>
            </w:tcMar>
            <w:vAlign w:val="bottom"/>
          </w:tcPr>
          <w:p w14:paraId="73B59609" w14:textId="77777777" w:rsidR="004B66E8" w:rsidRDefault="002514E2">
            <w:pPr>
              <w:widowControl w:val="0"/>
              <w:rPr>
                <w:rFonts w:ascii="Calibri" w:eastAsia="Calibri" w:hAnsi="Calibri" w:cs="Calibri"/>
                <w:sz w:val="20"/>
                <w:szCs w:val="20"/>
              </w:rPr>
            </w:pPr>
            <w:r>
              <w:rPr>
                <w:rFonts w:ascii="Calibri" w:eastAsia="Calibri" w:hAnsi="Calibri" w:cs="Calibri"/>
                <w:sz w:val="20"/>
                <w:szCs w:val="20"/>
              </w:rPr>
              <w:t>Besluit</w:t>
            </w:r>
          </w:p>
          <w:p w14:paraId="1849CFAF" w14:textId="77777777" w:rsidR="004B66E8" w:rsidRDefault="002514E2">
            <w:pPr>
              <w:widowControl w:val="0"/>
              <w:rPr>
                <w:rFonts w:ascii="Calibri" w:eastAsia="Calibri" w:hAnsi="Calibri" w:cs="Calibri"/>
                <w:sz w:val="20"/>
                <w:szCs w:val="20"/>
              </w:rPr>
            </w:pPr>
            <w:r>
              <w:rPr>
                <w:rFonts w:ascii="Calibri" w:eastAsia="Calibri" w:hAnsi="Calibri" w:cs="Calibri"/>
                <w:sz w:val="20"/>
                <w:szCs w:val="20"/>
              </w:rPr>
              <w:t>Besliss</w:t>
            </w:r>
            <w:r>
              <w:rPr>
                <w:rFonts w:ascii="Calibri" w:eastAsia="Calibri" w:hAnsi="Calibri" w:cs="Calibri"/>
                <w:sz w:val="20"/>
                <w:szCs w:val="20"/>
              </w:rPr>
              <w:t>ingstabel anciënniteiten</w:t>
            </w:r>
          </w:p>
        </w:tc>
      </w:tr>
      <w:tr w:rsidR="004B66E8" w14:paraId="5BF5CDC4" w14:textId="77777777">
        <w:tc>
          <w:tcPr>
            <w:tcW w:w="8880" w:type="dxa"/>
            <w:gridSpan w:val="2"/>
            <w:shd w:val="clear" w:color="auto" w:fill="auto"/>
            <w:tcMar>
              <w:top w:w="60" w:type="dxa"/>
              <w:left w:w="100" w:type="dxa"/>
              <w:bottom w:w="60" w:type="dxa"/>
              <w:right w:w="100" w:type="dxa"/>
            </w:tcMar>
          </w:tcPr>
          <w:p w14:paraId="3F91EB1F" w14:textId="77777777" w:rsidR="004B66E8" w:rsidRDefault="004B66E8">
            <w:pPr>
              <w:widowControl w:val="0"/>
              <w:rPr>
                <w:rFonts w:ascii="Calibri" w:eastAsia="Calibri" w:hAnsi="Calibri" w:cs="Calibri"/>
                <w:sz w:val="34"/>
                <w:szCs w:val="34"/>
              </w:rPr>
            </w:pPr>
          </w:p>
        </w:tc>
      </w:tr>
      <w:tr w:rsidR="004B66E8" w14:paraId="5E48F51F" w14:textId="77777777">
        <w:tc>
          <w:tcPr>
            <w:tcW w:w="8880" w:type="dxa"/>
            <w:gridSpan w:val="2"/>
            <w:shd w:val="clear" w:color="auto" w:fill="auto"/>
            <w:tcMar>
              <w:top w:w="60" w:type="dxa"/>
              <w:left w:w="100" w:type="dxa"/>
              <w:bottom w:w="60" w:type="dxa"/>
              <w:right w:w="100" w:type="dxa"/>
            </w:tcMar>
          </w:tcPr>
          <w:p w14:paraId="7FE3B94E" w14:textId="77777777" w:rsidR="004B66E8" w:rsidRDefault="002514E2">
            <w:pPr>
              <w:widowControl w:val="0"/>
              <w:rPr>
                <w:rFonts w:ascii="Calibri" w:eastAsia="Calibri" w:hAnsi="Calibri" w:cs="Calibri"/>
                <w:sz w:val="34"/>
                <w:szCs w:val="34"/>
              </w:rPr>
            </w:pPr>
            <w:r>
              <w:rPr>
                <w:rFonts w:ascii="Calibri" w:eastAsia="Calibri" w:hAnsi="Calibri" w:cs="Calibri"/>
                <w:sz w:val="34"/>
                <w:szCs w:val="34"/>
              </w:rPr>
              <w:t>Besluit over subsidiëring personeelskosten definitief goedgekeurd</w:t>
            </w:r>
          </w:p>
        </w:tc>
      </w:tr>
      <w:tr w:rsidR="004B66E8" w14:paraId="3BB6915B" w14:textId="77777777">
        <w:tc>
          <w:tcPr>
            <w:tcW w:w="8880" w:type="dxa"/>
            <w:gridSpan w:val="2"/>
            <w:shd w:val="clear" w:color="auto" w:fill="auto"/>
            <w:tcMar>
              <w:top w:w="60" w:type="dxa"/>
              <w:left w:w="100" w:type="dxa"/>
              <w:bottom w:w="60" w:type="dxa"/>
              <w:right w:w="100" w:type="dxa"/>
            </w:tcMar>
          </w:tcPr>
          <w:p w14:paraId="2FF095FB" w14:textId="77777777" w:rsidR="004B66E8" w:rsidRDefault="002514E2">
            <w:pPr>
              <w:widowControl w:val="0"/>
              <w:jc w:val="right"/>
              <w:rPr>
                <w:rFonts w:ascii="Calibri" w:eastAsia="Calibri" w:hAnsi="Calibri" w:cs="Calibri"/>
                <w:sz w:val="20"/>
                <w:szCs w:val="20"/>
              </w:rPr>
            </w:pPr>
            <w:r>
              <w:rPr>
                <w:rFonts w:ascii="Calibri" w:eastAsia="Calibri" w:hAnsi="Calibri" w:cs="Calibri"/>
                <w:sz w:val="20"/>
                <w:szCs w:val="20"/>
              </w:rPr>
              <w:t xml:space="preserve"> </w:t>
            </w:r>
          </w:p>
        </w:tc>
      </w:tr>
    </w:tbl>
    <w:p w14:paraId="65F31B5C" w14:textId="77777777" w:rsidR="004B66E8" w:rsidRDefault="002514E2">
      <w:pPr>
        <w:widowControl w:val="0"/>
        <w:spacing w:line="360" w:lineRule="auto"/>
        <w:rPr>
          <w:rFonts w:ascii="Calibri" w:eastAsia="Calibri" w:hAnsi="Calibri" w:cs="Calibri"/>
        </w:rPr>
      </w:pPr>
      <w:r>
        <w:rPr>
          <w:rFonts w:ascii="Calibri" w:eastAsia="Calibri" w:hAnsi="Calibri" w:cs="Calibri"/>
        </w:rPr>
        <w:t>De Vlaamse regering keurde op 22 maart het besluit over de subsidiëring van personeelskosten definitief goed. In dat besluit werden verschillende maatregelen opgenomen die diverse besluiten wijzigen. Met deze  infonota lichten we de maatregelen toe.</w:t>
      </w:r>
    </w:p>
    <w:p w14:paraId="3A6D8751" w14:textId="77777777" w:rsidR="004B66E8" w:rsidRDefault="004B66E8">
      <w:pPr>
        <w:widowControl w:val="0"/>
        <w:spacing w:line="360" w:lineRule="auto"/>
        <w:rPr>
          <w:rFonts w:ascii="Calibri" w:eastAsia="Calibri" w:hAnsi="Calibri" w:cs="Calibri"/>
        </w:rPr>
      </w:pPr>
    </w:p>
    <w:p w14:paraId="16ED01AD" w14:textId="77777777" w:rsidR="004B66E8" w:rsidRDefault="002514E2">
      <w:pPr>
        <w:pStyle w:val="Kop2"/>
        <w:widowControl w:val="0"/>
        <w:spacing w:before="0" w:after="0" w:line="360" w:lineRule="auto"/>
      </w:pPr>
      <w:bookmarkStart w:id="0" w:name="_wpm1a3d1s81a" w:colFirst="0" w:colLast="0"/>
      <w:bookmarkEnd w:id="0"/>
      <w:r>
        <w:rPr>
          <w:rFonts w:ascii="Calibri" w:eastAsia="Calibri" w:hAnsi="Calibri" w:cs="Calibri"/>
          <w:b/>
        </w:rPr>
        <w:t>Losla</w:t>
      </w:r>
      <w:r>
        <w:rPr>
          <w:rFonts w:ascii="Calibri" w:eastAsia="Calibri" w:hAnsi="Calibri" w:cs="Calibri"/>
          <w:b/>
        </w:rPr>
        <w:t>ten diplomavereisten en functievoorwaarden vanaf 1 januari 2024</w:t>
      </w:r>
    </w:p>
    <w:p w14:paraId="1D65F5C2" w14:textId="77777777" w:rsidR="004B66E8" w:rsidRDefault="002514E2">
      <w:pPr>
        <w:widowControl w:val="0"/>
        <w:spacing w:line="360" w:lineRule="auto"/>
        <w:rPr>
          <w:rFonts w:ascii="Calibri" w:eastAsia="Calibri" w:hAnsi="Calibri" w:cs="Calibri"/>
        </w:rPr>
      </w:pPr>
      <w:r>
        <w:rPr>
          <w:rFonts w:ascii="Calibri" w:eastAsia="Calibri" w:hAnsi="Calibri" w:cs="Calibri"/>
        </w:rPr>
        <w:t xml:space="preserve">Het VAPH hanteerde tot nu strikte diploma-functie voorwaarden. Het toegenomen kluwen van </w:t>
      </w:r>
      <w:r>
        <w:rPr>
          <w:rFonts w:ascii="Calibri" w:eastAsia="Calibri" w:hAnsi="Calibri" w:cs="Calibri"/>
        </w:rPr>
        <w:lastRenderedPageBreak/>
        <w:t>diploma’s en certificaten enerzijds en de toegenomen personeelskrapte anderzijds,  maken dat we deze st</w:t>
      </w:r>
      <w:r>
        <w:rPr>
          <w:rFonts w:ascii="Calibri" w:eastAsia="Calibri" w:hAnsi="Calibri" w:cs="Calibri"/>
        </w:rPr>
        <w:t xml:space="preserve">rikte regels niet langer willen toepassen. Naar analogie met het Agentschap Opgroeien worden dan ook voor de VAPH sector deze regels opgeheven. Voorzieningen kunnen zo zelf bepalen wie ze aanwerven voor een bepaalde functie. </w:t>
      </w:r>
    </w:p>
    <w:p w14:paraId="6B91D7E2" w14:textId="77777777" w:rsidR="004B66E8" w:rsidRDefault="004B66E8">
      <w:pPr>
        <w:widowControl w:val="0"/>
        <w:spacing w:line="360" w:lineRule="auto"/>
        <w:rPr>
          <w:rFonts w:ascii="Calibri" w:eastAsia="Calibri" w:hAnsi="Calibri" w:cs="Calibri"/>
        </w:rPr>
      </w:pPr>
    </w:p>
    <w:p w14:paraId="5513F315" w14:textId="77777777" w:rsidR="004B66E8" w:rsidRDefault="002514E2">
      <w:pPr>
        <w:pStyle w:val="Kop2"/>
        <w:widowControl w:val="0"/>
        <w:spacing w:before="0" w:after="0" w:line="360" w:lineRule="auto"/>
        <w:rPr>
          <w:rFonts w:ascii="Calibri" w:eastAsia="Calibri" w:hAnsi="Calibri" w:cs="Calibri"/>
        </w:rPr>
      </w:pPr>
      <w:bookmarkStart w:id="1" w:name="_6cm30rmcv6f7" w:colFirst="0" w:colLast="0"/>
      <w:bookmarkEnd w:id="1"/>
      <w:r>
        <w:rPr>
          <w:rFonts w:ascii="Calibri" w:eastAsia="Calibri" w:hAnsi="Calibri" w:cs="Calibri"/>
          <w:b/>
        </w:rPr>
        <w:t>Berekening anciënniteit vanaf</w:t>
      </w:r>
      <w:r>
        <w:rPr>
          <w:rFonts w:ascii="Calibri" w:eastAsia="Calibri" w:hAnsi="Calibri" w:cs="Calibri"/>
          <w:b/>
        </w:rPr>
        <w:t xml:space="preserve"> 1 januari 2024</w:t>
      </w:r>
    </w:p>
    <w:p w14:paraId="796161BD" w14:textId="77777777" w:rsidR="004B66E8" w:rsidRDefault="002514E2">
      <w:pPr>
        <w:widowControl w:val="0"/>
        <w:spacing w:line="360" w:lineRule="auto"/>
        <w:rPr>
          <w:rFonts w:ascii="Calibri" w:eastAsia="Calibri" w:hAnsi="Calibri" w:cs="Calibri"/>
        </w:rPr>
      </w:pPr>
      <w:r>
        <w:rPr>
          <w:rFonts w:ascii="Calibri" w:eastAsia="Calibri" w:hAnsi="Calibri" w:cs="Calibri"/>
        </w:rPr>
        <w:t>Bij de bepaling van de start anciënniteit van personeelsleden wordt er  rekening gehouden met de functie die het personeelslid aanneemt en de plaats en aard van de voorgaande tewerkstelling. Dit besluit versoepelt de bestaande beperkende ma</w:t>
      </w:r>
      <w:r>
        <w:rPr>
          <w:rFonts w:ascii="Calibri" w:eastAsia="Calibri" w:hAnsi="Calibri" w:cs="Calibri"/>
        </w:rPr>
        <w:t xml:space="preserve">atregelen voor de </w:t>
      </w:r>
      <w:r>
        <w:rPr>
          <w:rFonts w:ascii="Calibri" w:eastAsia="Calibri" w:hAnsi="Calibri" w:cs="Calibri"/>
          <w:u w:val="single"/>
        </w:rPr>
        <w:t>opvoedende functies</w:t>
      </w:r>
      <w:r>
        <w:rPr>
          <w:rFonts w:ascii="Calibri" w:eastAsia="Calibri" w:hAnsi="Calibri" w:cs="Calibri"/>
        </w:rPr>
        <w:t>:</w:t>
      </w:r>
    </w:p>
    <w:p w14:paraId="27EF8C31" w14:textId="77777777" w:rsidR="004B66E8" w:rsidRDefault="004B66E8">
      <w:pPr>
        <w:widowControl w:val="0"/>
        <w:spacing w:line="360" w:lineRule="auto"/>
        <w:rPr>
          <w:rFonts w:ascii="Calibri" w:eastAsia="Calibri" w:hAnsi="Calibri" w:cs="Calibri"/>
        </w:rPr>
      </w:pPr>
    </w:p>
    <w:p w14:paraId="2BE20972" w14:textId="77777777" w:rsidR="004B66E8" w:rsidRDefault="002514E2">
      <w:pPr>
        <w:widowControl w:val="0"/>
        <w:numPr>
          <w:ilvl w:val="0"/>
          <w:numId w:val="1"/>
        </w:numPr>
        <w:spacing w:line="360" w:lineRule="auto"/>
        <w:rPr>
          <w:rFonts w:ascii="Calibri" w:eastAsia="Calibri" w:hAnsi="Calibri" w:cs="Calibri"/>
        </w:rPr>
      </w:pPr>
      <w:r>
        <w:rPr>
          <w:rFonts w:ascii="Calibri" w:eastAsia="Calibri" w:hAnsi="Calibri" w:cs="Calibri"/>
        </w:rPr>
        <w:t xml:space="preserve">Bedienden en arbeiders die voorafgaand tewerkgesteld waren bij </w:t>
      </w:r>
      <w:r>
        <w:rPr>
          <w:rFonts w:ascii="Calibri" w:eastAsia="Calibri" w:hAnsi="Calibri" w:cs="Calibri"/>
          <w:u w:val="single"/>
        </w:rPr>
        <w:t>openbare besturen en/of privé sector</w:t>
      </w:r>
      <w:r>
        <w:rPr>
          <w:rFonts w:ascii="Calibri" w:eastAsia="Calibri" w:hAnsi="Calibri" w:cs="Calibri"/>
        </w:rPr>
        <w:t xml:space="preserve">, kunnen vanaf nu deze gewerkte jaren mee laten tellen met een </w:t>
      </w:r>
      <w:r>
        <w:rPr>
          <w:rFonts w:ascii="Calibri" w:eastAsia="Calibri" w:hAnsi="Calibri" w:cs="Calibri"/>
          <w:u w:val="single"/>
        </w:rPr>
        <w:t>maximum van 15 jaar</w:t>
      </w:r>
      <w:r>
        <w:rPr>
          <w:rFonts w:ascii="Calibri" w:eastAsia="Calibri" w:hAnsi="Calibri" w:cs="Calibri"/>
        </w:rPr>
        <w:t>.</w:t>
      </w:r>
    </w:p>
    <w:p w14:paraId="1991257F" w14:textId="77777777" w:rsidR="004B66E8" w:rsidRDefault="002514E2">
      <w:pPr>
        <w:widowControl w:val="0"/>
        <w:numPr>
          <w:ilvl w:val="0"/>
          <w:numId w:val="1"/>
        </w:numPr>
        <w:spacing w:line="360" w:lineRule="auto"/>
        <w:rPr>
          <w:rFonts w:ascii="Calibri" w:eastAsia="Calibri" w:hAnsi="Calibri" w:cs="Calibri"/>
        </w:rPr>
      </w:pPr>
      <w:r>
        <w:rPr>
          <w:rFonts w:ascii="Calibri" w:eastAsia="Calibri" w:hAnsi="Calibri" w:cs="Calibri"/>
        </w:rPr>
        <w:t>Arbeiders die voorafgaand tewerkg</w:t>
      </w:r>
      <w:r>
        <w:rPr>
          <w:rFonts w:ascii="Calibri" w:eastAsia="Calibri" w:hAnsi="Calibri" w:cs="Calibri"/>
        </w:rPr>
        <w:t xml:space="preserve">esteld waren in de non-profit sector,  kunnen vanaf nu deze gewerkte jaren mee laten tellen met een </w:t>
      </w:r>
      <w:r>
        <w:rPr>
          <w:rFonts w:ascii="Calibri" w:eastAsia="Calibri" w:hAnsi="Calibri" w:cs="Calibri"/>
          <w:u w:val="single"/>
        </w:rPr>
        <w:t>maximum van 15 jaar</w:t>
      </w:r>
      <w:r>
        <w:rPr>
          <w:rFonts w:ascii="Calibri" w:eastAsia="Calibri" w:hAnsi="Calibri" w:cs="Calibri"/>
        </w:rPr>
        <w:t>.</w:t>
      </w:r>
    </w:p>
    <w:p w14:paraId="70582CC2" w14:textId="77777777" w:rsidR="004B66E8" w:rsidRDefault="004B66E8">
      <w:pPr>
        <w:widowControl w:val="0"/>
        <w:spacing w:line="360" w:lineRule="auto"/>
        <w:ind w:left="720"/>
        <w:rPr>
          <w:rFonts w:ascii="Calibri" w:eastAsia="Calibri" w:hAnsi="Calibri" w:cs="Calibri"/>
        </w:rPr>
      </w:pPr>
    </w:p>
    <w:p w14:paraId="5AAF50EC" w14:textId="6359BC4F" w:rsidR="004B66E8" w:rsidRDefault="002514E2">
      <w:pPr>
        <w:widowControl w:val="0"/>
        <w:spacing w:line="360" w:lineRule="auto"/>
        <w:rPr>
          <w:rFonts w:ascii="Calibri" w:eastAsia="Calibri" w:hAnsi="Calibri" w:cs="Calibri"/>
        </w:rPr>
      </w:pPr>
      <w:r>
        <w:rPr>
          <w:rFonts w:ascii="Calibri" w:eastAsia="Calibri" w:hAnsi="Calibri" w:cs="Calibri"/>
        </w:rPr>
        <w:t xml:space="preserve">Voor personeelsleden die omwille van de oude regeling ooit met een lagere anciënniteit zijn gestart , mag de anciënniteit aangepast worden </w:t>
      </w:r>
      <w:r>
        <w:rPr>
          <w:rFonts w:ascii="Calibri" w:eastAsia="Calibri" w:hAnsi="Calibri" w:cs="Calibri"/>
          <w:u w:val="single"/>
        </w:rPr>
        <w:t xml:space="preserve">vanaf 1 januari 2024 </w:t>
      </w:r>
      <w:r>
        <w:rPr>
          <w:rFonts w:ascii="Calibri" w:eastAsia="Calibri" w:hAnsi="Calibri" w:cs="Calibri"/>
        </w:rPr>
        <w:t>, rekening houdend met deze nieuwe regels.</w:t>
      </w:r>
      <w:r>
        <w:rPr>
          <w:rFonts w:ascii="Calibri" w:eastAsia="Calibri" w:hAnsi="Calibri" w:cs="Calibri"/>
        </w:rPr>
        <w:br/>
      </w:r>
    </w:p>
    <w:p w14:paraId="12C06314" w14:textId="77777777" w:rsidR="004B66E8" w:rsidRDefault="002514E2">
      <w:pPr>
        <w:widowControl w:val="0"/>
        <w:spacing w:line="360" w:lineRule="auto"/>
        <w:rPr>
          <w:rFonts w:ascii="Calibri" w:eastAsia="Calibri" w:hAnsi="Calibri" w:cs="Calibri"/>
        </w:rPr>
      </w:pPr>
      <w:r>
        <w:rPr>
          <w:rFonts w:ascii="Calibri" w:eastAsia="Calibri" w:hAnsi="Calibri" w:cs="Calibri"/>
        </w:rPr>
        <w:t>Op vraag van het VAPH, moet de berekening van de anc</w:t>
      </w:r>
      <w:r>
        <w:rPr>
          <w:rFonts w:ascii="Calibri" w:eastAsia="Calibri" w:hAnsi="Calibri" w:cs="Calibri"/>
        </w:rPr>
        <w:t>iënniteit steeds gestaafd kunnen worden met tewerkstellingsattesten.</w:t>
      </w:r>
    </w:p>
    <w:p w14:paraId="79A5AB9D" w14:textId="77777777" w:rsidR="004B66E8" w:rsidRDefault="002514E2">
      <w:pPr>
        <w:widowControl w:val="0"/>
        <w:spacing w:line="360" w:lineRule="auto"/>
        <w:rPr>
          <w:rFonts w:ascii="Calibri" w:eastAsia="Calibri" w:hAnsi="Calibri" w:cs="Calibri"/>
        </w:rPr>
      </w:pPr>
      <w:r>
        <w:rPr>
          <w:rFonts w:ascii="Calibri" w:eastAsia="Calibri" w:hAnsi="Calibri" w:cs="Calibri"/>
        </w:rPr>
        <w:t>In bijlage van deze infonota kan u de aangepaste beslissingstabel terugvinden.</w:t>
      </w:r>
    </w:p>
    <w:p w14:paraId="63B58C76" w14:textId="77777777" w:rsidR="004B66E8" w:rsidRDefault="004B66E8">
      <w:pPr>
        <w:widowControl w:val="0"/>
        <w:spacing w:line="360" w:lineRule="auto"/>
        <w:rPr>
          <w:rFonts w:ascii="Calibri" w:eastAsia="Calibri" w:hAnsi="Calibri" w:cs="Calibri"/>
        </w:rPr>
      </w:pPr>
    </w:p>
    <w:p w14:paraId="46DA7065" w14:textId="77777777" w:rsidR="004B66E8" w:rsidRDefault="002514E2">
      <w:pPr>
        <w:widowControl w:val="0"/>
        <w:spacing w:line="360" w:lineRule="auto"/>
        <w:rPr>
          <w:rFonts w:ascii="Calibri" w:eastAsia="Calibri" w:hAnsi="Calibri" w:cs="Calibri"/>
        </w:rPr>
      </w:pPr>
      <w:r>
        <w:rPr>
          <w:rFonts w:ascii="Calibri" w:eastAsia="Calibri" w:hAnsi="Calibri" w:cs="Calibri"/>
        </w:rPr>
        <w:t>Recent startte het project structureel instroomkanaal. Deelnemers kunnen een kwalificerend opleidingstrajec</w:t>
      </w:r>
      <w:r>
        <w:rPr>
          <w:rFonts w:ascii="Calibri" w:eastAsia="Calibri" w:hAnsi="Calibri" w:cs="Calibri"/>
        </w:rPr>
        <w:t>t tot een opvoedende functie volgen, terwijl ze in dienst zijn van de voorziening. Na het behalen van een diploma, behouden zij hun geldelijke anciënniteit verworven in het lagere barema.</w:t>
      </w:r>
    </w:p>
    <w:p w14:paraId="4516B140" w14:textId="77777777" w:rsidR="004B66E8" w:rsidRDefault="004B66E8">
      <w:pPr>
        <w:widowControl w:val="0"/>
        <w:spacing w:line="360" w:lineRule="auto"/>
        <w:rPr>
          <w:rFonts w:ascii="Calibri" w:eastAsia="Calibri" w:hAnsi="Calibri" w:cs="Calibri"/>
        </w:rPr>
      </w:pPr>
    </w:p>
    <w:p w14:paraId="129AC6EF" w14:textId="77777777" w:rsidR="004B66E8" w:rsidRDefault="002514E2">
      <w:pPr>
        <w:pStyle w:val="Kop2"/>
        <w:widowControl w:val="0"/>
        <w:spacing w:before="0" w:after="0" w:line="360" w:lineRule="auto"/>
        <w:rPr>
          <w:rFonts w:ascii="Calibri" w:eastAsia="Calibri" w:hAnsi="Calibri" w:cs="Calibri"/>
          <w:b/>
        </w:rPr>
      </w:pPr>
      <w:bookmarkStart w:id="2" w:name="_51mfwulrxfto" w:colFirst="0" w:colLast="0"/>
      <w:bookmarkEnd w:id="2"/>
      <w:r>
        <w:rPr>
          <w:rFonts w:ascii="Calibri" w:eastAsia="Calibri" w:hAnsi="Calibri" w:cs="Calibri"/>
          <w:b/>
        </w:rPr>
        <w:t xml:space="preserve">Wijziging outputvereisten diensten rechtstreeks toegankelijke hulp </w:t>
      </w:r>
      <w:r>
        <w:rPr>
          <w:rFonts w:ascii="Calibri" w:eastAsia="Calibri" w:hAnsi="Calibri" w:cs="Calibri"/>
          <w:b/>
        </w:rPr>
        <w:t>(RTH) en diensten ondersteuningsplan (DOP) vanaf 1 januari 2023</w:t>
      </w:r>
    </w:p>
    <w:p w14:paraId="56CE7AC4" w14:textId="77777777" w:rsidR="004B66E8" w:rsidRDefault="002514E2">
      <w:pPr>
        <w:widowControl w:val="0"/>
        <w:spacing w:line="360" w:lineRule="auto"/>
        <w:rPr>
          <w:rFonts w:ascii="Calibri" w:eastAsia="Calibri" w:hAnsi="Calibri" w:cs="Calibri"/>
        </w:rPr>
      </w:pPr>
      <w:r>
        <w:rPr>
          <w:rFonts w:ascii="Calibri" w:eastAsia="Calibri" w:hAnsi="Calibri" w:cs="Calibri"/>
        </w:rPr>
        <w:t>Dit besluit verhoogt de output norm van 92% naar</w:t>
      </w:r>
      <w:r>
        <w:rPr>
          <w:rFonts w:ascii="Calibri" w:eastAsia="Calibri" w:hAnsi="Calibri" w:cs="Calibri"/>
          <w:u w:val="single"/>
        </w:rPr>
        <w:t xml:space="preserve"> 95%.</w:t>
      </w:r>
      <w:r>
        <w:rPr>
          <w:rFonts w:ascii="Calibri" w:eastAsia="Calibri" w:hAnsi="Calibri" w:cs="Calibri"/>
        </w:rPr>
        <w:t xml:space="preserve">  Dit wil zeggen  dat diensten RTH en DOP voor 95% van hun erkenning prestaties moeten kunnen voorleggen om voor hun volledige erkenning </w:t>
      </w:r>
      <w:r>
        <w:rPr>
          <w:rFonts w:ascii="Calibri" w:eastAsia="Calibri" w:hAnsi="Calibri" w:cs="Calibri"/>
        </w:rPr>
        <w:lastRenderedPageBreak/>
        <w:t>te</w:t>
      </w:r>
      <w:r>
        <w:rPr>
          <w:rFonts w:ascii="Calibri" w:eastAsia="Calibri" w:hAnsi="Calibri" w:cs="Calibri"/>
        </w:rPr>
        <w:t xml:space="preserve"> worden gesubsidieerd. De afwijking mocht voorheen niet groter dan 20 punten zijn, maar het besluit heft deze beperkende 20 punten-regel op.</w:t>
      </w:r>
    </w:p>
    <w:p w14:paraId="4A489708" w14:textId="77777777" w:rsidR="004B66E8" w:rsidRDefault="004B66E8">
      <w:pPr>
        <w:widowControl w:val="0"/>
        <w:spacing w:line="360" w:lineRule="auto"/>
        <w:rPr>
          <w:rFonts w:ascii="Calibri" w:eastAsia="Calibri" w:hAnsi="Calibri" w:cs="Calibri"/>
        </w:rPr>
      </w:pPr>
    </w:p>
    <w:p w14:paraId="5DD6E1F9" w14:textId="77777777" w:rsidR="004B66E8" w:rsidRDefault="002514E2">
      <w:pPr>
        <w:widowControl w:val="0"/>
        <w:spacing w:line="360" w:lineRule="auto"/>
        <w:rPr>
          <w:rFonts w:ascii="Calibri" w:eastAsia="Calibri" w:hAnsi="Calibri" w:cs="Calibri"/>
        </w:rPr>
      </w:pPr>
      <w:r>
        <w:rPr>
          <w:rFonts w:ascii="Calibri" w:eastAsia="Calibri" w:hAnsi="Calibri" w:cs="Calibri"/>
          <w:b/>
        </w:rPr>
        <w:t>Opgelet</w:t>
      </w:r>
      <w:r>
        <w:rPr>
          <w:rFonts w:ascii="Calibri" w:eastAsia="Calibri" w:hAnsi="Calibri" w:cs="Calibri"/>
        </w:rPr>
        <w:t>: voor de pilootprojecten RTH zal er voor 2023 een soepelere output norm worden gehanteerd. Verdere details</w:t>
      </w:r>
      <w:r>
        <w:rPr>
          <w:rFonts w:ascii="Calibri" w:eastAsia="Calibri" w:hAnsi="Calibri" w:cs="Calibri"/>
        </w:rPr>
        <w:t xml:space="preserve"> volgen nog na de definitieve goedkeuring van het betreffende besluit.</w:t>
      </w:r>
    </w:p>
    <w:p w14:paraId="17A80605" w14:textId="77777777" w:rsidR="004B66E8" w:rsidRDefault="004B66E8">
      <w:pPr>
        <w:widowControl w:val="0"/>
        <w:spacing w:line="360" w:lineRule="auto"/>
        <w:rPr>
          <w:rFonts w:ascii="Calibri" w:eastAsia="Calibri" w:hAnsi="Calibri" w:cs="Calibri"/>
        </w:rPr>
      </w:pPr>
    </w:p>
    <w:p w14:paraId="23FBAB42" w14:textId="77777777" w:rsidR="004B66E8" w:rsidRDefault="002514E2">
      <w:pPr>
        <w:pStyle w:val="Kop2"/>
        <w:widowControl w:val="0"/>
        <w:spacing w:before="0" w:after="0" w:line="360" w:lineRule="auto"/>
        <w:rPr>
          <w:rFonts w:ascii="Calibri" w:eastAsia="Calibri" w:hAnsi="Calibri" w:cs="Calibri"/>
          <w:b/>
        </w:rPr>
      </w:pPr>
      <w:bookmarkStart w:id="3" w:name="_t0hb3roizpuh" w:colFirst="0" w:colLast="0"/>
      <w:bookmarkEnd w:id="3"/>
      <w:r>
        <w:rPr>
          <w:rFonts w:ascii="Calibri" w:eastAsia="Calibri" w:hAnsi="Calibri" w:cs="Calibri"/>
          <w:b/>
        </w:rPr>
        <w:t>Vergoeding van variabele prestaties met werkingsmiddelen uit omgezette personeelspunten vanaf 1 januari 2023</w:t>
      </w:r>
    </w:p>
    <w:p w14:paraId="08E5DAB9" w14:textId="77777777" w:rsidR="004B66E8" w:rsidRDefault="002514E2">
      <w:pPr>
        <w:widowControl w:val="0"/>
        <w:spacing w:line="360" w:lineRule="auto"/>
        <w:rPr>
          <w:rFonts w:ascii="Calibri" w:eastAsia="Calibri" w:hAnsi="Calibri" w:cs="Calibri"/>
        </w:rPr>
      </w:pPr>
      <w:r>
        <w:rPr>
          <w:rFonts w:ascii="Calibri" w:eastAsia="Calibri" w:hAnsi="Calibri" w:cs="Calibri"/>
        </w:rPr>
        <w:t>Multifunctionele centra, RTH diensten, DOP’s,  vergunde zorgaanbieders , vo</w:t>
      </w:r>
      <w:r>
        <w:rPr>
          <w:rFonts w:ascii="Calibri" w:eastAsia="Calibri" w:hAnsi="Calibri" w:cs="Calibri"/>
        </w:rPr>
        <w:t>orzieningen die ondersteuning bieden aan personen met een handicap in de gevangenis, forensische VAPH units en observatie en diagnose- en behandelingsunits kunnen een deel van hun personeelspunten omzetten in werkingsmiddelen. Het gegenereerde bedrag mocht</w:t>
      </w:r>
      <w:r>
        <w:rPr>
          <w:rFonts w:ascii="Calibri" w:eastAsia="Calibri" w:hAnsi="Calibri" w:cs="Calibri"/>
        </w:rPr>
        <w:t xml:space="preserve"> in het verleden niet gebruikt worden voor de vergoeding van eigen personeelskosten. Deze beperking wordt gedeeltelijk versoepeld. Deze werkingsmiddelen mogen gebruikt worden voor de </w:t>
      </w:r>
      <w:r>
        <w:rPr>
          <w:rFonts w:ascii="Calibri" w:eastAsia="Calibri" w:hAnsi="Calibri" w:cs="Calibri"/>
          <w:u w:val="single"/>
        </w:rPr>
        <w:t xml:space="preserve">vergoeding van variabele prestaties </w:t>
      </w:r>
      <w:r>
        <w:rPr>
          <w:rFonts w:ascii="Calibri" w:eastAsia="Calibri" w:hAnsi="Calibri" w:cs="Calibri"/>
        </w:rPr>
        <w:t>van eigen personeel. Opgelet: vergoed</w:t>
      </w:r>
      <w:r>
        <w:rPr>
          <w:rFonts w:ascii="Calibri" w:eastAsia="Calibri" w:hAnsi="Calibri" w:cs="Calibri"/>
        </w:rPr>
        <w:t>ing van andere personeelskosten is niet toegestaan.</w:t>
      </w:r>
    </w:p>
    <w:p w14:paraId="75049337" w14:textId="77777777" w:rsidR="004B66E8" w:rsidRDefault="004B66E8">
      <w:pPr>
        <w:widowControl w:val="0"/>
        <w:spacing w:line="360" w:lineRule="auto"/>
        <w:rPr>
          <w:rFonts w:ascii="Calibri" w:eastAsia="Calibri" w:hAnsi="Calibri" w:cs="Calibri"/>
        </w:rPr>
      </w:pPr>
    </w:p>
    <w:p w14:paraId="4B90A508" w14:textId="77777777" w:rsidR="004B66E8" w:rsidRDefault="002514E2">
      <w:pPr>
        <w:pStyle w:val="Kop2"/>
        <w:widowControl w:val="0"/>
        <w:spacing w:before="0" w:after="0" w:line="360" w:lineRule="auto"/>
        <w:rPr>
          <w:rFonts w:ascii="Calibri" w:eastAsia="Calibri" w:hAnsi="Calibri" w:cs="Calibri"/>
        </w:rPr>
      </w:pPr>
      <w:bookmarkStart w:id="4" w:name="_x4ngpdw0h5q3" w:colFirst="0" w:colLast="0"/>
      <w:bookmarkEnd w:id="4"/>
      <w:r>
        <w:rPr>
          <w:rFonts w:ascii="Calibri" w:eastAsia="Calibri" w:hAnsi="Calibri" w:cs="Calibri"/>
          <w:b/>
        </w:rPr>
        <w:t>Schrappen van de sanctie op te veel doorgegeven variabele prestaties in afrekeningsdossier vanaf 1 januari 2023</w:t>
      </w:r>
    </w:p>
    <w:p w14:paraId="07180E15" w14:textId="77777777" w:rsidR="004B66E8" w:rsidRDefault="002514E2">
      <w:pPr>
        <w:widowControl w:val="0"/>
        <w:spacing w:line="360" w:lineRule="auto"/>
        <w:rPr>
          <w:rFonts w:ascii="Calibri" w:eastAsia="Calibri" w:hAnsi="Calibri" w:cs="Calibri"/>
        </w:rPr>
      </w:pPr>
      <w:r>
        <w:rPr>
          <w:rFonts w:ascii="Calibri" w:eastAsia="Calibri" w:hAnsi="Calibri" w:cs="Calibri"/>
        </w:rPr>
        <w:t>In 1993 werd door de Vlaamse regering beslist dat voorzieningen 2,5% moesten besparen op hu</w:t>
      </w:r>
      <w:r>
        <w:rPr>
          <w:rFonts w:ascii="Calibri" w:eastAsia="Calibri" w:hAnsi="Calibri" w:cs="Calibri"/>
        </w:rPr>
        <w:t>n urencontingent voor variabele prestaties. Indien voorzieningen deze besparing niet zouden realiseren, werd een aftrek voorzien van 5% van het gesubsidieerde bedrag. In praktijk geven de meeste voorzieningen in het afrekeningsdossier het urenpakket vermin</w:t>
      </w:r>
      <w:r>
        <w:rPr>
          <w:rFonts w:ascii="Calibri" w:eastAsia="Calibri" w:hAnsi="Calibri" w:cs="Calibri"/>
        </w:rPr>
        <w:t>derd met 2,5% door, om zo de sanctie te vermijden. Het VAPH heeft hierdoor geen zicht op de werkelijk gepresteerde uren variabele prestaties. Het besluit heft de sanctie van 5% op. Het VAPH blijft evenwel het toegestane urenpakket verminderd met 2,5% subsi</w:t>
      </w:r>
      <w:r>
        <w:rPr>
          <w:rFonts w:ascii="Calibri" w:eastAsia="Calibri" w:hAnsi="Calibri" w:cs="Calibri"/>
        </w:rPr>
        <w:t>diëren.</w:t>
      </w:r>
    </w:p>
    <w:p w14:paraId="40E0FDDE" w14:textId="77777777" w:rsidR="004B66E8" w:rsidRDefault="004B66E8">
      <w:pPr>
        <w:widowControl w:val="0"/>
        <w:spacing w:line="360" w:lineRule="auto"/>
        <w:rPr>
          <w:rFonts w:ascii="Calibri" w:eastAsia="Calibri" w:hAnsi="Calibri" w:cs="Calibri"/>
        </w:rPr>
      </w:pPr>
    </w:p>
    <w:p w14:paraId="1277F702" w14:textId="77777777" w:rsidR="004B66E8" w:rsidRDefault="002514E2">
      <w:pPr>
        <w:pStyle w:val="Kop2"/>
        <w:widowControl w:val="0"/>
        <w:spacing w:before="0" w:after="0" w:line="360" w:lineRule="auto"/>
        <w:rPr>
          <w:rFonts w:ascii="Calibri" w:eastAsia="Calibri" w:hAnsi="Calibri" w:cs="Calibri"/>
          <w:b/>
        </w:rPr>
      </w:pPr>
      <w:bookmarkStart w:id="5" w:name="_cw6ogvwas4c1" w:colFirst="0" w:colLast="0"/>
      <w:bookmarkEnd w:id="5"/>
      <w:r>
        <w:rPr>
          <w:rFonts w:ascii="Calibri" w:eastAsia="Calibri" w:hAnsi="Calibri" w:cs="Calibri"/>
          <w:b/>
        </w:rPr>
        <w:t>Bepaling van organisatiegebonden middelen voor vergunde zorgaanbieders vanaf 1 januari 2024</w:t>
      </w:r>
    </w:p>
    <w:p w14:paraId="1F4BB489" w14:textId="77777777" w:rsidR="004B66E8" w:rsidRDefault="002514E2">
      <w:pPr>
        <w:widowControl w:val="0"/>
        <w:spacing w:line="360" w:lineRule="auto"/>
        <w:rPr>
          <w:rFonts w:ascii="Calibri" w:eastAsia="Calibri" w:hAnsi="Calibri" w:cs="Calibri"/>
        </w:rPr>
      </w:pPr>
      <w:r>
        <w:rPr>
          <w:rFonts w:ascii="Calibri" w:eastAsia="Calibri" w:hAnsi="Calibri" w:cs="Calibri"/>
        </w:rPr>
        <w:t>In de huidige regeling gebeurt de berekening van het aantal organisatiegebonden punten/kosten door 16,18% te nemen van het gemiddelde aantal zorggebonden p</w:t>
      </w:r>
      <w:r>
        <w:rPr>
          <w:rFonts w:ascii="Calibri" w:eastAsia="Calibri" w:hAnsi="Calibri" w:cs="Calibri"/>
        </w:rPr>
        <w:t xml:space="preserve">unten/kosten van de twee voorafgaande kalenderjaren. Voor nieuwe organisaties en snel groeiende voorzieningen is deze berekening nadelig. Het besluit heft deze methodiek op. De organisatiegebonden punten/ kosten </w:t>
      </w:r>
      <w:r>
        <w:rPr>
          <w:rFonts w:ascii="Calibri" w:eastAsia="Calibri" w:hAnsi="Calibri" w:cs="Calibri"/>
        </w:rPr>
        <w:lastRenderedPageBreak/>
        <w:t>worden vanaf 2024 berekend op de zorggebonde</w:t>
      </w:r>
      <w:r>
        <w:rPr>
          <w:rFonts w:ascii="Calibri" w:eastAsia="Calibri" w:hAnsi="Calibri" w:cs="Calibri"/>
        </w:rPr>
        <w:t>n punten/kosten van het kalenderjaar zelf.</w:t>
      </w:r>
    </w:p>
    <w:p w14:paraId="3659B713" w14:textId="77777777" w:rsidR="004B66E8" w:rsidRDefault="004B66E8">
      <w:pPr>
        <w:widowControl w:val="0"/>
        <w:spacing w:line="360" w:lineRule="auto"/>
        <w:rPr>
          <w:rFonts w:ascii="Calibri" w:eastAsia="Calibri" w:hAnsi="Calibri" w:cs="Calibri"/>
        </w:rPr>
      </w:pPr>
    </w:p>
    <w:p w14:paraId="2AD11C6F" w14:textId="77777777" w:rsidR="004B66E8" w:rsidRDefault="002514E2">
      <w:pPr>
        <w:widowControl w:val="0"/>
        <w:spacing w:line="360" w:lineRule="auto"/>
        <w:rPr>
          <w:rFonts w:ascii="Calibri" w:eastAsia="Calibri" w:hAnsi="Calibri" w:cs="Calibri"/>
        </w:rPr>
      </w:pPr>
      <w:r>
        <w:rPr>
          <w:rFonts w:ascii="Calibri" w:eastAsia="Calibri" w:hAnsi="Calibri" w:cs="Calibri"/>
          <w:b/>
        </w:rPr>
        <w:t>Opgelet</w:t>
      </w:r>
      <w:r>
        <w:rPr>
          <w:rFonts w:ascii="Calibri" w:eastAsia="Calibri" w:hAnsi="Calibri" w:cs="Calibri"/>
        </w:rPr>
        <w:t>: in het besluit is de startdatum verkeerdelijk gezet op 1 januari 2023. De nieuwe berekeningswijze start wel degelijk</w:t>
      </w:r>
      <w:r>
        <w:rPr>
          <w:rFonts w:ascii="Calibri" w:eastAsia="Calibri" w:hAnsi="Calibri" w:cs="Calibri"/>
          <w:u w:val="single"/>
        </w:rPr>
        <w:t xml:space="preserve"> vanaf 1 januari 2024</w:t>
      </w:r>
      <w:r>
        <w:rPr>
          <w:rFonts w:ascii="Calibri" w:eastAsia="Calibri" w:hAnsi="Calibri" w:cs="Calibri"/>
        </w:rPr>
        <w:t xml:space="preserve">. Het besluit zal nog worden aangepast. </w:t>
      </w:r>
    </w:p>
    <w:p w14:paraId="333CA192" w14:textId="77777777" w:rsidR="004B66E8" w:rsidRDefault="004B66E8">
      <w:pPr>
        <w:widowControl w:val="0"/>
        <w:spacing w:line="360" w:lineRule="auto"/>
        <w:rPr>
          <w:rFonts w:ascii="Calibri" w:eastAsia="Calibri" w:hAnsi="Calibri" w:cs="Calibri"/>
        </w:rPr>
      </w:pPr>
    </w:p>
    <w:p w14:paraId="380F3050" w14:textId="77777777" w:rsidR="004B66E8" w:rsidRDefault="004B66E8">
      <w:pPr>
        <w:rPr>
          <w:rFonts w:ascii="Calibri" w:eastAsia="Calibri" w:hAnsi="Calibri" w:cs="Calibri"/>
        </w:rPr>
      </w:pPr>
    </w:p>
    <w:p w14:paraId="39BD3179" w14:textId="77777777" w:rsidR="004B66E8" w:rsidRDefault="004B66E8">
      <w:pPr>
        <w:rPr>
          <w:rFonts w:ascii="Calibri" w:eastAsia="Calibri" w:hAnsi="Calibri" w:cs="Calibri"/>
        </w:rPr>
      </w:pPr>
    </w:p>
    <w:p w14:paraId="2A1FC294" w14:textId="77777777" w:rsidR="004B66E8" w:rsidRDefault="004B66E8">
      <w:pPr>
        <w:widowControl w:val="0"/>
        <w:rPr>
          <w:rFonts w:ascii="Calibri" w:eastAsia="Calibri" w:hAnsi="Calibri" w:cs="Calibri"/>
        </w:rPr>
      </w:pPr>
    </w:p>
    <w:p w14:paraId="1F787684" w14:textId="77777777" w:rsidR="004B66E8" w:rsidRDefault="004B66E8">
      <w:pPr>
        <w:widowControl w:val="0"/>
        <w:rPr>
          <w:rFonts w:ascii="Calibri" w:eastAsia="Calibri" w:hAnsi="Calibri" w:cs="Calibri"/>
        </w:rPr>
      </w:pPr>
    </w:p>
    <w:p w14:paraId="6B677C1E" w14:textId="77777777" w:rsidR="004B66E8" w:rsidRDefault="004B66E8">
      <w:pPr>
        <w:widowControl w:val="0"/>
        <w:rPr>
          <w:rFonts w:ascii="Calibri" w:eastAsia="Calibri" w:hAnsi="Calibri" w:cs="Calibri"/>
        </w:rPr>
      </w:pPr>
    </w:p>
    <w:p w14:paraId="7C1186C0" w14:textId="77777777" w:rsidR="004B66E8" w:rsidRDefault="004B66E8">
      <w:pPr>
        <w:widowControl w:val="0"/>
        <w:rPr>
          <w:rFonts w:ascii="Calibri" w:eastAsia="Calibri" w:hAnsi="Calibri" w:cs="Calibri"/>
        </w:rPr>
      </w:pPr>
    </w:p>
    <w:p w14:paraId="476B7DB1" w14:textId="77777777" w:rsidR="004B66E8" w:rsidRDefault="004B66E8">
      <w:pPr>
        <w:widowControl w:val="0"/>
        <w:rPr>
          <w:rFonts w:ascii="Calibri" w:eastAsia="Calibri" w:hAnsi="Calibri" w:cs="Calibri"/>
        </w:rPr>
      </w:pPr>
    </w:p>
    <w:p w14:paraId="01C1D894" w14:textId="77777777" w:rsidR="004B66E8" w:rsidRDefault="004B66E8">
      <w:pPr>
        <w:widowControl w:val="0"/>
        <w:rPr>
          <w:rFonts w:ascii="Calibri" w:eastAsia="Calibri" w:hAnsi="Calibri" w:cs="Calibri"/>
        </w:rPr>
      </w:pPr>
    </w:p>
    <w:p w14:paraId="049E611D" w14:textId="77777777" w:rsidR="004B66E8" w:rsidRDefault="002514E2">
      <w:pPr>
        <w:widowControl w:val="0"/>
        <w:rPr>
          <w:rFonts w:ascii="Calibri" w:eastAsia="Calibri" w:hAnsi="Calibri" w:cs="Calibri"/>
        </w:rPr>
      </w:pPr>
      <w:r>
        <w:rPr>
          <w:rFonts w:ascii="Calibri" w:eastAsia="Calibri" w:hAnsi="Calibri" w:cs="Calibri"/>
        </w:rPr>
        <w:t>James Van Casteren</w:t>
      </w:r>
    </w:p>
    <w:p w14:paraId="4B00439E" w14:textId="77777777" w:rsidR="004B66E8" w:rsidRDefault="002514E2">
      <w:pPr>
        <w:widowControl w:val="0"/>
        <w:rPr>
          <w:rFonts w:ascii="Calibri" w:eastAsia="Calibri" w:hAnsi="Calibri" w:cs="Calibri"/>
          <w:i/>
        </w:rPr>
      </w:pPr>
      <w:r>
        <w:rPr>
          <w:rFonts w:ascii="Calibri" w:eastAsia="Calibri" w:hAnsi="Calibri" w:cs="Calibri"/>
        </w:rPr>
        <w:t>Administrateur-generaal</w:t>
      </w:r>
    </w:p>
    <w:p w14:paraId="642EEA11" w14:textId="77777777" w:rsidR="004B66E8" w:rsidRDefault="004B66E8"/>
    <w:sectPr w:rsidR="004B66E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17DA7"/>
    <w:multiLevelType w:val="multilevel"/>
    <w:tmpl w:val="612EC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6E8"/>
    <w:rsid w:val="002514E2"/>
    <w:rsid w:val="004B66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5CAD"/>
  <w15:docId w15:val="{D07104B3-2E28-476C-A400-DDDDA01E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frekeningen@vaph.be" TargetMode="External"/><Relationship Id="rId3" Type="http://schemas.openxmlformats.org/officeDocument/2006/relationships/settings" Target="settings.xml"/><Relationship Id="rId7" Type="http://schemas.openxmlformats.org/officeDocument/2006/relationships/hyperlink" Target="mailto:ancienniteiten@vaph.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eelsregistratie@vap.b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4975</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Verbeken</dc:creator>
  <cp:lastModifiedBy>Myriam Verbeken</cp:lastModifiedBy>
  <cp:revision>2</cp:revision>
  <dcterms:created xsi:type="dcterms:W3CDTF">2024-04-02T07:05:00Z</dcterms:created>
  <dcterms:modified xsi:type="dcterms:W3CDTF">2024-04-02T07:05:00Z</dcterms:modified>
</cp:coreProperties>
</file>