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92"/>
        <w:gridCol w:w="4676"/>
      </w:tblGrid>
      <w:tr w:rsidR="00225650" w:rsidRPr="00FE7D39" w:rsidTr="00225650">
        <w:trPr>
          <w:trHeight w:hRule="exact" w:val="284"/>
        </w:trPr>
        <w:tc>
          <w:tcPr>
            <w:tcW w:w="4676" w:type="dxa"/>
            <w:gridSpan w:val="2"/>
          </w:tcPr>
          <w:p w:rsidR="00225650" w:rsidRDefault="00225650" w:rsidP="008C4E02">
            <w:bookmarkStart w:id="0" w:name="_GoBack"/>
            <w:bookmarkEnd w:id="0"/>
          </w:p>
        </w:tc>
        <w:tc>
          <w:tcPr>
            <w:tcW w:w="4676" w:type="dxa"/>
            <w:shd w:val="clear" w:color="auto" w:fill="C00076"/>
            <w:vAlign w:val="center"/>
          </w:tcPr>
          <w:p w:rsidR="00225650" w:rsidRPr="00FE7D39" w:rsidRDefault="008D2B67" w:rsidP="007D743E">
            <w:pPr>
              <w:jc w:val="right"/>
              <w:rPr>
                <w:b/>
                <w:color w:val="FFFFFF" w:themeColor="background1"/>
              </w:rPr>
            </w:pPr>
            <w:r w:rsidRPr="00FE7D39">
              <w:rPr>
                <w:b/>
                <w:color w:val="FFFFFF" w:themeColor="background1"/>
              </w:rPr>
              <w:t>Omzendbrief</w:t>
            </w:r>
            <w:r w:rsidR="00225650" w:rsidRPr="00FE7D39">
              <w:rPr>
                <w:b/>
                <w:color w:val="FFFFFF" w:themeColor="background1"/>
              </w:rPr>
              <w:t xml:space="preserve"> </w:t>
            </w:r>
          </w:p>
        </w:tc>
      </w:tr>
      <w:tr w:rsidR="00225650" w:rsidTr="00CD407C">
        <w:trPr>
          <w:trHeight w:hRule="exact" w:val="284"/>
        </w:trPr>
        <w:sdt>
          <w:sdtPr>
            <w:id w:val="-376158666"/>
            <w:lock w:val="sdtLocked"/>
            <w:placeholder>
              <w:docPart w:val="2704625E456141399E8588F010351001"/>
            </w:placeholder>
            <w:date w:fullDate="2015-02-02T00:00:00Z">
              <w:dateFormat w:val="d MMMM yyyy"/>
              <w:lid w:val="nl-BE"/>
              <w:storeMappedDataAs w:val="dateTime"/>
              <w:calendar w:val="gregorian"/>
            </w:date>
          </w:sdtPr>
          <w:sdtEndPr/>
          <w:sdtContent>
            <w:tc>
              <w:tcPr>
                <w:tcW w:w="9352" w:type="dxa"/>
                <w:gridSpan w:val="3"/>
                <w:vAlign w:val="center"/>
              </w:tcPr>
              <w:p w:rsidR="00225650" w:rsidRDefault="008031D3" w:rsidP="008031D3">
                <w:pPr>
                  <w:jc w:val="right"/>
                </w:pPr>
                <w:r>
                  <w:t>2 februari 2015</w:t>
                </w:r>
              </w:p>
            </w:tc>
          </w:sdtContent>
        </w:sdt>
      </w:tr>
      <w:tr w:rsidR="00953EB0" w:rsidTr="00953EB0">
        <w:trPr>
          <w:trHeight w:val="284"/>
        </w:trPr>
        <w:tc>
          <w:tcPr>
            <w:tcW w:w="9352" w:type="dxa"/>
            <w:gridSpan w:val="3"/>
            <w:vAlign w:val="center"/>
          </w:tcPr>
          <w:p w:rsidR="00953EB0" w:rsidRDefault="003E6F51" w:rsidP="008031D3">
            <w:pPr>
              <w:jc w:val="right"/>
            </w:pPr>
            <w:r>
              <w:t>G</w:t>
            </w:r>
            <w:r w:rsidR="00953EB0">
              <w:t xml:space="preserve">ericht aan </w:t>
            </w:r>
            <w:r w:rsidR="008031D3">
              <w:t>de voorzieningen die zich richten tot minderjarigen</w:t>
            </w:r>
          </w:p>
        </w:tc>
      </w:tr>
      <w:tr w:rsidR="003E6F51" w:rsidTr="003E6F51">
        <w:trPr>
          <w:trHeight w:hRule="exact" w:val="142"/>
        </w:trPr>
        <w:tc>
          <w:tcPr>
            <w:tcW w:w="9352" w:type="dxa"/>
            <w:gridSpan w:val="3"/>
            <w:vAlign w:val="center"/>
          </w:tcPr>
          <w:p w:rsidR="003E6F51" w:rsidRDefault="003E6F51" w:rsidP="00953EB0">
            <w:pPr>
              <w:jc w:val="right"/>
            </w:pPr>
          </w:p>
        </w:tc>
      </w:tr>
      <w:tr w:rsidR="003E6F51" w:rsidTr="003E6F51">
        <w:trPr>
          <w:trHeight w:val="284"/>
        </w:trPr>
        <w:tc>
          <w:tcPr>
            <w:tcW w:w="1384" w:type="dxa"/>
            <w:vAlign w:val="center"/>
          </w:tcPr>
          <w:p w:rsidR="003E6F51" w:rsidRDefault="003E6F51" w:rsidP="00157E45">
            <w:pPr>
              <w:pStyle w:val="Kenmerkbrief"/>
            </w:pPr>
            <w:r>
              <w:t>Vragen naar:</w:t>
            </w:r>
          </w:p>
        </w:tc>
        <w:tc>
          <w:tcPr>
            <w:tcW w:w="7968" w:type="dxa"/>
            <w:gridSpan w:val="2"/>
            <w:vAlign w:val="center"/>
          </w:tcPr>
          <w:p w:rsidR="003E6F51" w:rsidRDefault="008031D3" w:rsidP="008031D3">
            <w:pPr>
              <w:pStyle w:val="Kenmerkwaardebrief"/>
            </w:pPr>
            <w:r>
              <w:t>Sven Pans</w:t>
            </w:r>
          </w:p>
        </w:tc>
      </w:tr>
      <w:tr w:rsidR="003E6F51" w:rsidTr="003E6F51">
        <w:trPr>
          <w:trHeight w:val="284"/>
        </w:trPr>
        <w:tc>
          <w:tcPr>
            <w:tcW w:w="1384" w:type="dxa"/>
            <w:vAlign w:val="center"/>
          </w:tcPr>
          <w:p w:rsidR="003E6F51" w:rsidRDefault="003E6F51" w:rsidP="00157E45">
            <w:pPr>
              <w:pStyle w:val="Kenmerkbrief"/>
            </w:pPr>
            <w:r>
              <w:t>Telefoon:</w:t>
            </w:r>
          </w:p>
        </w:tc>
        <w:tc>
          <w:tcPr>
            <w:tcW w:w="7968" w:type="dxa"/>
            <w:gridSpan w:val="2"/>
            <w:vAlign w:val="center"/>
          </w:tcPr>
          <w:p w:rsidR="003E6F51" w:rsidRDefault="008031D3" w:rsidP="008031D3">
            <w:pPr>
              <w:pStyle w:val="Kenmerkwaardebrief"/>
            </w:pPr>
            <w:r>
              <w:t>02 225 85 28</w:t>
            </w:r>
          </w:p>
        </w:tc>
      </w:tr>
      <w:tr w:rsidR="003E6F51" w:rsidTr="003E6F51">
        <w:trPr>
          <w:trHeight w:val="284"/>
        </w:trPr>
        <w:tc>
          <w:tcPr>
            <w:tcW w:w="1384" w:type="dxa"/>
            <w:vAlign w:val="center"/>
          </w:tcPr>
          <w:p w:rsidR="003E6F51" w:rsidRDefault="003E6F51" w:rsidP="00157E45">
            <w:pPr>
              <w:pStyle w:val="Kenmerkbrief"/>
            </w:pPr>
            <w:r>
              <w:t>E-mail:</w:t>
            </w:r>
          </w:p>
        </w:tc>
        <w:tc>
          <w:tcPr>
            <w:tcW w:w="7968" w:type="dxa"/>
            <w:gridSpan w:val="2"/>
            <w:vAlign w:val="center"/>
          </w:tcPr>
          <w:p w:rsidR="003E6F51" w:rsidRDefault="008031D3" w:rsidP="008031D3">
            <w:pPr>
              <w:pStyle w:val="Kenmerkwaardebrief"/>
            </w:pPr>
            <w:r>
              <w:t>Sven.pans@vaph.be</w:t>
            </w:r>
          </w:p>
        </w:tc>
      </w:tr>
      <w:tr w:rsidR="003E6F51" w:rsidTr="003E6F51">
        <w:trPr>
          <w:trHeight w:val="284"/>
        </w:trPr>
        <w:tc>
          <w:tcPr>
            <w:tcW w:w="1384" w:type="dxa"/>
            <w:vAlign w:val="center"/>
          </w:tcPr>
          <w:p w:rsidR="003E6F51" w:rsidRDefault="003E6F51" w:rsidP="00157E45">
            <w:pPr>
              <w:pStyle w:val="Kenmerkbrief"/>
            </w:pPr>
            <w:r>
              <w:t>Bijlage(n):</w:t>
            </w:r>
          </w:p>
        </w:tc>
        <w:tc>
          <w:tcPr>
            <w:tcW w:w="7968" w:type="dxa"/>
            <w:gridSpan w:val="2"/>
            <w:vAlign w:val="center"/>
          </w:tcPr>
          <w:p w:rsidR="003E6F51" w:rsidRDefault="008031D3" w:rsidP="008031D3">
            <w:pPr>
              <w:pStyle w:val="Kenmerkwaardebrief"/>
            </w:pPr>
            <w:r>
              <w:t>/</w:t>
            </w:r>
          </w:p>
        </w:tc>
      </w:tr>
      <w:tr w:rsidR="00225650" w:rsidRPr="008031D3" w:rsidTr="00C009E2">
        <w:trPr>
          <w:trHeight w:val="992"/>
        </w:trPr>
        <w:tc>
          <w:tcPr>
            <w:tcW w:w="9352" w:type="dxa"/>
            <w:gridSpan w:val="3"/>
            <w:vAlign w:val="bottom"/>
          </w:tcPr>
          <w:p w:rsidR="00225650" w:rsidRPr="00831FE8" w:rsidRDefault="00831FE8" w:rsidP="00831FE8">
            <w:r w:rsidRPr="00831FE8">
              <w:t>Geachte mevrouw</w:t>
            </w:r>
          </w:p>
          <w:p w:rsidR="00831FE8" w:rsidRPr="008031D3" w:rsidRDefault="00831FE8" w:rsidP="00831FE8">
            <w:pPr>
              <w:rPr>
                <w:sz w:val="32"/>
                <w:szCs w:val="32"/>
              </w:rPr>
            </w:pPr>
            <w:r w:rsidRPr="00831FE8">
              <w:t>Geachte heer</w:t>
            </w:r>
          </w:p>
        </w:tc>
      </w:tr>
    </w:tbl>
    <w:p w:rsidR="00E97BB0" w:rsidRDefault="00E97BB0" w:rsidP="00E97BB0"/>
    <w:p w:rsidR="00831FE8" w:rsidRDefault="00831FE8" w:rsidP="008031D3"/>
    <w:p w:rsidR="00831FE8" w:rsidRDefault="00831FE8" w:rsidP="008031D3"/>
    <w:p w:rsidR="008031D3" w:rsidRDefault="008031D3" w:rsidP="008031D3">
      <w:pPr>
        <w:rPr>
          <w:rFonts w:ascii="Calibri" w:hAnsi="Calibri"/>
          <w:color w:val="222222"/>
          <w:lang w:eastAsia="nl-BE"/>
        </w:rPr>
      </w:pPr>
      <w:r>
        <w:t>Recent zijn een aantal typemodules van het VAPH aangepast. De aanpassingen zijn van kracht vanaf 15 februari. Hieronder vindt u een korte uitleg over de aanpassingen en mogelijke gevolgen voor modulering en wachtbeheer.</w:t>
      </w:r>
    </w:p>
    <w:p w:rsidR="008031D3" w:rsidRDefault="008031D3" w:rsidP="008031D3">
      <w:pPr>
        <w:pStyle w:val="Kop1"/>
        <w:keepLines w:val="0"/>
        <w:numPr>
          <w:ilvl w:val="0"/>
          <w:numId w:val="11"/>
        </w:numPr>
        <w:spacing w:before="480" w:after="480" w:line="260" w:lineRule="exact"/>
        <w:rPr>
          <w:rFonts w:ascii="Trebuchet MS" w:hAnsi="Trebuchet MS"/>
          <w:color w:val="auto"/>
          <w:lang w:eastAsia="nl-NL"/>
        </w:rPr>
      </w:pPr>
      <w:r>
        <w:t>Aanpassing typemodules OBC</w:t>
      </w:r>
    </w:p>
    <w:p w:rsidR="008031D3" w:rsidRDefault="008031D3" w:rsidP="008031D3">
      <w:pPr>
        <w:pStyle w:val="Nummering11"/>
        <w:numPr>
          <w:ilvl w:val="0"/>
          <w:numId w:val="0"/>
        </w:numPr>
        <w:tabs>
          <w:tab w:val="left" w:pos="708"/>
        </w:tabs>
        <w:spacing w:before="60" w:after="60"/>
        <w:rPr>
          <w:rFonts w:ascii="Trebuchet MS" w:hAnsi="Trebuchet MS"/>
          <w:b w:val="0"/>
          <w:color w:val="222222"/>
          <w:szCs w:val="20"/>
          <w:lang w:val="nl-BE" w:eastAsia="nl-BE"/>
        </w:rPr>
      </w:pPr>
      <w:r>
        <w:rPr>
          <w:rFonts w:ascii="Trebuchet MS" w:hAnsi="Trebuchet MS"/>
          <w:b w:val="0"/>
          <w:color w:val="222222"/>
          <w:szCs w:val="20"/>
          <w:lang w:val="nl-NL" w:eastAsia="nl-BE"/>
        </w:rPr>
        <w:t xml:space="preserve">Vanaf 1 januari 2015 is elk OBC omgevormd tot een MFC. Dit biedt mogelijkheden om </w:t>
      </w:r>
      <w:r>
        <w:rPr>
          <w:rFonts w:ascii="Trebuchet MS" w:hAnsi="Trebuchet MS"/>
          <w:b w:val="0"/>
          <w:color w:val="222222"/>
          <w:szCs w:val="20"/>
          <w:lang w:val="nl-BE" w:eastAsia="nl-BE"/>
        </w:rPr>
        <w:t xml:space="preserve">hun  opdracht tegelijkertijd af te lijnen en te verruimen. </w:t>
      </w:r>
    </w:p>
    <w:p w:rsidR="008031D3" w:rsidRDefault="008031D3" w:rsidP="008031D3">
      <w:pPr>
        <w:pStyle w:val="Nummering11"/>
        <w:numPr>
          <w:ilvl w:val="0"/>
          <w:numId w:val="0"/>
        </w:numPr>
        <w:tabs>
          <w:tab w:val="left" w:pos="708"/>
        </w:tabs>
        <w:spacing w:before="60" w:after="60"/>
        <w:rPr>
          <w:rFonts w:ascii="Trebuchet MS" w:hAnsi="Trebuchet MS"/>
          <w:b w:val="0"/>
          <w:color w:val="222222"/>
          <w:szCs w:val="20"/>
          <w:lang w:val="nl-BE" w:eastAsia="nl-BE"/>
        </w:rPr>
      </w:pPr>
      <w:r>
        <w:rPr>
          <w:rFonts w:ascii="Trebuchet MS" w:hAnsi="Trebuchet MS"/>
          <w:b w:val="0"/>
          <w:color w:val="222222"/>
          <w:szCs w:val="20"/>
          <w:lang w:val="nl-BE" w:eastAsia="nl-BE"/>
        </w:rPr>
        <w:t xml:space="preserve">Op het niveau van de instroom: </w:t>
      </w:r>
    </w:p>
    <w:p w:rsidR="008031D3" w:rsidRDefault="008031D3" w:rsidP="008031D3">
      <w:pPr>
        <w:pStyle w:val="Nummering11"/>
        <w:numPr>
          <w:ilvl w:val="0"/>
          <w:numId w:val="13"/>
        </w:numPr>
        <w:tabs>
          <w:tab w:val="left" w:pos="708"/>
        </w:tabs>
        <w:spacing w:before="60" w:after="60"/>
        <w:rPr>
          <w:rFonts w:ascii="Trebuchet MS" w:hAnsi="Trebuchet MS"/>
          <w:b w:val="0"/>
          <w:szCs w:val="20"/>
          <w:lang w:val="nl-NL"/>
        </w:rPr>
      </w:pPr>
      <w:r>
        <w:rPr>
          <w:rFonts w:ascii="Trebuchet MS" w:hAnsi="Trebuchet MS"/>
          <w:b w:val="0"/>
          <w:color w:val="222222"/>
          <w:szCs w:val="20"/>
          <w:lang w:val="nl-BE" w:eastAsia="nl-BE"/>
        </w:rPr>
        <w:t xml:space="preserve">De opdracht rond </w:t>
      </w:r>
      <w:r>
        <w:rPr>
          <w:rFonts w:ascii="Trebuchet MS" w:hAnsi="Trebuchet MS"/>
          <w:b w:val="0"/>
          <w:szCs w:val="20"/>
          <w:lang w:val="nl-NL"/>
        </w:rPr>
        <w:t xml:space="preserve">classificerende of handelingsgerichte diagnostiek </w:t>
      </w:r>
      <w:r>
        <w:rPr>
          <w:rFonts w:ascii="Trebuchet MS" w:hAnsi="Trebuchet MS"/>
          <w:b w:val="0"/>
          <w:color w:val="222222"/>
          <w:szCs w:val="20"/>
          <w:lang w:val="nl-BE" w:eastAsia="nl-BE"/>
        </w:rPr>
        <w:t>willen we zo zuiver mogelijk houden en daarom ook in de tijd beperkt houden (12 maanden, verlengbaar tot max. 36 maanden). Het gaat hier niet louter om het vaststellen of er een handicap is maar eveneens om via observatie en behandeling tot de meest geschikte ondersteuning te komen. Tijdens het uitvoeren van diagnostiek kan er uiteraard al behandeling worden aangeboden of begeleiding. Daarnaast kan er tegelijkertijd verblijf worden aangeboden indien dit nodig is.</w:t>
      </w:r>
      <w:r>
        <w:rPr>
          <w:rFonts w:ascii="Trebuchet MS" w:hAnsi="Trebuchet MS"/>
          <w:color w:val="222222"/>
          <w:szCs w:val="20"/>
          <w:lang w:val="nl-BE" w:eastAsia="nl-BE"/>
        </w:rPr>
        <w:t xml:space="preserve"> </w:t>
      </w:r>
      <w:r>
        <w:rPr>
          <w:rFonts w:ascii="Trebuchet MS" w:hAnsi="Trebuchet MS"/>
          <w:b w:val="0"/>
          <w:color w:val="222222"/>
          <w:szCs w:val="20"/>
          <w:lang w:val="nl-BE" w:eastAsia="nl-BE"/>
        </w:rPr>
        <w:t>Het doelpubliek zijn hier personen met het (vermoeden van) een handicap.</w:t>
      </w:r>
    </w:p>
    <w:p w:rsidR="008031D3" w:rsidRDefault="008031D3" w:rsidP="008031D3">
      <w:pPr>
        <w:pStyle w:val="Nummering11"/>
        <w:numPr>
          <w:ilvl w:val="0"/>
          <w:numId w:val="13"/>
        </w:numPr>
        <w:tabs>
          <w:tab w:val="left" w:pos="708"/>
        </w:tabs>
        <w:spacing w:before="60" w:after="60"/>
        <w:rPr>
          <w:rFonts w:ascii="Trebuchet MS" w:hAnsi="Trebuchet MS"/>
          <w:b w:val="0"/>
          <w:szCs w:val="20"/>
          <w:lang w:val="nl-NL"/>
        </w:rPr>
      </w:pPr>
      <w:r>
        <w:rPr>
          <w:rFonts w:ascii="Trebuchet MS" w:hAnsi="Trebuchet MS"/>
          <w:b w:val="0"/>
          <w:color w:val="222222"/>
          <w:szCs w:val="20"/>
          <w:lang w:val="nl-BE" w:eastAsia="nl-BE"/>
        </w:rPr>
        <w:t xml:space="preserve">Daarnaast willen we alle </w:t>
      </w:r>
      <w:proofErr w:type="spellStart"/>
      <w:r>
        <w:rPr>
          <w:rFonts w:ascii="Trebuchet MS" w:hAnsi="Trebuchet MS"/>
          <w:b w:val="0"/>
          <w:color w:val="222222"/>
          <w:szCs w:val="20"/>
          <w:lang w:val="nl-BE" w:eastAsia="nl-BE"/>
        </w:rPr>
        <w:t>OBC’s</w:t>
      </w:r>
      <w:proofErr w:type="spellEnd"/>
      <w:r>
        <w:rPr>
          <w:rFonts w:ascii="Trebuchet MS" w:hAnsi="Trebuchet MS"/>
          <w:b w:val="0"/>
          <w:color w:val="222222"/>
          <w:szCs w:val="20"/>
          <w:lang w:val="nl-BE" w:eastAsia="nl-BE"/>
        </w:rPr>
        <w:t xml:space="preserve"> ook een regulier aanbod laten genereren voor personen met een handicap, ook al had men daarvoor geen erkenning voor een andere zorgvorm. Het aanbod zoals we dat ook in andere </w:t>
      </w:r>
      <w:proofErr w:type="spellStart"/>
      <w:r>
        <w:rPr>
          <w:rFonts w:ascii="Trebuchet MS" w:hAnsi="Trebuchet MS"/>
          <w:b w:val="0"/>
          <w:color w:val="222222"/>
          <w:szCs w:val="20"/>
          <w:lang w:val="nl-BE" w:eastAsia="nl-BE"/>
        </w:rPr>
        <w:t>MFC’s</w:t>
      </w:r>
      <w:proofErr w:type="spellEnd"/>
      <w:r>
        <w:rPr>
          <w:rFonts w:ascii="Trebuchet MS" w:hAnsi="Trebuchet MS"/>
          <w:b w:val="0"/>
          <w:color w:val="222222"/>
          <w:szCs w:val="20"/>
          <w:lang w:val="nl-BE" w:eastAsia="nl-BE"/>
        </w:rPr>
        <w:t xml:space="preserve"> kennen met name verblijf, dagopvang, behandeling, training, mobiele/ambulante begeleiding). Hiervoor kunnen ze de bestaande MFC-typemodules moduleren.</w:t>
      </w:r>
    </w:p>
    <w:p w:rsidR="008031D3" w:rsidRDefault="008031D3" w:rsidP="008031D3">
      <w:pPr>
        <w:pStyle w:val="Nummering11"/>
        <w:numPr>
          <w:ilvl w:val="0"/>
          <w:numId w:val="0"/>
        </w:numPr>
        <w:tabs>
          <w:tab w:val="left" w:pos="708"/>
        </w:tabs>
        <w:spacing w:before="60" w:after="60"/>
        <w:ind w:left="720"/>
        <w:rPr>
          <w:rFonts w:ascii="Trebuchet MS" w:hAnsi="Trebuchet MS"/>
          <w:b w:val="0"/>
          <w:szCs w:val="20"/>
          <w:lang w:val="nl-NL"/>
        </w:rPr>
      </w:pP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r>
        <w:rPr>
          <w:rFonts w:ascii="Trebuchet MS" w:hAnsi="Trebuchet MS"/>
          <w:b w:val="0"/>
          <w:szCs w:val="20"/>
          <w:lang w:val="nl-NL"/>
        </w:rPr>
        <w:t>Op het niveau van de modulering:</w:t>
      </w:r>
    </w:p>
    <w:p w:rsidR="008031D3" w:rsidRDefault="008031D3" w:rsidP="008031D3">
      <w:pPr>
        <w:pStyle w:val="Nummering11"/>
        <w:numPr>
          <w:ilvl w:val="0"/>
          <w:numId w:val="0"/>
        </w:numPr>
        <w:tabs>
          <w:tab w:val="left" w:pos="708"/>
        </w:tabs>
        <w:spacing w:before="60" w:after="60"/>
        <w:rPr>
          <w:rFonts w:ascii="Trebuchet MS" w:hAnsi="Trebuchet MS"/>
          <w:b w:val="0"/>
          <w:szCs w:val="20"/>
          <w:u w:val="single"/>
          <w:lang w:val="nl-NL"/>
        </w:rPr>
      </w:pPr>
      <w:r>
        <w:rPr>
          <w:rFonts w:ascii="Trebuchet MS" w:hAnsi="Trebuchet MS"/>
          <w:b w:val="0"/>
          <w:szCs w:val="20"/>
          <w:u w:val="single"/>
          <w:lang w:val="nl-NL"/>
        </w:rPr>
        <w:t>Diagnostiek voor personen met een (vermoeden van) een handicap</w:t>
      </w: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r>
        <w:rPr>
          <w:rFonts w:ascii="Trebuchet MS" w:hAnsi="Trebuchet MS"/>
          <w:b w:val="0"/>
          <w:szCs w:val="20"/>
          <w:lang w:val="nl-NL"/>
        </w:rPr>
        <w:t xml:space="preserve">Om voor het specifieke diagnostische luik niet alle typemodules te moeten ontdubbelen (specifiek aanmaken van typemodules behandeling, mobiele/ambulante begeleiding, dagopvang voor hun diagnostische werking) worden de twee specifieke bestaande typemodules  behouden maar hun </w:t>
      </w:r>
      <w:r>
        <w:rPr>
          <w:rFonts w:ascii="Trebuchet MS" w:hAnsi="Trebuchet MS"/>
          <w:b w:val="0"/>
          <w:szCs w:val="20"/>
          <w:lang w:val="nl-NL"/>
        </w:rPr>
        <w:lastRenderedPageBreak/>
        <w:t>omschrijving aangepast. Diagnostiek blijft duidelijk de hoofdfunctie maar er kan ook tegelijkertijd dagopvang, behandeling, training en begeleiding plaatsvinden (</w:t>
      </w:r>
      <w:proofErr w:type="spellStart"/>
      <w:r>
        <w:rPr>
          <w:rFonts w:ascii="Trebuchet MS" w:hAnsi="Trebuchet MS"/>
          <w:b w:val="0"/>
          <w:szCs w:val="20"/>
          <w:lang w:val="nl-NL"/>
        </w:rPr>
        <w:t>cfr</w:t>
      </w:r>
      <w:proofErr w:type="spellEnd"/>
      <w:r>
        <w:rPr>
          <w:rFonts w:ascii="Trebuchet MS" w:hAnsi="Trebuchet MS"/>
          <w:b w:val="0"/>
          <w:szCs w:val="20"/>
          <w:lang w:val="nl-NL"/>
        </w:rPr>
        <w:t xml:space="preserve"> de typemodule “Verblijf voor minderjarigen met een GES+-problematiek”) . Deze typemodule is toegankelijk voor zowel personen met het vermoeden van handicap als personen met handicap die nood hebben aan bijkomende diagnostiek/oriëntering miv behandeling.</w:t>
      </w: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r>
        <w:rPr>
          <w:rFonts w:ascii="Trebuchet MS" w:hAnsi="Trebuchet MS"/>
          <w:b w:val="0"/>
          <w:szCs w:val="20"/>
          <w:lang w:val="nl-NL"/>
        </w:rPr>
        <w:t>De omschrijving van de typemodule is als volgt aangepast:</w:t>
      </w: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p>
    <w:p w:rsidR="008031D3" w:rsidRDefault="008031D3" w:rsidP="008031D3">
      <w:pPr>
        <w:autoSpaceDE w:val="0"/>
        <w:autoSpaceDN w:val="0"/>
        <w:adjustRightInd w:val="0"/>
        <w:rPr>
          <w:rFonts w:cs="58hrd"/>
          <w:i/>
          <w:szCs w:val="20"/>
          <w:lang w:eastAsia="nl-BE"/>
        </w:rPr>
      </w:pPr>
      <w:r>
        <w:rPr>
          <w:rFonts w:cs="58hrd"/>
          <w:i/>
          <w:szCs w:val="20"/>
          <w:lang w:eastAsia="nl-BE"/>
        </w:rPr>
        <w:t xml:space="preserve">Het uitvoeren van handelingsgerichte diagnostiek al dan niet met classificatie bij de jongere en zijn context. In deze typemodule zit eveneens de nodige behandeling, opvang en begeleiding vervat. Deze typemodule kan desgevallend worden gecombineerd met de typemodule ‘verblijf voor personen met een (vermoeden van) handicap. Deze typemodule kan gedurende 12 maanden worden ingezet. </w:t>
      </w:r>
    </w:p>
    <w:p w:rsidR="008031D3" w:rsidRDefault="008031D3" w:rsidP="008031D3">
      <w:pPr>
        <w:pStyle w:val="Nummering11"/>
        <w:numPr>
          <w:ilvl w:val="0"/>
          <w:numId w:val="0"/>
        </w:numPr>
        <w:tabs>
          <w:tab w:val="left" w:pos="708"/>
        </w:tabs>
        <w:spacing w:before="60" w:after="60"/>
        <w:rPr>
          <w:rFonts w:ascii="Trebuchet MS" w:hAnsi="Trebuchet MS" w:cs="58hrd"/>
          <w:color w:val="37424A"/>
          <w:szCs w:val="20"/>
          <w:lang w:val="nl-BE" w:eastAsia="nl-BE"/>
        </w:rPr>
      </w:pPr>
    </w:p>
    <w:p w:rsidR="008031D3" w:rsidRDefault="008031D3" w:rsidP="008031D3">
      <w:pPr>
        <w:pStyle w:val="Nummering11"/>
        <w:numPr>
          <w:ilvl w:val="0"/>
          <w:numId w:val="0"/>
        </w:numPr>
        <w:tabs>
          <w:tab w:val="left" w:pos="708"/>
        </w:tabs>
        <w:spacing w:before="60" w:after="60"/>
        <w:rPr>
          <w:rFonts w:ascii="Trebuchet MS" w:hAnsi="Trebuchet MS"/>
          <w:b w:val="0"/>
          <w:szCs w:val="20"/>
          <w:u w:val="single"/>
          <w:lang w:val="nl-NL"/>
        </w:rPr>
      </w:pPr>
      <w:r>
        <w:rPr>
          <w:rFonts w:ascii="Trebuchet MS" w:hAnsi="Trebuchet MS"/>
          <w:b w:val="0"/>
          <w:szCs w:val="20"/>
          <w:u w:val="single"/>
          <w:lang w:val="nl-NL"/>
        </w:rPr>
        <w:t>Verblijf voor personen met een (vermoeden van) een handicap</w:t>
      </w: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r>
        <w:rPr>
          <w:rFonts w:ascii="Trebuchet MS" w:hAnsi="Trebuchet MS"/>
          <w:b w:val="0"/>
          <w:szCs w:val="20"/>
          <w:lang w:val="nl-NL"/>
        </w:rPr>
        <w:t>Verblijf houdt de nachtopvang in maar gelimiteerd op tijd. Bij deze typemodule wordt de gemiddelde verblijfsduur ook op 12 maanden gezet (mogelijks verlengbaar)</w:t>
      </w: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p>
    <w:p w:rsidR="008031D3" w:rsidRDefault="008031D3" w:rsidP="008031D3">
      <w:pPr>
        <w:pStyle w:val="Kop2"/>
        <w:numPr>
          <w:ilvl w:val="1"/>
          <w:numId w:val="11"/>
        </w:numPr>
        <w:spacing w:line="260" w:lineRule="exact"/>
        <w:rPr>
          <w:rFonts w:ascii="Trebuchet MS" w:hAnsi="Trebuchet MS"/>
        </w:rPr>
      </w:pPr>
      <w:r>
        <w:t>Gevolgen voor modulering</w:t>
      </w:r>
    </w:p>
    <w:p w:rsidR="008031D3" w:rsidRDefault="008031D3" w:rsidP="008031D3">
      <w:pPr>
        <w:spacing w:before="100" w:beforeAutospacing="1"/>
        <w:rPr>
          <w:szCs w:val="20"/>
        </w:rPr>
      </w:pPr>
      <w:r>
        <w:rPr>
          <w:szCs w:val="20"/>
        </w:rPr>
        <w:t xml:space="preserve">De wijzigingen aan de typemodules moeten ook worden doorgevoerd in de moduledatabank. </w:t>
      </w:r>
    </w:p>
    <w:p w:rsidR="008031D3" w:rsidRDefault="008031D3" w:rsidP="008031D3">
      <w:pPr>
        <w:pStyle w:val="Lijstalinea"/>
        <w:numPr>
          <w:ilvl w:val="0"/>
          <w:numId w:val="14"/>
        </w:numPr>
        <w:spacing w:before="100" w:beforeAutospacing="1"/>
      </w:pPr>
      <w:r>
        <w:rPr>
          <w:szCs w:val="20"/>
          <w:u w:val="single"/>
        </w:rPr>
        <w:t>Stap 1</w:t>
      </w:r>
      <w:r>
        <w:rPr>
          <w:szCs w:val="20"/>
        </w:rPr>
        <w:t>: goedkeuren van de aangepaste typemodules. Het gaat om de typemodules ‘Diagnostiek voor personen met een handicap (hoge frequentie)’ en ‘Verblijf voor personen met een (vermoeden van handicap).</w:t>
      </w:r>
    </w:p>
    <w:p w:rsidR="008031D3" w:rsidRDefault="008031D3" w:rsidP="008031D3">
      <w:pPr>
        <w:pStyle w:val="Lijstalinea"/>
        <w:spacing w:before="100" w:beforeAutospacing="1"/>
        <w:rPr>
          <w:szCs w:val="20"/>
        </w:rPr>
      </w:pPr>
      <w:r>
        <w:rPr>
          <w:szCs w:val="20"/>
        </w:rPr>
        <w:t>Alle modules waarvan de typemodule gewijzigd wordt, wijzigen automatisch mee. Ze  worden echter niet automatisch goedgekeurd. Dat moet je als voorziening nog zelf doen. Als je deze wijziging weigert, wordt de bestaande module verwijderd. In de moduledatabank zal je zien dat er voor elk van die modules een nieuwe module is aangemaakt (de ‘oude’ modules staan in lichtgroen, de gewijzigde modules in donkergroen):</w:t>
      </w:r>
    </w:p>
    <w:p w:rsidR="008031D3" w:rsidRDefault="008031D3" w:rsidP="008031D3">
      <w:pPr>
        <w:pStyle w:val="Lijstalinea"/>
        <w:numPr>
          <w:ilvl w:val="1"/>
          <w:numId w:val="14"/>
        </w:numPr>
        <w:spacing w:before="100" w:beforeAutospacing="1" w:after="100" w:afterAutospacing="1"/>
      </w:pPr>
      <w:r>
        <w:rPr>
          <w:szCs w:val="20"/>
        </w:rPr>
        <w:t>Ga naar de tab “Mijn Voorziening” en daarna naar de onderliggende tab  “Modules”</w:t>
      </w:r>
    </w:p>
    <w:p w:rsidR="008031D3" w:rsidRDefault="008031D3" w:rsidP="008031D3">
      <w:pPr>
        <w:pStyle w:val="Lijstalinea"/>
        <w:numPr>
          <w:ilvl w:val="1"/>
          <w:numId w:val="14"/>
        </w:numPr>
        <w:spacing w:before="100" w:beforeAutospacing="1" w:after="100" w:afterAutospacing="1"/>
        <w:rPr>
          <w:szCs w:val="20"/>
        </w:rPr>
      </w:pPr>
      <w:r>
        <w:rPr>
          <w:szCs w:val="20"/>
        </w:rPr>
        <w:t>Selecteer de modules die op “Aanvraag tot wijzigen” staan en klik onderaan op de knop ‘Goedkeuren’</w:t>
      </w:r>
    </w:p>
    <w:p w:rsidR="008031D3" w:rsidRDefault="008031D3" w:rsidP="008031D3">
      <w:pPr>
        <w:spacing w:before="100" w:beforeAutospacing="1"/>
        <w:rPr>
          <w:szCs w:val="24"/>
        </w:rPr>
      </w:pPr>
      <w:r>
        <w:rPr>
          <w:szCs w:val="20"/>
        </w:rPr>
        <w:t> </w:t>
      </w:r>
    </w:p>
    <w:p w:rsidR="008031D3" w:rsidRDefault="008031D3" w:rsidP="008031D3">
      <w:pPr>
        <w:pStyle w:val="Lijstalinea"/>
        <w:numPr>
          <w:ilvl w:val="0"/>
          <w:numId w:val="14"/>
        </w:numPr>
        <w:spacing w:before="100" w:beforeAutospacing="1"/>
        <w:rPr>
          <w:szCs w:val="20"/>
        </w:rPr>
      </w:pPr>
      <w:r>
        <w:rPr>
          <w:szCs w:val="20"/>
          <w:u w:val="single"/>
        </w:rPr>
        <w:t>Stap 2</w:t>
      </w:r>
      <w:r>
        <w:rPr>
          <w:szCs w:val="20"/>
        </w:rPr>
        <w:t>:  moduleren als een reguliere MFC-werking. Een aantal van deze modules heeft u reeds aangemaakt. Indien u ook een regulier MFC-aanbod wilt aanbieden dient u ook op onderstaande typemodules te moduleren .Voor de meesten betekent dit enkel de typemodules 'Verblijf voor minderjarigen met een handicap (lage frequentie) en 'Verblijf voor minderjarigen met een handicap (hoge frequentie)' aanmaken. Uiteraard zijn aanpassingen in de omschrijving van de bestaande modules steeds mogelijk. Volgende modules horen bij de werking van een regulier MFC:</w:t>
      </w:r>
    </w:p>
    <w:p w:rsidR="008031D3" w:rsidRDefault="008031D3" w:rsidP="008031D3">
      <w:pPr>
        <w:pStyle w:val="Lijstalinea"/>
        <w:numPr>
          <w:ilvl w:val="1"/>
          <w:numId w:val="14"/>
        </w:numPr>
        <w:spacing w:before="100" w:beforeAutospacing="1" w:after="100" w:afterAutospacing="1"/>
        <w:rPr>
          <w:szCs w:val="20"/>
        </w:rPr>
      </w:pPr>
      <w:r>
        <w:rPr>
          <w:szCs w:val="20"/>
        </w:rPr>
        <w:t xml:space="preserve">Schoolaanvullende en/of </w:t>
      </w:r>
      <w:proofErr w:type="spellStart"/>
      <w:r>
        <w:rPr>
          <w:szCs w:val="20"/>
        </w:rPr>
        <w:t>schoolvervangende</w:t>
      </w:r>
      <w:proofErr w:type="spellEnd"/>
      <w:r>
        <w:rPr>
          <w:szCs w:val="20"/>
        </w:rPr>
        <w:t xml:space="preserve"> dagopvang voor minderjarigen met een handicap (hoge frequentie)</w:t>
      </w:r>
    </w:p>
    <w:p w:rsidR="008031D3" w:rsidRDefault="008031D3" w:rsidP="008031D3">
      <w:pPr>
        <w:pStyle w:val="Lijstalinea"/>
        <w:numPr>
          <w:ilvl w:val="1"/>
          <w:numId w:val="14"/>
        </w:numPr>
        <w:spacing w:before="100" w:beforeAutospacing="1" w:after="100" w:afterAutospacing="1"/>
        <w:rPr>
          <w:szCs w:val="20"/>
        </w:rPr>
      </w:pPr>
      <w:r>
        <w:rPr>
          <w:szCs w:val="20"/>
        </w:rPr>
        <w:lastRenderedPageBreak/>
        <w:t>Behandeling voor minderjarigen met een handicap ( hoge frequentie/ middenfrequentie)</w:t>
      </w:r>
    </w:p>
    <w:p w:rsidR="008031D3" w:rsidRDefault="008031D3" w:rsidP="008031D3">
      <w:pPr>
        <w:pStyle w:val="Lijstalinea"/>
        <w:numPr>
          <w:ilvl w:val="1"/>
          <w:numId w:val="14"/>
        </w:numPr>
        <w:spacing w:before="100" w:beforeAutospacing="1" w:after="100" w:afterAutospacing="1"/>
        <w:rPr>
          <w:szCs w:val="20"/>
        </w:rPr>
      </w:pPr>
      <w:r>
        <w:rPr>
          <w:szCs w:val="20"/>
        </w:rPr>
        <w:t>Training voor minderjarigen met een handicap (hoge frequentie/ middenfrequentie) (</w:t>
      </w:r>
    </w:p>
    <w:p w:rsidR="008031D3" w:rsidRDefault="008031D3" w:rsidP="008031D3">
      <w:pPr>
        <w:pStyle w:val="Lijstalinea"/>
        <w:numPr>
          <w:ilvl w:val="1"/>
          <w:numId w:val="14"/>
        </w:numPr>
        <w:spacing w:before="100" w:beforeAutospacing="1" w:after="100" w:afterAutospacing="1"/>
        <w:rPr>
          <w:szCs w:val="20"/>
        </w:rPr>
      </w:pPr>
      <w:r>
        <w:rPr>
          <w:szCs w:val="20"/>
        </w:rPr>
        <w:t>Mobiele/ambulante begeleiding voor minderjarigen met een handicap (hoge frequentie)</w:t>
      </w:r>
    </w:p>
    <w:p w:rsidR="008031D3" w:rsidRDefault="008031D3" w:rsidP="008031D3">
      <w:pPr>
        <w:pStyle w:val="Lijstalinea"/>
        <w:numPr>
          <w:ilvl w:val="1"/>
          <w:numId w:val="14"/>
        </w:numPr>
        <w:spacing w:after="48"/>
        <w:rPr>
          <w:szCs w:val="20"/>
        </w:rPr>
      </w:pPr>
      <w:r>
        <w:rPr>
          <w:szCs w:val="20"/>
        </w:rPr>
        <w:t>Verblijf voor minderjarigen met een handicap (lage frequentie)</w:t>
      </w:r>
    </w:p>
    <w:p w:rsidR="008031D3" w:rsidRDefault="008031D3" w:rsidP="008031D3">
      <w:pPr>
        <w:pStyle w:val="Lijstalinea"/>
        <w:numPr>
          <w:ilvl w:val="1"/>
          <w:numId w:val="14"/>
        </w:numPr>
        <w:spacing w:after="48"/>
        <w:rPr>
          <w:szCs w:val="20"/>
        </w:rPr>
      </w:pPr>
      <w:r>
        <w:rPr>
          <w:szCs w:val="20"/>
        </w:rPr>
        <w:t>Verblijf voor minderjarigen met een handicap (hoge frequentie)</w:t>
      </w:r>
    </w:p>
    <w:p w:rsidR="008031D3" w:rsidRDefault="008031D3" w:rsidP="008031D3">
      <w:pPr>
        <w:pStyle w:val="Nummering11"/>
        <w:numPr>
          <w:ilvl w:val="0"/>
          <w:numId w:val="0"/>
        </w:numPr>
        <w:tabs>
          <w:tab w:val="left" w:pos="708"/>
        </w:tabs>
        <w:spacing w:before="60" w:after="60"/>
        <w:rPr>
          <w:rFonts w:ascii="Trebuchet MS" w:hAnsi="Trebuchet MS"/>
          <w:b w:val="0"/>
          <w:szCs w:val="20"/>
          <w:lang w:val="nl-BE"/>
        </w:rPr>
      </w:pPr>
    </w:p>
    <w:p w:rsidR="008031D3" w:rsidRDefault="008031D3" w:rsidP="008031D3">
      <w:pPr>
        <w:pStyle w:val="Nummering11"/>
        <w:numPr>
          <w:ilvl w:val="0"/>
          <w:numId w:val="0"/>
        </w:numPr>
        <w:tabs>
          <w:tab w:val="left" w:pos="708"/>
        </w:tabs>
        <w:spacing w:before="60" w:after="60"/>
        <w:rPr>
          <w:rFonts w:ascii="Trebuchet MS" w:hAnsi="Trebuchet MS"/>
          <w:b w:val="0"/>
          <w:szCs w:val="20"/>
          <w:lang w:val="nl-BE"/>
        </w:rPr>
      </w:pPr>
      <w:r>
        <w:rPr>
          <w:rFonts w:ascii="Trebuchet MS" w:hAnsi="Trebuchet MS"/>
          <w:b w:val="0"/>
          <w:szCs w:val="20"/>
          <w:lang w:val="nl-BE"/>
        </w:rPr>
        <w:t>Gezien de complexiteit van het omzetten van de wachtlijsten vragen we u om hiermee zo snel mogelijk klaar te zijn. Als dit niet lukt voor het infomoment van 6 februari zullen we u op deze dag zelf met raad en daad bijstaan zodat het dan zeker klaar is.</w:t>
      </w:r>
    </w:p>
    <w:p w:rsidR="008031D3" w:rsidRDefault="008031D3" w:rsidP="008031D3">
      <w:pPr>
        <w:pStyle w:val="Nummering11"/>
        <w:numPr>
          <w:ilvl w:val="0"/>
          <w:numId w:val="0"/>
        </w:numPr>
        <w:tabs>
          <w:tab w:val="left" w:pos="708"/>
        </w:tabs>
        <w:spacing w:before="60" w:after="60"/>
        <w:rPr>
          <w:rFonts w:ascii="Trebuchet MS" w:hAnsi="Trebuchet MS"/>
          <w:b w:val="0"/>
          <w:szCs w:val="20"/>
          <w:lang w:val="nl-BE"/>
        </w:rPr>
      </w:pPr>
    </w:p>
    <w:p w:rsidR="008031D3" w:rsidRDefault="008031D3" w:rsidP="008031D3">
      <w:pPr>
        <w:pStyle w:val="Nummering11"/>
        <w:numPr>
          <w:ilvl w:val="0"/>
          <w:numId w:val="0"/>
        </w:numPr>
        <w:tabs>
          <w:tab w:val="left" w:pos="708"/>
        </w:tabs>
        <w:spacing w:before="60" w:after="60"/>
        <w:rPr>
          <w:rFonts w:ascii="Trebuchet MS" w:hAnsi="Trebuchet MS"/>
          <w:b w:val="0"/>
          <w:szCs w:val="20"/>
          <w:lang w:val="nl-BE"/>
        </w:rPr>
      </w:pPr>
    </w:p>
    <w:p w:rsidR="008031D3" w:rsidRDefault="008031D3" w:rsidP="008031D3">
      <w:pPr>
        <w:pStyle w:val="Kop2"/>
        <w:numPr>
          <w:ilvl w:val="1"/>
          <w:numId w:val="11"/>
        </w:numPr>
        <w:spacing w:line="260" w:lineRule="exact"/>
        <w:rPr>
          <w:rFonts w:ascii="Trebuchet MS" w:hAnsi="Trebuchet MS"/>
          <w:lang w:val="nl-BE"/>
        </w:rPr>
      </w:pPr>
      <w:r>
        <w:rPr>
          <w:lang w:val="nl-BE"/>
        </w:rPr>
        <w:t>Gevolgen voor wachtbeheer</w:t>
      </w: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r>
        <w:rPr>
          <w:rFonts w:ascii="Trebuchet MS" w:hAnsi="Trebuchet MS"/>
          <w:b w:val="0"/>
          <w:szCs w:val="20"/>
          <w:lang w:val="nl-NL"/>
        </w:rPr>
        <w:t>De wijzigingen aan de modulering betekenen ook dat de instroommogelijkheden in INSISTO anders opgebouwd moeten worden. Er moeten minimaal twee instroommogelijkheden worden aangemaakt, één voor de diagnostische werking en één voor de reguliere MFC-werking. Daarnaast moeten de bestaande instroommogelijkheden zorgzaam moeten worden overgezet naar de nieuwe instroommogelijkheden. Om de verschillende stappen die hiervoor nodig zijn, toe te lichten, wordt een infomoment georganiseerd op 6 februari.</w:t>
      </w: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r>
        <w:rPr>
          <w:rFonts w:ascii="Trebuchet MS" w:hAnsi="Trebuchet MS"/>
          <w:b w:val="0"/>
          <w:szCs w:val="20"/>
          <w:lang w:val="nl-NL"/>
        </w:rPr>
        <w:t xml:space="preserve">De instroommogelijkheid voor de </w:t>
      </w:r>
      <w:r>
        <w:rPr>
          <w:rFonts w:ascii="Trebuchet MS" w:hAnsi="Trebuchet MS"/>
          <w:b w:val="0"/>
          <w:szCs w:val="20"/>
          <w:u w:val="single"/>
          <w:lang w:val="nl-NL"/>
        </w:rPr>
        <w:t>diagnostische werking</w:t>
      </w:r>
      <w:r>
        <w:rPr>
          <w:rFonts w:ascii="Trebuchet MS" w:hAnsi="Trebuchet MS"/>
          <w:b w:val="0"/>
          <w:szCs w:val="20"/>
          <w:lang w:val="nl-NL"/>
        </w:rPr>
        <w:t xml:space="preserve"> ziet er als volgt uit:</w:t>
      </w:r>
    </w:p>
    <w:p w:rsidR="008031D3" w:rsidRDefault="008031D3" w:rsidP="008031D3">
      <w:pPr>
        <w:pStyle w:val="Nummering11"/>
        <w:numPr>
          <w:ilvl w:val="0"/>
          <w:numId w:val="0"/>
        </w:numPr>
        <w:tabs>
          <w:tab w:val="left" w:pos="708"/>
        </w:tabs>
        <w:spacing w:before="60" w:after="60"/>
        <w:rPr>
          <w:rFonts w:ascii="Trebuchet MS" w:hAnsi="Trebuchet MS"/>
          <w:b w:val="0"/>
          <w:szCs w:val="20"/>
          <w:lang w:val="nl-NL"/>
        </w:rPr>
      </w:pPr>
    </w:p>
    <w:p w:rsidR="008031D3" w:rsidRDefault="008031D3" w:rsidP="008031D3">
      <w:pPr>
        <w:pStyle w:val="Lijstalinea"/>
        <w:numPr>
          <w:ilvl w:val="0"/>
          <w:numId w:val="15"/>
        </w:numPr>
        <w:autoSpaceDE w:val="0"/>
        <w:autoSpaceDN w:val="0"/>
        <w:adjustRightInd w:val="0"/>
        <w:rPr>
          <w:rFonts w:ascii="Trebuchet MS" w:hAnsi="Trebuchet MS" w:cs="Arial"/>
          <w:color w:val="000000"/>
          <w:sz w:val="20"/>
          <w:szCs w:val="20"/>
        </w:rPr>
      </w:pPr>
      <w:r>
        <w:rPr>
          <w:rFonts w:ascii="Trebuchet MS" w:hAnsi="Trebuchet MS" w:cs="Arial"/>
          <w:color w:val="000000"/>
          <w:sz w:val="20"/>
          <w:szCs w:val="20"/>
          <w:lang w:val="nl-NL"/>
        </w:rPr>
        <w:t>D</w:t>
      </w:r>
      <w:proofErr w:type="spellStart"/>
      <w:r>
        <w:rPr>
          <w:rFonts w:ascii="Trebuchet MS" w:hAnsi="Trebuchet MS" w:cs="Arial"/>
          <w:color w:val="000000"/>
          <w:sz w:val="20"/>
          <w:szCs w:val="20"/>
        </w:rPr>
        <w:t>iagnostiek</w:t>
      </w:r>
      <w:proofErr w:type="spellEnd"/>
      <w:r>
        <w:rPr>
          <w:rFonts w:ascii="Trebuchet MS" w:hAnsi="Trebuchet MS" w:cs="Arial"/>
          <w:color w:val="000000"/>
          <w:sz w:val="20"/>
          <w:szCs w:val="20"/>
        </w:rPr>
        <w:t xml:space="preserve"> voor minderjarigen met een (vermoeden van) handicap (hoge frequentie)</w:t>
      </w:r>
    </w:p>
    <w:p w:rsidR="008031D3" w:rsidRDefault="008031D3" w:rsidP="008031D3">
      <w:pPr>
        <w:pStyle w:val="Lijstalinea"/>
        <w:numPr>
          <w:ilvl w:val="0"/>
          <w:numId w:val="15"/>
        </w:numPr>
        <w:autoSpaceDE w:val="0"/>
        <w:autoSpaceDN w:val="0"/>
        <w:adjustRightInd w:val="0"/>
        <w:rPr>
          <w:rFonts w:ascii="Trebuchet MS" w:hAnsi="Trebuchet MS" w:cs="Arial"/>
          <w:color w:val="000000"/>
          <w:sz w:val="20"/>
          <w:szCs w:val="20"/>
        </w:rPr>
      </w:pPr>
      <w:r>
        <w:rPr>
          <w:rFonts w:ascii="Trebuchet MS" w:hAnsi="Trebuchet MS" w:cs="Arial"/>
          <w:color w:val="000000"/>
          <w:sz w:val="20"/>
          <w:szCs w:val="20"/>
        </w:rPr>
        <w:t>Verblijf voor personen met een (vermoeden van) handicap</w:t>
      </w:r>
      <w:r>
        <w:rPr>
          <w:rFonts w:ascii="Trebuchet MS" w:hAnsi="Trebuchet MS"/>
          <w:color w:val="222222"/>
          <w:sz w:val="20"/>
          <w:szCs w:val="20"/>
          <w:lang w:eastAsia="nl-BE"/>
        </w:rPr>
        <w:t xml:space="preserve"> </w:t>
      </w:r>
    </w:p>
    <w:p w:rsidR="008031D3" w:rsidRDefault="008031D3" w:rsidP="008031D3">
      <w:pPr>
        <w:shd w:val="clear" w:color="auto" w:fill="FFFFFF"/>
        <w:rPr>
          <w:color w:val="222222"/>
          <w:szCs w:val="20"/>
          <w:lang w:eastAsia="nl-BE"/>
        </w:rPr>
      </w:pPr>
      <w:r>
        <w:rPr>
          <w:color w:val="222222"/>
          <w:szCs w:val="20"/>
          <w:lang w:eastAsia="nl-BE"/>
        </w:rPr>
        <w:t xml:space="preserve"> </w:t>
      </w:r>
    </w:p>
    <w:p w:rsidR="008031D3" w:rsidRDefault="008031D3" w:rsidP="008031D3">
      <w:pPr>
        <w:shd w:val="clear" w:color="auto" w:fill="FFFFFF"/>
        <w:rPr>
          <w:color w:val="222222"/>
          <w:szCs w:val="20"/>
          <w:lang w:eastAsia="nl-BE"/>
        </w:rPr>
      </w:pPr>
      <w:r>
        <w:rPr>
          <w:szCs w:val="20"/>
          <w:lang w:eastAsia="nl-BE"/>
        </w:rPr>
        <w:t xml:space="preserve">De typemodules behandeling, mobiele/ambulante begeleiding en dagopvang maken geen deel (meer) uit van deze instroommogelijkheid. Deze instroom regelt dus de diagnostische opdracht van een OBC. Enkel minderjarigen met een (vermoeden van een) handicap kunnen hiervoor instromen. De termijn voor diagnostiek (en hieraan gekoppeld behandeling en indien nodig verblijf) is beperkt tot 12 </w:t>
      </w:r>
      <w:r>
        <w:rPr>
          <w:color w:val="222222"/>
          <w:szCs w:val="20"/>
          <w:lang w:eastAsia="nl-BE"/>
        </w:rPr>
        <w:t>maanden (indien nodig kan dit verlengd worden).</w:t>
      </w:r>
    </w:p>
    <w:p w:rsidR="008031D3" w:rsidRDefault="008031D3" w:rsidP="008031D3">
      <w:pPr>
        <w:shd w:val="clear" w:color="auto" w:fill="FFFFFF"/>
        <w:rPr>
          <w:color w:val="222222"/>
          <w:szCs w:val="20"/>
          <w:lang w:eastAsia="nl-BE"/>
        </w:rPr>
      </w:pPr>
      <w:r>
        <w:rPr>
          <w:color w:val="222222"/>
          <w:szCs w:val="20"/>
          <w:lang w:eastAsia="nl-BE"/>
        </w:rPr>
        <w:t>Gezien er geen modules uit instroommogelijkheden kunnen verwijderd worden, moet u hiervoor een nieuwe instroommogelijkheid aanmaken. Het verhuizen van jongeren naar de wachtlijst van deze nieuwe instroommogelijkheid vragen we u zelf te doen. Let op! Hiervoor moet u de bestaande lijst zorgvuldig screenen en het onderscheid maken tussen jongeren die wachten op een diagnostisch aanbod (OBC) en jongeren die wachten op verdere hulpverlening (MFC).</w:t>
      </w:r>
    </w:p>
    <w:p w:rsidR="008031D3" w:rsidRDefault="008031D3" w:rsidP="008031D3">
      <w:pPr>
        <w:shd w:val="clear" w:color="auto" w:fill="FFFFFF"/>
        <w:rPr>
          <w:color w:val="222222"/>
          <w:szCs w:val="20"/>
          <w:lang w:eastAsia="nl-BE"/>
        </w:rPr>
      </w:pPr>
    </w:p>
    <w:p w:rsidR="008031D3" w:rsidRDefault="008031D3" w:rsidP="008031D3">
      <w:pPr>
        <w:shd w:val="clear" w:color="auto" w:fill="FFFFFF"/>
        <w:rPr>
          <w:color w:val="222222"/>
          <w:szCs w:val="20"/>
          <w:lang w:eastAsia="nl-BE"/>
        </w:rPr>
      </w:pPr>
      <w:r>
        <w:rPr>
          <w:color w:val="222222"/>
          <w:szCs w:val="20"/>
          <w:lang w:eastAsia="nl-BE"/>
        </w:rPr>
        <w:t xml:space="preserve">We vragen u om hiermee klaar te zijn voor </w:t>
      </w:r>
      <w:r>
        <w:rPr>
          <w:b/>
          <w:color w:val="222222"/>
          <w:szCs w:val="20"/>
          <w:lang w:eastAsia="nl-BE"/>
        </w:rPr>
        <w:t>20 maart</w:t>
      </w:r>
      <w:r>
        <w:rPr>
          <w:color w:val="222222"/>
          <w:szCs w:val="20"/>
          <w:lang w:eastAsia="nl-BE"/>
        </w:rPr>
        <w:t>. Er volgt uiteraard nog meer toelichting hierover op het infomoment</w:t>
      </w:r>
    </w:p>
    <w:p w:rsidR="008031D3" w:rsidRDefault="008031D3" w:rsidP="008031D3">
      <w:pPr>
        <w:shd w:val="clear" w:color="auto" w:fill="FFFFFF"/>
        <w:rPr>
          <w:color w:val="222222"/>
          <w:szCs w:val="20"/>
          <w:lang w:eastAsia="nl-BE"/>
        </w:rPr>
      </w:pPr>
    </w:p>
    <w:p w:rsidR="008031D3" w:rsidRDefault="008031D3" w:rsidP="008031D3">
      <w:pPr>
        <w:shd w:val="clear" w:color="auto" w:fill="FFFFFF"/>
        <w:rPr>
          <w:color w:val="222222"/>
          <w:szCs w:val="20"/>
          <w:lang w:eastAsia="nl-BE"/>
        </w:rPr>
      </w:pPr>
    </w:p>
    <w:p w:rsidR="008031D3" w:rsidRDefault="008031D3" w:rsidP="008031D3">
      <w:pPr>
        <w:shd w:val="clear" w:color="auto" w:fill="FFFFFF"/>
        <w:rPr>
          <w:color w:val="222222"/>
          <w:szCs w:val="20"/>
          <w:lang w:eastAsia="nl-BE"/>
        </w:rPr>
      </w:pPr>
      <w:r>
        <w:rPr>
          <w:color w:val="222222"/>
          <w:szCs w:val="20"/>
          <w:lang w:eastAsia="nl-BE"/>
        </w:rPr>
        <w:t>De instroom</w:t>
      </w:r>
      <w:r>
        <w:rPr>
          <w:szCs w:val="20"/>
          <w:lang w:eastAsia="nl-BE"/>
        </w:rPr>
        <w:t xml:space="preserve">mogelijkheid </w:t>
      </w:r>
      <w:r>
        <w:rPr>
          <w:color w:val="222222"/>
          <w:szCs w:val="20"/>
          <w:lang w:eastAsia="nl-BE"/>
        </w:rPr>
        <w:t xml:space="preserve">voor de </w:t>
      </w:r>
      <w:r>
        <w:rPr>
          <w:color w:val="222222"/>
          <w:szCs w:val="20"/>
          <w:u w:val="single"/>
          <w:lang w:eastAsia="nl-BE"/>
        </w:rPr>
        <w:t>reguliere MFC-werking</w:t>
      </w:r>
      <w:r>
        <w:rPr>
          <w:color w:val="222222"/>
          <w:szCs w:val="20"/>
          <w:lang w:eastAsia="nl-BE"/>
        </w:rPr>
        <w:t xml:space="preserve"> ziet er als volgt uit:</w:t>
      </w:r>
    </w:p>
    <w:p w:rsidR="008031D3" w:rsidRDefault="008031D3" w:rsidP="008031D3">
      <w:pPr>
        <w:pStyle w:val="Default"/>
      </w:pPr>
    </w:p>
    <w:p w:rsidR="008031D3" w:rsidRDefault="008031D3" w:rsidP="008031D3">
      <w:pPr>
        <w:pStyle w:val="Default"/>
        <w:numPr>
          <w:ilvl w:val="0"/>
          <w:numId w:val="16"/>
        </w:numPr>
        <w:rPr>
          <w:sz w:val="20"/>
          <w:szCs w:val="20"/>
        </w:rPr>
      </w:pPr>
      <w:r>
        <w:rPr>
          <w:sz w:val="20"/>
          <w:szCs w:val="20"/>
        </w:rPr>
        <w:t xml:space="preserve">Schoolaanvullende en/of </w:t>
      </w:r>
      <w:proofErr w:type="spellStart"/>
      <w:r>
        <w:rPr>
          <w:sz w:val="20"/>
          <w:szCs w:val="20"/>
        </w:rPr>
        <w:t>schoolvervangende</w:t>
      </w:r>
      <w:proofErr w:type="spellEnd"/>
      <w:r>
        <w:rPr>
          <w:sz w:val="20"/>
          <w:szCs w:val="20"/>
        </w:rPr>
        <w:t xml:space="preserve"> dagopvang voor minderjarigen met een handicap (hoge frequentie) </w:t>
      </w:r>
    </w:p>
    <w:p w:rsidR="008031D3" w:rsidRDefault="008031D3" w:rsidP="008031D3">
      <w:pPr>
        <w:pStyle w:val="Default"/>
        <w:numPr>
          <w:ilvl w:val="0"/>
          <w:numId w:val="16"/>
        </w:numPr>
        <w:spacing w:after="48"/>
        <w:rPr>
          <w:color w:val="auto"/>
          <w:sz w:val="20"/>
          <w:szCs w:val="20"/>
        </w:rPr>
      </w:pPr>
      <w:r>
        <w:rPr>
          <w:color w:val="auto"/>
          <w:sz w:val="20"/>
          <w:szCs w:val="20"/>
        </w:rPr>
        <w:t>Behandeling voor minderjarigen met een handicap (middenfrequentie/hoge frequentie</w:t>
      </w:r>
      <w:r>
        <w:rPr>
          <w:color w:val="auto"/>
          <w:sz w:val="13"/>
          <w:szCs w:val="13"/>
        </w:rPr>
        <w:t>1</w:t>
      </w:r>
      <w:r>
        <w:rPr>
          <w:color w:val="auto"/>
          <w:sz w:val="20"/>
          <w:szCs w:val="20"/>
        </w:rPr>
        <w:t xml:space="preserve">) </w:t>
      </w:r>
    </w:p>
    <w:p w:rsidR="008031D3" w:rsidRDefault="008031D3" w:rsidP="008031D3">
      <w:pPr>
        <w:pStyle w:val="Default"/>
        <w:numPr>
          <w:ilvl w:val="0"/>
          <w:numId w:val="16"/>
        </w:numPr>
        <w:spacing w:after="48"/>
        <w:rPr>
          <w:color w:val="auto"/>
          <w:sz w:val="20"/>
          <w:szCs w:val="20"/>
        </w:rPr>
      </w:pPr>
      <w:r>
        <w:rPr>
          <w:color w:val="auto"/>
          <w:sz w:val="20"/>
          <w:szCs w:val="20"/>
        </w:rPr>
        <w:t>Training voor minderjarigen met een handicap (middenfrequentie/hoge frequentie)</w:t>
      </w:r>
    </w:p>
    <w:p w:rsidR="008031D3" w:rsidRDefault="008031D3" w:rsidP="008031D3">
      <w:pPr>
        <w:pStyle w:val="Default"/>
        <w:numPr>
          <w:ilvl w:val="0"/>
          <w:numId w:val="16"/>
        </w:numPr>
        <w:spacing w:after="48"/>
        <w:rPr>
          <w:color w:val="auto"/>
          <w:sz w:val="20"/>
          <w:szCs w:val="20"/>
        </w:rPr>
      </w:pPr>
      <w:r>
        <w:rPr>
          <w:color w:val="auto"/>
          <w:sz w:val="20"/>
          <w:szCs w:val="20"/>
        </w:rPr>
        <w:t xml:space="preserve">Mobiele/ambulante begeleiding voor minderjarigen met een handicap (hoge frequentie) </w:t>
      </w:r>
    </w:p>
    <w:p w:rsidR="008031D3" w:rsidRDefault="008031D3" w:rsidP="008031D3">
      <w:pPr>
        <w:pStyle w:val="Default"/>
        <w:numPr>
          <w:ilvl w:val="0"/>
          <w:numId w:val="16"/>
        </w:numPr>
        <w:spacing w:after="48"/>
        <w:rPr>
          <w:color w:val="auto"/>
          <w:sz w:val="20"/>
          <w:szCs w:val="20"/>
        </w:rPr>
      </w:pPr>
      <w:r>
        <w:rPr>
          <w:color w:val="auto"/>
          <w:sz w:val="20"/>
          <w:szCs w:val="20"/>
        </w:rPr>
        <w:lastRenderedPageBreak/>
        <w:t xml:space="preserve">Verblijf voor minderjarigen met een handicap (lage frequentie) </w:t>
      </w:r>
    </w:p>
    <w:p w:rsidR="008031D3" w:rsidRDefault="008031D3" w:rsidP="008031D3">
      <w:pPr>
        <w:pStyle w:val="Default"/>
        <w:numPr>
          <w:ilvl w:val="0"/>
          <w:numId w:val="16"/>
        </w:numPr>
        <w:rPr>
          <w:color w:val="auto"/>
          <w:sz w:val="20"/>
          <w:szCs w:val="20"/>
        </w:rPr>
      </w:pPr>
      <w:r>
        <w:rPr>
          <w:color w:val="auto"/>
          <w:sz w:val="20"/>
          <w:szCs w:val="20"/>
        </w:rPr>
        <w:t xml:space="preserve">Verblijf voor minderjarigen met een handicap (hoge frequentie) </w:t>
      </w:r>
    </w:p>
    <w:p w:rsidR="008031D3" w:rsidRDefault="008031D3" w:rsidP="008031D3">
      <w:pPr>
        <w:shd w:val="clear" w:color="auto" w:fill="FFFFFF"/>
        <w:rPr>
          <w:color w:val="222222"/>
          <w:szCs w:val="20"/>
          <w:lang w:eastAsia="nl-BE"/>
        </w:rPr>
      </w:pPr>
    </w:p>
    <w:p w:rsidR="008031D3" w:rsidRDefault="008031D3" w:rsidP="008031D3">
      <w:pPr>
        <w:shd w:val="clear" w:color="auto" w:fill="FFFFFF"/>
        <w:rPr>
          <w:color w:val="222222"/>
          <w:szCs w:val="20"/>
          <w:lang w:val="nl-NL" w:eastAsia="nl-BE"/>
        </w:rPr>
      </w:pPr>
    </w:p>
    <w:p w:rsidR="008031D3" w:rsidRDefault="008031D3" w:rsidP="008031D3">
      <w:pPr>
        <w:shd w:val="clear" w:color="auto" w:fill="FFFFFF"/>
        <w:rPr>
          <w:color w:val="222222"/>
          <w:szCs w:val="20"/>
          <w:lang w:eastAsia="nl-BE"/>
        </w:rPr>
      </w:pPr>
      <w:r>
        <w:rPr>
          <w:color w:val="222222"/>
          <w:szCs w:val="20"/>
          <w:lang w:eastAsia="nl-BE"/>
        </w:rPr>
        <w:t xml:space="preserve">Indien mogelijk  vragen we u om een nieuwe instroommogelijkheid aan te maken tegen 6 februari. </w:t>
      </w:r>
    </w:p>
    <w:p w:rsidR="008031D3" w:rsidRDefault="008031D3" w:rsidP="008031D3">
      <w:pPr>
        <w:shd w:val="clear" w:color="auto" w:fill="FFFFFF"/>
        <w:rPr>
          <w:color w:val="222222"/>
          <w:szCs w:val="20"/>
          <w:lang w:eastAsia="nl-BE"/>
        </w:rPr>
      </w:pPr>
    </w:p>
    <w:p w:rsidR="008031D3" w:rsidRDefault="008031D3" w:rsidP="008031D3">
      <w:pPr>
        <w:shd w:val="clear" w:color="auto" w:fill="FFFFFF"/>
        <w:rPr>
          <w:color w:val="222222"/>
          <w:szCs w:val="20"/>
          <w:lang w:eastAsia="nl-BE"/>
        </w:rPr>
      </w:pPr>
      <w:r>
        <w:rPr>
          <w:color w:val="222222"/>
          <w:szCs w:val="20"/>
          <w:lang w:eastAsia="nl-BE"/>
        </w:rPr>
        <w:t>U hoeft de jongeren voor dit aanbod nog niet te verhuizen in tegenstelling tot de jongeren die een zuiver diagnostische vraag hebben (OBC). Jeugdhulpregie zal voor de jongeren die op 20 maart nog aan de oude instroommogelijkheid gekoppeld zijn, nakijken of hun indicatiestelling volstaat om te verslepen naar de instroommogelijkheid MFC. Immers, voor sommige van deze jongeren zal een herindicatiestelling noodzakelijk zijn. Enkel indien de jongere al over een indicatiestelling beschikt waarin één van bovenstaande modules verblijf al toegekend werd, kan er makkelijk verhuisd worden. Jeugdhulpregie zal tegen 30 maart deze eerste golf al overplaatsen naar de nieuwe instroommogelijkheden. Als tegen dan ook alle zuivere OBC vragen door u verplaatst zijn, schieten er op de oude lijsten enkel nog jongeren over waarvoor een herindicatie nodig is.</w:t>
      </w:r>
    </w:p>
    <w:p w:rsidR="008031D3" w:rsidRDefault="008031D3" w:rsidP="008031D3">
      <w:pPr>
        <w:shd w:val="clear" w:color="auto" w:fill="FFFFFF"/>
        <w:rPr>
          <w:color w:val="222222"/>
          <w:szCs w:val="20"/>
          <w:lang w:eastAsia="nl-BE"/>
        </w:rPr>
      </w:pPr>
    </w:p>
    <w:p w:rsidR="008031D3" w:rsidRDefault="008031D3" w:rsidP="008031D3">
      <w:pPr>
        <w:shd w:val="clear" w:color="auto" w:fill="FFFFFF"/>
        <w:rPr>
          <w:color w:val="222222"/>
          <w:szCs w:val="20"/>
          <w:lang w:eastAsia="nl-BE"/>
        </w:rPr>
      </w:pPr>
      <w:r>
        <w:rPr>
          <w:color w:val="222222"/>
          <w:szCs w:val="20"/>
          <w:lang w:eastAsia="nl-BE"/>
        </w:rPr>
        <w:t xml:space="preserve">Voor deze jongeren zal u de contactpersoon-aanmelder (MDT) moeten aanspreken om deze aanvraag in te dienen bij de toegangspoort. We vragen u om deze </w:t>
      </w:r>
      <w:proofErr w:type="spellStart"/>
      <w:r>
        <w:rPr>
          <w:color w:val="222222"/>
          <w:szCs w:val="20"/>
          <w:lang w:eastAsia="nl-BE"/>
        </w:rPr>
        <w:t>herindicaties</w:t>
      </w:r>
      <w:proofErr w:type="spellEnd"/>
      <w:r>
        <w:rPr>
          <w:color w:val="222222"/>
          <w:szCs w:val="20"/>
          <w:lang w:eastAsia="nl-BE"/>
        </w:rPr>
        <w:t xml:space="preserve"> binnen de maand aan te vragen, dus tegen </w:t>
      </w:r>
      <w:r>
        <w:rPr>
          <w:b/>
          <w:color w:val="222222"/>
          <w:szCs w:val="20"/>
          <w:lang w:eastAsia="nl-BE"/>
        </w:rPr>
        <w:t>30 april</w:t>
      </w:r>
      <w:r>
        <w:rPr>
          <w:color w:val="222222"/>
          <w:szCs w:val="20"/>
          <w:lang w:eastAsia="nl-BE"/>
        </w:rPr>
        <w:t>.</w:t>
      </w:r>
    </w:p>
    <w:p w:rsidR="008031D3" w:rsidRDefault="008031D3" w:rsidP="008031D3">
      <w:pPr>
        <w:shd w:val="clear" w:color="auto" w:fill="FFFFFF"/>
        <w:rPr>
          <w:color w:val="222222"/>
          <w:szCs w:val="20"/>
          <w:lang w:eastAsia="nl-BE"/>
        </w:rPr>
      </w:pPr>
    </w:p>
    <w:p w:rsidR="008031D3" w:rsidRDefault="008031D3" w:rsidP="008031D3">
      <w:pPr>
        <w:shd w:val="clear" w:color="auto" w:fill="FFFFFF"/>
        <w:rPr>
          <w:color w:val="222222"/>
          <w:szCs w:val="20"/>
          <w:lang w:eastAsia="nl-BE"/>
        </w:rPr>
      </w:pPr>
      <w:r>
        <w:rPr>
          <w:color w:val="222222"/>
          <w:szCs w:val="20"/>
          <w:lang w:eastAsia="nl-BE"/>
        </w:rPr>
        <w:t xml:space="preserve">Als laatste stap zullen de jeugdhulpregisseurs deze </w:t>
      </w:r>
      <w:proofErr w:type="spellStart"/>
      <w:r>
        <w:rPr>
          <w:color w:val="222222"/>
          <w:szCs w:val="20"/>
          <w:lang w:eastAsia="nl-BE"/>
        </w:rPr>
        <w:t>herindicaties</w:t>
      </w:r>
      <w:proofErr w:type="spellEnd"/>
      <w:r>
        <w:rPr>
          <w:color w:val="222222"/>
          <w:szCs w:val="20"/>
          <w:lang w:eastAsia="nl-BE"/>
        </w:rPr>
        <w:t xml:space="preserve"> op de juiste wachtlijsten plaatsen en ook de ingestroomde jongeren verhuizen naar de nieuwe instroommogelijkheden. Daarna kan u de oude instroommogelijkheden verwijderen. </w:t>
      </w:r>
    </w:p>
    <w:p w:rsidR="008031D3" w:rsidRDefault="008031D3" w:rsidP="008031D3">
      <w:pPr>
        <w:shd w:val="clear" w:color="auto" w:fill="FFFFFF"/>
        <w:rPr>
          <w:color w:val="222222"/>
          <w:szCs w:val="20"/>
          <w:lang w:eastAsia="nl-BE"/>
        </w:rPr>
      </w:pPr>
    </w:p>
    <w:p w:rsidR="008031D3" w:rsidRDefault="008031D3" w:rsidP="008031D3">
      <w:pPr>
        <w:shd w:val="clear" w:color="auto" w:fill="FFFFFF"/>
        <w:rPr>
          <w:color w:val="222222"/>
          <w:szCs w:val="20"/>
          <w:lang w:eastAsia="nl-BE"/>
        </w:rPr>
      </w:pPr>
      <w:r>
        <w:rPr>
          <w:color w:val="222222"/>
          <w:szCs w:val="20"/>
          <w:lang w:eastAsia="nl-BE"/>
        </w:rPr>
        <w:t xml:space="preserve">We streven ernaar om in </w:t>
      </w:r>
      <w:r>
        <w:rPr>
          <w:b/>
          <w:color w:val="222222"/>
          <w:szCs w:val="20"/>
          <w:lang w:eastAsia="nl-BE"/>
        </w:rPr>
        <w:t>juni</w:t>
      </w:r>
      <w:r>
        <w:rPr>
          <w:color w:val="222222"/>
          <w:szCs w:val="20"/>
          <w:lang w:eastAsia="nl-BE"/>
        </w:rPr>
        <w:t xml:space="preserve"> met de volledige transitie klaar te zijn.</w:t>
      </w:r>
    </w:p>
    <w:p w:rsidR="008031D3" w:rsidRDefault="008031D3" w:rsidP="008031D3">
      <w:pPr>
        <w:shd w:val="clear" w:color="auto" w:fill="FFFFFF"/>
        <w:rPr>
          <w:color w:val="222222"/>
          <w:szCs w:val="20"/>
          <w:lang w:eastAsia="nl-BE"/>
        </w:rPr>
      </w:pPr>
    </w:p>
    <w:p w:rsidR="008031D3" w:rsidRDefault="008031D3" w:rsidP="008031D3">
      <w:pPr>
        <w:pStyle w:val="Kop1"/>
        <w:keepLines w:val="0"/>
        <w:numPr>
          <w:ilvl w:val="0"/>
          <w:numId w:val="11"/>
        </w:numPr>
        <w:spacing w:before="480" w:after="480" w:line="260" w:lineRule="exact"/>
        <w:rPr>
          <w:color w:val="auto"/>
          <w:szCs w:val="32"/>
          <w:lang w:eastAsia="nl-NL"/>
        </w:rPr>
      </w:pPr>
      <w:r>
        <w:t>Aanpassing typemodule ‘Verblijf voor personen met een handicap (kortdurend)’</w:t>
      </w:r>
    </w:p>
    <w:p w:rsidR="008031D3" w:rsidRDefault="008031D3" w:rsidP="008031D3"/>
    <w:p w:rsidR="008031D3" w:rsidRDefault="008031D3" w:rsidP="008031D3">
      <w:pPr>
        <w:pStyle w:val="Kop2"/>
        <w:numPr>
          <w:ilvl w:val="1"/>
          <w:numId w:val="11"/>
        </w:numPr>
        <w:spacing w:line="260" w:lineRule="exact"/>
      </w:pPr>
      <w:r>
        <w:t>Probleemstelling</w:t>
      </w:r>
    </w:p>
    <w:p w:rsidR="008031D3" w:rsidRDefault="008031D3" w:rsidP="008031D3"/>
    <w:p w:rsidR="008031D3" w:rsidRDefault="008031D3" w:rsidP="008031D3">
      <w:r>
        <w:t xml:space="preserve">De opvangvormen </w:t>
      </w:r>
      <w:r>
        <w:rPr>
          <w:u w:val="single"/>
        </w:rPr>
        <w:t>logeren en kortverblijf</w:t>
      </w:r>
      <w:r>
        <w:t xml:space="preserve"> hebben bijzonder veel met elkaar gemeen. In beide gevallen gaat het om opvang voor een korte periode om bv. op kamp te gaan, tijdelijke opvang, adempauze voor de ouders, ….</w:t>
      </w:r>
    </w:p>
    <w:p w:rsidR="008031D3" w:rsidRDefault="008031D3" w:rsidP="008031D3">
      <w:r>
        <w:t xml:space="preserve">Een </w:t>
      </w:r>
      <w:proofErr w:type="spellStart"/>
      <w:r>
        <w:t>logeerdag</w:t>
      </w:r>
      <w:proofErr w:type="spellEnd"/>
      <w:r>
        <w:t> geldt voor minstens 12 uren, overnachting inbegrepen. Logeren kan ook in het weekend en tijdens de vakanties. Het maximum is vastgesteld op 30 logeerdagen per jaar.</w:t>
      </w:r>
    </w:p>
    <w:p w:rsidR="008031D3" w:rsidRDefault="008031D3" w:rsidP="008031D3">
      <w:r>
        <w:t>Iedereen die bij het VAPH ingeschreven is, kan van de mogelijkheid tot logeren gebruik maken, maar niet alle tehuizen en internaten bieden zo’n logeerfunctie. Zij die het wel doen, moeten jaarlijks een aanvraag doen om de logeerfunctie verder te zetten.</w:t>
      </w:r>
    </w:p>
    <w:p w:rsidR="008031D3" w:rsidRDefault="008031D3" w:rsidP="008031D3">
      <w:r>
        <w:t>Kortverblijf komt in de praktijk op hetzelfde neer. Ook hier gaat het om opvang voor een korte periode, zowel overdag als ’s nachts, ook in het weekend en in de vakanties. Om van de mogelijkheid tot kortverblijf gebruik te maken, moet u een ‘PEC -ticket’ hebben voor de een of andere vorm van zorg, met als minimum een ticket voor kortverblijf. Het maximum is hier vastgesteld op 92 dagen per jaar.</w:t>
      </w:r>
    </w:p>
    <w:p w:rsidR="008031D3" w:rsidRDefault="008031D3" w:rsidP="008031D3"/>
    <w:p w:rsidR="008031D3" w:rsidRDefault="008031D3" w:rsidP="008031D3">
      <w:pPr>
        <w:rPr>
          <w:color w:val="FF0000"/>
          <w:u w:val="single"/>
        </w:rPr>
      </w:pPr>
      <w:r>
        <w:t xml:space="preserve">Kortdurende </w:t>
      </w:r>
      <w:r>
        <w:rPr>
          <w:u w:val="single"/>
        </w:rPr>
        <w:t xml:space="preserve">begeleidingsovereenkomsten </w:t>
      </w:r>
    </w:p>
    <w:p w:rsidR="008031D3" w:rsidRDefault="008031D3" w:rsidP="008031D3">
      <w:r>
        <w:t xml:space="preserve">Binnen alle zorgvormen- met uitzondering van thuisbegeleiding en begeleid wonen-  kan men een kortdurende begeleidingsovereenkomst (minder dan 70 kalenderdagen op jaarbasis, niet noodzakelijk aaneensluitend en niet noodzakelijk binnen één voorziening) registreren.  Men dient geen zorgvraag te registreren en ook de prioriteitenregels zijn niet van toepassing. Wel dient de cliënt te beschikken over een passende </w:t>
      </w:r>
      <w:proofErr w:type="spellStart"/>
      <w:r>
        <w:t>tenlasteneming</w:t>
      </w:r>
      <w:proofErr w:type="spellEnd"/>
      <w:r>
        <w:t xml:space="preserve"> om subsidiabel te zijn. Op deze manier kan een voorziening </w:t>
      </w:r>
      <w:proofErr w:type="spellStart"/>
      <w:r>
        <w:t>bvb</w:t>
      </w:r>
      <w:proofErr w:type="spellEnd"/>
      <w:r>
        <w:t xml:space="preserve">. </w:t>
      </w:r>
      <w:r>
        <w:lastRenderedPageBreak/>
        <w:t xml:space="preserve">een cliënt inschrijven voor kennismakingsstage, weekend of vakantieopvang, kamp,… zonder dat hiervoor een CRZ-vraag geregistreerd dient te worden. </w:t>
      </w:r>
    </w:p>
    <w:p w:rsidR="008031D3" w:rsidRDefault="008031D3" w:rsidP="008031D3">
      <w:pPr>
        <w:rPr>
          <w:rFonts w:ascii="Verdana" w:hAnsi="Verdana"/>
          <w:color w:val="000000"/>
          <w:sz w:val="18"/>
          <w:szCs w:val="18"/>
          <w:lang w:eastAsia="nl-BE"/>
        </w:rPr>
      </w:pPr>
      <w:r>
        <w:rPr>
          <w:rFonts w:ascii="Verdana" w:hAnsi="Verdana"/>
          <w:color w:val="000000"/>
          <w:sz w:val="18"/>
          <w:szCs w:val="18"/>
          <w:lang w:eastAsia="nl-BE"/>
        </w:rPr>
        <w:t xml:space="preserve"> </w:t>
      </w:r>
    </w:p>
    <w:p w:rsidR="008031D3" w:rsidRDefault="008031D3" w:rsidP="008031D3">
      <w:pPr>
        <w:rPr>
          <w:szCs w:val="24"/>
          <w:lang w:val="nl-NL" w:eastAsia="nl-NL"/>
        </w:rPr>
      </w:pPr>
    </w:p>
    <w:p w:rsidR="008031D3" w:rsidRDefault="008031D3" w:rsidP="008031D3">
      <w:r>
        <w:t xml:space="preserve">In het verleden werd dit aanbod door sommige organisaties cumulatief ingezet. Een minderjarige kon dus achtereenvolgens gaan logeren, op kortverblijf gaan en dan een kortdurende begeleidingsovereenkomst starten. Op deze manier werd bijna een voltijds verblijf gerealiseerd zonder hiervoor zorgregie te passeren. </w:t>
      </w:r>
    </w:p>
    <w:p w:rsidR="008031D3" w:rsidRDefault="008031D3" w:rsidP="008031D3">
      <w:pPr>
        <w:pStyle w:val="Kop2"/>
        <w:numPr>
          <w:ilvl w:val="0"/>
          <w:numId w:val="0"/>
        </w:numPr>
        <w:tabs>
          <w:tab w:val="left" w:pos="708"/>
        </w:tabs>
        <w:ind w:left="454" w:hanging="454"/>
      </w:pPr>
      <w:r>
        <w:t>Aanpassing</w:t>
      </w:r>
    </w:p>
    <w:p w:rsidR="00831FE8" w:rsidRPr="00831FE8" w:rsidRDefault="00831FE8" w:rsidP="00831FE8">
      <w:pPr>
        <w:rPr>
          <w:lang w:val="nl-NL"/>
        </w:rPr>
      </w:pPr>
    </w:p>
    <w:p w:rsidR="008031D3" w:rsidRDefault="008031D3" w:rsidP="008031D3">
      <w:r>
        <w:t xml:space="preserve">Deze drie zorgvormen worden gecombineerd in de typemodule ‘Verblijf voor minderjarigen met een handicap (kortdurend)’ die  </w:t>
      </w:r>
      <w:r>
        <w:rPr>
          <w:u w:val="single"/>
        </w:rPr>
        <w:t>rechtstreeks toegankelijk</w:t>
      </w:r>
      <w:r>
        <w:t xml:space="preserve"> wordt (er is dus geen jeugdhulpbeslissing nodig). Wel dient er een indicatiestellingsverslag te zijn met minstens één niet-rechtstreeks toegankelijke typemodule handicap. Het gaat immers over een aanbod specifiek voor mensen met een handicap. </w:t>
      </w:r>
    </w:p>
    <w:p w:rsidR="008031D3" w:rsidRDefault="008031D3" w:rsidP="008031D3"/>
    <w:p w:rsidR="008031D3" w:rsidRDefault="008031D3" w:rsidP="008031D3">
      <w:pPr>
        <w:pStyle w:val="Lijstalinea"/>
        <w:numPr>
          <w:ilvl w:val="0"/>
          <w:numId w:val="17"/>
        </w:numPr>
        <w:rPr>
          <w:color w:val="FF0000"/>
        </w:rPr>
      </w:pPr>
      <w:r>
        <w:rPr>
          <w:u w:val="single"/>
        </w:rPr>
        <w:t xml:space="preserve">Opgelet: </w:t>
      </w:r>
      <w:r>
        <w:t xml:space="preserve"> dit geldt niet voor de typemodule IMB. Zij kunnen gebruik maken van het reguliere RTH-aanbod vanuit het VAPH. </w:t>
      </w:r>
    </w:p>
    <w:p w:rsidR="008031D3" w:rsidRDefault="008031D3" w:rsidP="008031D3"/>
    <w:p w:rsidR="008031D3" w:rsidRDefault="008031D3" w:rsidP="008031D3">
      <w:r>
        <w:t xml:space="preserve">Het aanbod valt dus </w:t>
      </w:r>
      <w:r>
        <w:rPr>
          <w:u w:val="single"/>
        </w:rPr>
        <w:t>niet</w:t>
      </w:r>
      <w:r>
        <w:t xml:space="preserve"> onder het reguliere rechtstreeks toegankelijke aanbod van het VAPH (zoals geformuleerd in het BVR rechtstreeks toegankelijke hulp van 22/2/2013) waar een indicatiestellingsverslag noch een jeugdhulpbeslissing voor is vereist. Het is dus </w:t>
      </w:r>
      <w:r>
        <w:rPr>
          <w:u w:val="single"/>
        </w:rPr>
        <w:t>wel</w:t>
      </w:r>
      <w:r>
        <w:t xml:space="preserve"> combineerbaar met niet-rechtstreeks toegankelijke hulp. </w:t>
      </w:r>
    </w:p>
    <w:p w:rsidR="008031D3" w:rsidRDefault="008031D3" w:rsidP="008031D3"/>
    <w:p w:rsidR="008031D3" w:rsidRDefault="008031D3" w:rsidP="008031D3">
      <w:r>
        <w:t>Het aanbod kan eenmaal per jaar worden ingezet (hetzij gespreid, hetzij in één keer) en kan niet gecombineerd worden met actieve jeugdhulpbeslissingen binnen dezelfde voorziening van andere vormen van verblijf en kan niet gecombineerd worden met een andere vorm van verblijf in dezelfde voorziening.</w:t>
      </w:r>
    </w:p>
    <w:p w:rsidR="008031D3" w:rsidRDefault="008031D3" w:rsidP="008031D3">
      <w:r>
        <w:t xml:space="preserve">Dit aanbod </w:t>
      </w:r>
      <w:r>
        <w:rPr>
          <w:u w:val="single"/>
        </w:rPr>
        <w:t>mag dus niet gecombineerd worden</w:t>
      </w:r>
      <w:r>
        <w:t xml:space="preserve"> met een jeugdhulpbeslissing in dezelfde organisatie van onderstaande vormen van verblijf om dit aanbod voldoende beperkt te houden:</w:t>
      </w:r>
    </w:p>
    <w:p w:rsidR="008031D3" w:rsidRDefault="008031D3" w:rsidP="008031D3"/>
    <w:p w:rsidR="008031D3" w:rsidRDefault="008031D3" w:rsidP="008031D3">
      <w:pPr>
        <w:numPr>
          <w:ilvl w:val="1"/>
          <w:numId w:val="18"/>
        </w:numPr>
      </w:pPr>
      <w:r>
        <w:t xml:space="preserve">Verblijf voor minderjarigen met een handicap (lage frequentie) </w:t>
      </w:r>
    </w:p>
    <w:p w:rsidR="008031D3" w:rsidRDefault="008031D3" w:rsidP="008031D3">
      <w:pPr>
        <w:numPr>
          <w:ilvl w:val="1"/>
          <w:numId w:val="18"/>
        </w:numPr>
      </w:pPr>
      <w:r>
        <w:t xml:space="preserve">Verblijf voor minderjarigen met een handicap (hoge frequentie) </w:t>
      </w:r>
    </w:p>
    <w:p w:rsidR="008031D3" w:rsidRDefault="008031D3" w:rsidP="008031D3">
      <w:pPr>
        <w:numPr>
          <w:ilvl w:val="1"/>
          <w:numId w:val="18"/>
        </w:numPr>
      </w:pPr>
      <w:r>
        <w:t>Verblijf voor minderjarigen met een GES+- problematiek</w:t>
      </w:r>
    </w:p>
    <w:p w:rsidR="008031D3" w:rsidRDefault="008031D3" w:rsidP="008031D3">
      <w:pPr>
        <w:numPr>
          <w:ilvl w:val="1"/>
          <w:numId w:val="18"/>
        </w:numPr>
      </w:pPr>
      <w:r>
        <w:t>Verblijf voor minderjarigen met een (vermoeden van) handicap (OBC)</w:t>
      </w:r>
    </w:p>
    <w:p w:rsidR="00831FE8" w:rsidRDefault="00831FE8" w:rsidP="00831FE8">
      <w:pPr>
        <w:ind w:left="1440"/>
      </w:pPr>
    </w:p>
    <w:p w:rsidR="008031D3" w:rsidRDefault="008031D3" w:rsidP="008031D3"/>
    <w:p w:rsidR="008031D3" w:rsidRDefault="008031D3" w:rsidP="008031D3">
      <w:pPr>
        <w:rPr>
          <w:lang w:val="nl-NL"/>
        </w:rPr>
      </w:pPr>
      <w:r>
        <w:t xml:space="preserve">Elk MFC kan deze typemodule aanbieden. U dient dus </w:t>
      </w:r>
      <w:r>
        <w:rPr>
          <w:u w:val="single"/>
        </w:rPr>
        <w:t>geen voorafgaande erkenning voor kortverblijf te hebben of logeerdagen aan te vragen</w:t>
      </w:r>
      <w:r>
        <w:t xml:space="preserve">. </w:t>
      </w:r>
    </w:p>
    <w:p w:rsidR="008031D3" w:rsidRDefault="008031D3" w:rsidP="008031D3"/>
    <w:p w:rsidR="008031D3" w:rsidRDefault="008031D3" w:rsidP="008031D3">
      <w:pPr>
        <w:pStyle w:val="Default"/>
        <w:rPr>
          <w:sz w:val="20"/>
          <w:szCs w:val="20"/>
        </w:rPr>
      </w:pPr>
      <w:r>
        <w:rPr>
          <w:sz w:val="20"/>
          <w:szCs w:val="20"/>
        </w:rPr>
        <w:t>Het VAPH werkt aan een nieuwe databankstructuur. Bedoeling is dat in de eerste plaats alle voorzieningen binnen een zorgvernieuwingsproject MFC</w:t>
      </w:r>
      <w:r>
        <w:rPr>
          <w:sz w:val="13"/>
          <w:szCs w:val="13"/>
        </w:rPr>
        <w:t xml:space="preserve"> </w:t>
      </w:r>
      <w:r>
        <w:rPr>
          <w:sz w:val="20"/>
          <w:szCs w:val="20"/>
        </w:rPr>
        <w:t>of FAM</w:t>
      </w:r>
      <w:r>
        <w:rPr>
          <w:sz w:val="13"/>
          <w:szCs w:val="13"/>
        </w:rPr>
        <w:t xml:space="preserve">  </w:t>
      </w:r>
      <w:r>
        <w:rPr>
          <w:sz w:val="20"/>
          <w:szCs w:val="20"/>
        </w:rPr>
        <w:t xml:space="preserve">hierin kunnen registreren. In afwachting van deze nieuwe databankstructuur wordt er nog steeds gewerkt met de klassieke zorgvormen. </w:t>
      </w:r>
    </w:p>
    <w:p w:rsidR="008031D3" w:rsidRDefault="008031D3" w:rsidP="008031D3">
      <w:pPr>
        <w:pStyle w:val="Default"/>
        <w:rPr>
          <w:sz w:val="20"/>
          <w:szCs w:val="20"/>
        </w:rPr>
      </w:pPr>
      <w:r>
        <w:rPr>
          <w:sz w:val="20"/>
          <w:szCs w:val="20"/>
        </w:rPr>
        <w:t xml:space="preserve">Om dit aanbod toch mogelijk te maken registreert u in afwachting van de nodige ICT-vernieuwingen via de knop ‘begeleidingsovereenkomst kortdurende’ in de </w:t>
      </w:r>
      <w:proofErr w:type="spellStart"/>
      <w:r>
        <w:rPr>
          <w:sz w:val="20"/>
          <w:szCs w:val="20"/>
        </w:rPr>
        <w:t>Clientenregistratie</w:t>
      </w:r>
      <w:proofErr w:type="spellEnd"/>
      <w:r>
        <w:rPr>
          <w:sz w:val="20"/>
          <w:szCs w:val="20"/>
        </w:rPr>
        <w:t xml:space="preserve">. </w:t>
      </w:r>
    </w:p>
    <w:p w:rsidR="008031D3" w:rsidRDefault="008031D3" w:rsidP="008031D3">
      <w:pPr>
        <w:pStyle w:val="Default"/>
        <w:rPr>
          <w:sz w:val="20"/>
          <w:szCs w:val="20"/>
        </w:rPr>
      </w:pPr>
    </w:p>
    <w:p w:rsidR="008031D3" w:rsidRDefault="008031D3" w:rsidP="008031D3">
      <w:pPr>
        <w:rPr>
          <w:szCs w:val="24"/>
        </w:rPr>
      </w:pPr>
      <w:r>
        <w:t xml:space="preserve">U krijgt binnenkort communicatie welke begeleidingsovereenkomst kan aangemaakt worden in kader van de output MFC. Voor deze functie is alvast geen apart gewicht voorzien.  </w:t>
      </w:r>
    </w:p>
    <w:p w:rsidR="008031D3" w:rsidRDefault="008031D3" w:rsidP="008031D3"/>
    <w:p w:rsidR="008031D3" w:rsidRDefault="008031D3" w:rsidP="008031D3">
      <w:pPr>
        <w:pStyle w:val="Kop2"/>
        <w:numPr>
          <w:ilvl w:val="1"/>
          <w:numId w:val="11"/>
        </w:numPr>
        <w:spacing w:line="260" w:lineRule="exact"/>
      </w:pPr>
      <w:r>
        <w:t>Gevolgen voor moduledatabank en INSISTO?</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Indien u deze ondersteuning wenst aan te bieden, dient u opnieuw te moduleren op de typemodule ‘Verblijf voor minderjarigen met een handicap (kortdurend)’. Let op: u dient de </w:t>
      </w:r>
      <w:r>
        <w:rPr>
          <w:rFonts w:ascii="Trebuchet MS" w:hAnsi="Trebuchet MS"/>
          <w:sz w:val="20"/>
          <w:lang w:eastAsia="nl-NL"/>
        </w:rPr>
        <w:lastRenderedPageBreak/>
        <w:t>typemodule te selecteren die ‘rechtstreeks toegankelijk is’. U moet dit ook doen als u voordien gemoduleerd had op de niet-rechtstreeks toegankelijke variant. De wijze waarop dit moet gebeuren, wordt getoond in het instructiefilmpje voor modulering: http://youtu.be/BSvLOqjAOhU</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Indicatiestellingsvoorstellen van </w:t>
      </w:r>
      <w:proofErr w:type="spellStart"/>
      <w:r>
        <w:rPr>
          <w:rFonts w:ascii="Trebuchet MS" w:hAnsi="Trebuchet MS"/>
          <w:sz w:val="20"/>
          <w:lang w:eastAsia="nl-NL"/>
        </w:rPr>
        <w:t>MDT’s</w:t>
      </w:r>
      <w:proofErr w:type="spellEnd"/>
      <w:r>
        <w:rPr>
          <w:rFonts w:ascii="Trebuchet MS" w:hAnsi="Trebuchet MS"/>
          <w:sz w:val="20"/>
          <w:lang w:eastAsia="nl-NL"/>
        </w:rPr>
        <w:t xml:space="preserve"> en indicatiestellingsverslagen van de teams indicatiestelling en de sociale diensten bij de jeugdrechtbank die na 15 februari worden ingediend/goedgekeurd bevatten niet langer de oude typemodule. </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Jeugdhulpregie regisseert vanaf 15 februari niet langer de oude typemodule. </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U controleert tussen 15 februari en 1 mei in overleg met jeugdhulpregie uw instroommogelijkheden om na te gaan of er een aparte instroommogelijkheid is aangemaakt waaraan enkel een module gekoppeld is die afgeleid is van de typemodule ‘verblijf voor minderjarigen met een handicap [kortdurend]’. Voor de minderjarigen die naar deze instroommogelijkheden versleept zijn, moet u nagaan of ze aan een andere instroommogelijkheid voor niet-rechtstreeks toegankelijke jeugdhulp gekoppeld moeten worden. U drukt in INSISTO in de lijst ‘ingestroomd’ van deze instroommogelijkheid op het kruisje achter de naam van de jongeren. Dan kan u een andere instroommogelijkheid kiezen. Jongeren die in de rechtstreeks toegankelijke werking worden opgenomen beëindigd u met dezelfde knop.</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Op 1 mei sluiten we de niet-rechtstreeks toegankelijke variant van kortdurend verblijf af.  Deze actie verwijderd automatisch alle respectievelijke modules in INSISTO. Daarom is het uitermate belangrijk dat u voor de minderjarigen op uw wachtlijst nakijkt of ze aan een andere instroommogelijkheid gekoppeld kunnen worden of beëindigd kunnen worden. </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Als u een aparte instroommogelijkheid had aangemaakt voor kortdurend verblijf, kan u deze vanaf 1 mei verwijderen in de moduledatabank. </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Voor minderjarigen die deze typemodules in het verleden hebben gekregen, in combinatie met andere typemodules, verandert er niets. Vanaf 1 mei zal deze typemodule niet meer </w:t>
      </w:r>
      <w:proofErr w:type="spellStart"/>
      <w:r>
        <w:rPr>
          <w:rFonts w:ascii="Trebuchet MS" w:hAnsi="Trebuchet MS"/>
          <w:sz w:val="20"/>
          <w:lang w:eastAsia="nl-NL"/>
        </w:rPr>
        <w:t>regisseerbaar</w:t>
      </w:r>
      <w:proofErr w:type="spellEnd"/>
      <w:r>
        <w:rPr>
          <w:rFonts w:ascii="Trebuchet MS" w:hAnsi="Trebuchet MS"/>
          <w:sz w:val="20"/>
          <w:lang w:eastAsia="nl-NL"/>
        </w:rPr>
        <w:t xml:space="preserve"> zijn en dus ook niet langer voorkomen in de jeugdhulpbeslissing. De jeugdhulpregisseurs zullen dan beetje bij beetje de niet-regisseerbare modules (in het rood in INSISTO) verwijderen.</w:t>
      </w:r>
    </w:p>
    <w:p w:rsidR="008031D3" w:rsidRDefault="008031D3" w:rsidP="008031D3">
      <w:pPr>
        <w:rPr>
          <w:lang w:eastAsia="nl-NL"/>
        </w:rPr>
      </w:pPr>
    </w:p>
    <w:p w:rsidR="008031D3" w:rsidRDefault="008031D3" w:rsidP="008031D3">
      <w:pPr>
        <w:pStyle w:val="Kop1"/>
        <w:keepLines w:val="0"/>
        <w:numPr>
          <w:ilvl w:val="0"/>
          <w:numId w:val="11"/>
        </w:numPr>
        <w:spacing w:before="480" w:after="480" w:line="260" w:lineRule="exact"/>
        <w:rPr>
          <w:lang w:val="nl-BE"/>
        </w:rPr>
      </w:pPr>
      <w:r>
        <w:rPr>
          <w:lang w:val="nl-BE"/>
        </w:rPr>
        <w:t>Schrappen typemodule ‘Weekend- en vakantieopvang overdag voor personen met een handicap’</w:t>
      </w:r>
    </w:p>
    <w:p w:rsidR="008031D3" w:rsidRDefault="008031D3" w:rsidP="008031D3">
      <w:pPr>
        <w:pStyle w:val="Kop2"/>
        <w:numPr>
          <w:ilvl w:val="1"/>
          <w:numId w:val="11"/>
        </w:numPr>
        <w:spacing w:line="260" w:lineRule="exact"/>
        <w:rPr>
          <w:lang w:val="nl-BE"/>
        </w:rPr>
      </w:pPr>
      <w:r>
        <w:rPr>
          <w:lang w:val="nl-BE"/>
        </w:rPr>
        <w:t>Probleemstelling</w:t>
      </w:r>
    </w:p>
    <w:p w:rsidR="008031D3" w:rsidRDefault="008031D3" w:rsidP="008031D3"/>
    <w:p w:rsidR="008031D3" w:rsidRDefault="008031D3" w:rsidP="008031D3">
      <w:r>
        <w:t xml:space="preserve">Deze typemodule is er gekomen op vraag van de sector om het aanbod dat sommige semi-internaten en </w:t>
      </w:r>
      <w:proofErr w:type="spellStart"/>
      <w:r>
        <w:t>OBC’s</w:t>
      </w:r>
      <w:proofErr w:type="spellEnd"/>
      <w:r>
        <w:t xml:space="preserve"> doen tijdens weekends en vakantie zichtbaar te maken. Deze typemodule is echter in de praktijk niet werkbaar om te gebruiken voor toewijzing. Een jongere met enkel een ticket schoolaanvullende/</w:t>
      </w:r>
      <w:proofErr w:type="spellStart"/>
      <w:r>
        <w:t>schoolvervangende</w:t>
      </w:r>
      <w:proofErr w:type="spellEnd"/>
      <w:r>
        <w:t xml:space="preserve"> dagopvang voor minderjarigen met een handicap’ zou volgens deze logica een jeugdhulpbeslissing nodig hebben telkens men wou gebruik maken van weekendopvang of opvang tijdens de vakanties. Dit is zowel voor de </w:t>
      </w:r>
      <w:proofErr w:type="spellStart"/>
      <w:r>
        <w:t>MDT’s</w:t>
      </w:r>
      <w:proofErr w:type="spellEnd"/>
      <w:r>
        <w:t>, de toegangspoort, de voorziening als de gebruiker een zeer omslachtige procedure.</w:t>
      </w:r>
    </w:p>
    <w:p w:rsidR="008031D3" w:rsidRDefault="008031D3" w:rsidP="008031D3">
      <w:r>
        <w:t>Door de transitie van de klassieke zorgvormen naar een MFC-werking is dergelijke typemodule ook niet meer nodig daar men hier het aanbod zeer flexibel kan inzetten.</w:t>
      </w:r>
    </w:p>
    <w:p w:rsidR="008031D3" w:rsidRDefault="008031D3" w:rsidP="008031D3">
      <w:r>
        <w:t>Voor de jongeren die enkel gebruik maken van occasionele opvang tijdens de weekends of vakantie kan desgewenst ook de typemodule ‘Verblijf voor personen met een handicap (kortdurend)’ worden ingezet.</w:t>
      </w:r>
    </w:p>
    <w:p w:rsidR="008031D3" w:rsidRDefault="008031D3" w:rsidP="008031D3"/>
    <w:p w:rsidR="00831FE8" w:rsidRDefault="00831FE8" w:rsidP="008031D3"/>
    <w:p w:rsidR="00831FE8" w:rsidRDefault="00831FE8" w:rsidP="008031D3"/>
    <w:p w:rsidR="008031D3" w:rsidRDefault="008031D3" w:rsidP="008031D3">
      <w:pPr>
        <w:pStyle w:val="Kop2"/>
        <w:numPr>
          <w:ilvl w:val="1"/>
          <w:numId w:val="11"/>
        </w:numPr>
        <w:spacing w:line="260" w:lineRule="exact"/>
        <w:rPr>
          <w:lang w:val="nl-BE"/>
        </w:rPr>
      </w:pPr>
      <w:r>
        <w:rPr>
          <w:lang w:val="nl-BE"/>
        </w:rPr>
        <w:lastRenderedPageBreak/>
        <w:t>Oplossing</w:t>
      </w:r>
    </w:p>
    <w:p w:rsidR="008031D3" w:rsidRDefault="008031D3" w:rsidP="008031D3"/>
    <w:p w:rsidR="008031D3" w:rsidRDefault="008031D3" w:rsidP="008031D3">
      <w:r>
        <w:t xml:space="preserve">Deze typemodule wordt geschrapt. Indien gewenst kan de voorziening op niveau van de instroommogelijkheden (in het vrij tekstveld) weergeven wat de mogelijkheden zijn voor weekend- en vakantieopvang overdag.   </w:t>
      </w:r>
    </w:p>
    <w:p w:rsidR="008031D3" w:rsidRDefault="008031D3" w:rsidP="008031D3"/>
    <w:p w:rsidR="008031D3" w:rsidRDefault="008031D3" w:rsidP="008031D3">
      <w:pPr>
        <w:pStyle w:val="Kop2"/>
        <w:numPr>
          <w:ilvl w:val="1"/>
          <w:numId w:val="11"/>
        </w:numPr>
        <w:spacing w:line="260" w:lineRule="exact"/>
      </w:pPr>
      <w:r>
        <w:t>Gevolgen voor de moduledatabank en INSISTO</w:t>
      </w:r>
    </w:p>
    <w:p w:rsidR="00831FE8" w:rsidRPr="00831FE8" w:rsidRDefault="00831FE8" w:rsidP="00831FE8">
      <w:pPr>
        <w:rPr>
          <w:lang w:val="nl-NL"/>
        </w:rPr>
      </w:pP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Indicatiestellingsvoorstellen van </w:t>
      </w:r>
      <w:proofErr w:type="spellStart"/>
      <w:r>
        <w:rPr>
          <w:rFonts w:ascii="Trebuchet MS" w:hAnsi="Trebuchet MS"/>
          <w:sz w:val="20"/>
          <w:lang w:eastAsia="nl-NL"/>
        </w:rPr>
        <w:t>MDT’s</w:t>
      </w:r>
      <w:proofErr w:type="spellEnd"/>
      <w:r>
        <w:rPr>
          <w:rFonts w:ascii="Trebuchet MS" w:hAnsi="Trebuchet MS"/>
          <w:sz w:val="20"/>
          <w:lang w:eastAsia="nl-NL"/>
        </w:rPr>
        <w:t xml:space="preserve"> en indicatiestellingsverslagen van de teams indicatiestelling en de sociale diensten bij de jeugdrechtbank die na 15 februari worden ingediend/goedgekeurd bevatten niet langer de oude typemodule. </w:t>
      </w:r>
    </w:p>
    <w:p w:rsidR="00831FE8" w:rsidRPr="00831FE8" w:rsidRDefault="008031D3" w:rsidP="00831FE8">
      <w:pPr>
        <w:pStyle w:val="Normaalweb"/>
        <w:numPr>
          <w:ilvl w:val="0"/>
          <w:numId w:val="19"/>
        </w:numPr>
        <w:shd w:val="clear" w:color="auto" w:fill="FFFFFF"/>
        <w:rPr>
          <w:rFonts w:ascii="Trebuchet MS" w:hAnsi="Trebuchet MS"/>
          <w:sz w:val="20"/>
          <w:lang w:eastAsia="nl-NL"/>
        </w:rPr>
      </w:pPr>
      <w:r w:rsidRPr="00831FE8">
        <w:rPr>
          <w:rFonts w:ascii="Trebuchet MS" w:hAnsi="Trebuchet MS"/>
          <w:sz w:val="20"/>
          <w:lang w:eastAsia="nl-NL"/>
        </w:rPr>
        <w:t xml:space="preserve">Jeugdhulpregie regisseert vanaf 15 februari niet langer de oude typemodule. </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U controleert tussen 15 februari en 1 mei in overleg met jeugdhulpregie uw instroommogelijkheden om na te gaan of er een aparte instroommogelijkheid is aangemaakt waaraan enkel een module gekoppeld is die afgeleid is van de typemodule ‘Weekend- en vakantieopvang overdag voor personen met een handicap’. Voor de minderjarigen die naar deze instroommogelijkheden versleept zijn, moet u nagaan of ze aan een andere instroommogelijkheid voor niet-rechtstreeks toegankelijke jeugdhulp gekoppeld moeten worden., U drukt in INSISTO in de lijst ‘ingestroomd’ van deze instroommogelijkheid op het kruisje achter de naam van de jongeren. Dan kan u een andere instroommogelijkheid kiezen. Jongeren die in de rechtstreeks toegankelijke werking worden opgenomen beëindigd u met dezelfde knop.</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Op 1 mei sluiten we de niet-rechtstreeks toegankelijke variant van weekendopvang af.  Deze actie verwijderd automatisch alle respectievelijke modules in INSISTO. Daarom is het uitermate belangrijk dat u voor de minderjarigen op uw wachtlijst nakijkt of ze aan een andere instroommogelijkheid gekoppeld kunnen worden of beëindigd kunnen worden. </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Als u een aparte instroommogelijkheid had aangemaakt voor kortdurend verblijf, kan u deze vanaf 1 mei verwijderen in de moduledatabank. </w:t>
      </w:r>
    </w:p>
    <w:p w:rsidR="008031D3" w:rsidRDefault="008031D3" w:rsidP="008031D3">
      <w:pPr>
        <w:pStyle w:val="Normaalweb"/>
        <w:numPr>
          <w:ilvl w:val="0"/>
          <w:numId w:val="19"/>
        </w:numPr>
        <w:shd w:val="clear" w:color="auto" w:fill="FFFFFF"/>
        <w:rPr>
          <w:rFonts w:ascii="Trebuchet MS" w:hAnsi="Trebuchet MS"/>
          <w:sz w:val="20"/>
          <w:lang w:eastAsia="nl-NL"/>
        </w:rPr>
      </w:pPr>
      <w:r>
        <w:rPr>
          <w:rFonts w:ascii="Trebuchet MS" w:hAnsi="Trebuchet MS"/>
          <w:sz w:val="20"/>
          <w:lang w:eastAsia="nl-NL"/>
        </w:rPr>
        <w:t xml:space="preserve">Voor minderjarigen die deze typemodules in het verleden hebben gekregen, in combinatie met andere typemodules, verandert er niets. Vanaf 1 mei zal deze typemodule niet meer </w:t>
      </w:r>
      <w:proofErr w:type="spellStart"/>
      <w:r>
        <w:rPr>
          <w:rFonts w:ascii="Trebuchet MS" w:hAnsi="Trebuchet MS"/>
          <w:sz w:val="20"/>
          <w:lang w:eastAsia="nl-NL"/>
        </w:rPr>
        <w:t>regisseerbaar</w:t>
      </w:r>
      <w:proofErr w:type="spellEnd"/>
      <w:r>
        <w:rPr>
          <w:rFonts w:ascii="Trebuchet MS" w:hAnsi="Trebuchet MS"/>
          <w:sz w:val="20"/>
          <w:lang w:eastAsia="nl-NL"/>
        </w:rPr>
        <w:t xml:space="preserve"> zijn en dus ook niet langer voorkomen in de jeugdhulpbeslissing. De jeugdhulpregisseurs zullen dan beetje bij beetje de niet-regisseerbare modules (in het rood in INSISTO) verwijderen.</w:t>
      </w:r>
    </w:p>
    <w:p w:rsidR="008031D3" w:rsidRDefault="008031D3" w:rsidP="008031D3">
      <w:pPr>
        <w:rPr>
          <w:lang w:eastAsia="nl-NL"/>
        </w:rPr>
      </w:pPr>
    </w:p>
    <w:p w:rsidR="008031D3" w:rsidRDefault="008031D3" w:rsidP="008031D3">
      <w:pPr>
        <w:pStyle w:val="Kop1"/>
        <w:keepLines w:val="0"/>
        <w:numPr>
          <w:ilvl w:val="0"/>
          <w:numId w:val="11"/>
        </w:numPr>
        <w:spacing w:before="480" w:after="480" w:line="260" w:lineRule="exact"/>
        <w:rPr>
          <w:lang w:val="nl-BE"/>
        </w:rPr>
      </w:pPr>
      <w:r>
        <w:rPr>
          <w:lang w:val="nl-BE"/>
        </w:rPr>
        <w:t>Aanpassen mobiele/ambulante begeleiding in het kader van kwetsbare jongvolwassenen (21 tem 25 jaar)</w:t>
      </w:r>
    </w:p>
    <w:p w:rsidR="008031D3" w:rsidRDefault="008031D3" w:rsidP="008031D3">
      <w:pPr>
        <w:pStyle w:val="Kop2"/>
        <w:numPr>
          <w:ilvl w:val="1"/>
          <w:numId w:val="11"/>
        </w:numPr>
        <w:spacing w:line="260" w:lineRule="exact"/>
        <w:rPr>
          <w:lang w:val="nl-BE"/>
        </w:rPr>
      </w:pPr>
      <w:r>
        <w:rPr>
          <w:lang w:val="nl-BE"/>
        </w:rPr>
        <w:t>Achtergrond</w:t>
      </w:r>
    </w:p>
    <w:p w:rsidR="00831FE8" w:rsidRPr="00831FE8" w:rsidRDefault="00831FE8" w:rsidP="00831FE8"/>
    <w:p w:rsidR="008031D3" w:rsidRDefault="008031D3" w:rsidP="008031D3">
      <w:pPr>
        <w:jc w:val="both"/>
        <w:rPr>
          <w:rFonts w:cs="Arial"/>
          <w:bCs/>
          <w:lang w:val="nl-NL"/>
        </w:rPr>
      </w:pPr>
      <w:r>
        <w:rPr>
          <w:rFonts w:cs="Arial"/>
          <w:bCs/>
        </w:rPr>
        <w:t xml:space="preserve">Het Besluit van de Vlaamse Regering van 7 september 2012 in verband met kwetsbare jongvolwassenen is reeds enkele jaren van kracht. </w:t>
      </w:r>
    </w:p>
    <w:p w:rsidR="008031D3" w:rsidRDefault="008031D3" w:rsidP="008031D3">
      <w:pPr>
        <w:jc w:val="both"/>
        <w:rPr>
          <w:rFonts w:cs="Arial"/>
          <w:bCs/>
        </w:rPr>
      </w:pPr>
      <w:r>
        <w:rPr>
          <w:rFonts w:cs="Arial"/>
          <w:bCs/>
        </w:rPr>
        <w:t xml:space="preserve">Dit BVR richt zich specifiek op jongeren van 21 tot en met 25 jaar, die graag ondersteuning willen verkrijgen vanuit een jongerenvoorziening. Normaliter is de toegang tot jongerenvoorzieningen in het VAPH voorzien tot de leeftijdsgrens van 21 jaar. </w:t>
      </w:r>
    </w:p>
    <w:p w:rsidR="008031D3" w:rsidRDefault="008031D3" w:rsidP="008031D3">
      <w:pPr>
        <w:jc w:val="both"/>
        <w:rPr>
          <w:rFonts w:cs="Arial"/>
          <w:bCs/>
        </w:rPr>
      </w:pPr>
    </w:p>
    <w:p w:rsidR="008031D3" w:rsidRDefault="008031D3" w:rsidP="008031D3">
      <w:pPr>
        <w:jc w:val="both"/>
        <w:rPr>
          <w:rFonts w:cs="Arial"/>
          <w:bCs/>
        </w:rPr>
      </w:pPr>
      <w:r>
        <w:rPr>
          <w:rFonts w:cs="Arial"/>
          <w:bCs/>
        </w:rPr>
        <w:t xml:space="preserve">Er kunnen zich echter specifieke situaties voordoen, die een langer verblijf of langere ondersteuning vanuit de voorziening rechtvaardigen. De jongere is bijvoorbeeld aan het wachten op een plaatsje in de volwassenenopvang, of wenst graag zijn schoolloopbaan na 21 jaar verder af te ronden. </w:t>
      </w:r>
    </w:p>
    <w:p w:rsidR="008031D3" w:rsidRDefault="008031D3" w:rsidP="008031D3">
      <w:pPr>
        <w:jc w:val="both"/>
        <w:rPr>
          <w:rFonts w:cs="Arial"/>
          <w:bCs/>
        </w:rPr>
      </w:pPr>
      <w:r>
        <w:rPr>
          <w:rFonts w:cs="Arial"/>
          <w:bCs/>
        </w:rPr>
        <w:t xml:space="preserve">De regeling van het BVR Kwetsbare jongvolwassenen blijft sinds de opstart van Integrale Jeugdhulp onverminderd van kracht. De procedure dient echter aangepast te worden aan het nieuwe </w:t>
      </w:r>
      <w:r>
        <w:rPr>
          <w:rFonts w:cs="Arial"/>
          <w:bCs/>
        </w:rPr>
        <w:lastRenderedPageBreak/>
        <w:t xml:space="preserve">jeugdhulplandschap, de beslissing tot verlenging is nu immers de bevoegdheid van de Intersectorale toegangspoorten. </w:t>
      </w:r>
    </w:p>
    <w:p w:rsidR="008031D3" w:rsidRDefault="008031D3" w:rsidP="008031D3">
      <w:pPr>
        <w:jc w:val="both"/>
        <w:rPr>
          <w:rFonts w:cs="Arial"/>
          <w:bCs/>
        </w:rPr>
      </w:pPr>
    </w:p>
    <w:p w:rsidR="00831FE8" w:rsidRDefault="00831FE8" w:rsidP="008031D3">
      <w:pPr>
        <w:jc w:val="both"/>
        <w:rPr>
          <w:rFonts w:cs="Arial"/>
          <w:bCs/>
        </w:rPr>
      </w:pPr>
    </w:p>
    <w:p w:rsidR="00831FE8" w:rsidRDefault="00831FE8" w:rsidP="008031D3">
      <w:pPr>
        <w:jc w:val="both"/>
        <w:rPr>
          <w:rFonts w:cs="Arial"/>
          <w:bCs/>
        </w:rPr>
      </w:pPr>
    </w:p>
    <w:p w:rsidR="008031D3" w:rsidRDefault="008031D3" w:rsidP="008031D3">
      <w:pPr>
        <w:jc w:val="both"/>
        <w:rPr>
          <w:rFonts w:cs="Arial"/>
          <w:bCs/>
        </w:rPr>
      </w:pPr>
      <w:r>
        <w:rPr>
          <w:rFonts w:cs="Arial"/>
          <w:bCs/>
        </w:rPr>
        <w:t>Het aanbod kan zowel bestaan uit verblijf en/of dagopvang als mobiele begeleiding.</w:t>
      </w:r>
    </w:p>
    <w:p w:rsidR="008031D3" w:rsidRDefault="008031D3" w:rsidP="008031D3">
      <w:pPr>
        <w:jc w:val="both"/>
        <w:rPr>
          <w:rFonts w:cs="Arial"/>
          <w:bCs/>
        </w:rPr>
      </w:pPr>
    </w:p>
    <w:p w:rsidR="008031D3" w:rsidRDefault="008031D3" w:rsidP="008031D3">
      <w:pPr>
        <w:jc w:val="both"/>
        <w:rPr>
          <w:rFonts w:cs="Arial"/>
          <w:bCs/>
        </w:rPr>
      </w:pPr>
      <w:r>
        <w:rPr>
          <w:rFonts w:cs="Arial"/>
          <w:bCs/>
        </w:rPr>
        <w:t>Jongvolwassenen die in een minderjarigenvoorziening verblijven en de</w:t>
      </w:r>
    </w:p>
    <w:p w:rsidR="008031D3" w:rsidRDefault="008031D3" w:rsidP="008031D3">
      <w:pPr>
        <w:jc w:val="both"/>
        <w:rPr>
          <w:rFonts w:cs="Arial"/>
          <w:bCs/>
        </w:rPr>
      </w:pPr>
      <w:r>
        <w:rPr>
          <w:rFonts w:cs="Arial"/>
          <w:bCs/>
        </w:rPr>
        <w:t>leeftijd van 21 jaar hebben bereikt kunnen verder mobiel ondersteund worden door een</w:t>
      </w:r>
    </w:p>
    <w:p w:rsidR="008031D3" w:rsidRDefault="008031D3" w:rsidP="008031D3">
      <w:pPr>
        <w:jc w:val="both"/>
        <w:rPr>
          <w:rFonts w:cs="Arial"/>
          <w:bCs/>
        </w:rPr>
      </w:pPr>
      <w:r>
        <w:rPr>
          <w:rFonts w:cs="Arial"/>
          <w:bCs/>
        </w:rPr>
        <w:t>minderjarigenvoorziening tot en met de leeftijd van 25 jaar indien:</w:t>
      </w:r>
    </w:p>
    <w:p w:rsidR="008031D3" w:rsidRDefault="008031D3" w:rsidP="008031D3">
      <w:pPr>
        <w:jc w:val="both"/>
        <w:rPr>
          <w:rFonts w:cs="Arial"/>
          <w:bCs/>
        </w:rPr>
      </w:pPr>
      <w:r>
        <w:rPr>
          <w:rFonts w:cs="Arial"/>
          <w:bCs/>
        </w:rPr>
        <w:t>• de jongvolwassene niet in aanmerking komt voor opvang door een meerderjarigenvoorziening</w:t>
      </w:r>
    </w:p>
    <w:p w:rsidR="008031D3" w:rsidRDefault="008031D3" w:rsidP="008031D3">
      <w:pPr>
        <w:jc w:val="both"/>
        <w:rPr>
          <w:rFonts w:cs="Arial"/>
          <w:bCs/>
        </w:rPr>
      </w:pPr>
      <w:r>
        <w:rPr>
          <w:rFonts w:cs="Arial"/>
          <w:bCs/>
        </w:rPr>
        <w:t>of</w:t>
      </w:r>
    </w:p>
    <w:p w:rsidR="008031D3" w:rsidRDefault="008031D3" w:rsidP="008031D3">
      <w:pPr>
        <w:jc w:val="both"/>
        <w:rPr>
          <w:rFonts w:cs="Arial"/>
          <w:bCs/>
        </w:rPr>
      </w:pPr>
      <w:r>
        <w:rPr>
          <w:rFonts w:cs="Arial"/>
          <w:bCs/>
        </w:rPr>
        <w:t>• de jongvolwassene in aanmerking komt voor opvang door een meerderjarigenvoorziening,</w:t>
      </w:r>
    </w:p>
    <w:p w:rsidR="008031D3" w:rsidRDefault="008031D3" w:rsidP="008031D3">
      <w:pPr>
        <w:jc w:val="both"/>
        <w:rPr>
          <w:rFonts w:cs="Arial"/>
          <w:bCs/>
        </w:rPr>
      </w:pPr>
      <w:r>
        <w:rPr>
          <w:rFonts w:cs="Arial"/>
          <w:bCs/>
        </w:rPr>
        <w:t>maar er op korte termijn geen gebruik van maakt</w:t>
      </w:r>
      <w:r w:rsidR="00831FE8">
        <w:rPr>
          <w:rFonts w:cs="Arial"/>
          <w:bCs/>
        </w:rPr>
        <w:t>.</w:t>
      </w:r>
    </w:p>
    <w:p w:rsidR="00831FE8" w:rsidRDefault="00831FE8" w:rsidP="008031D3">
      <w:pPr>
        <w:jc w:val="both"/>
        <w:rPr>
          <w:rFonts w:cs="Arial"/>
          <w:bCs/>
        </w:rPr>
      </w:pPr>
    </w:p>
    <w:p w:rsidR="008031D3" w:rsidRDefault="008031D3" w:rsidP="008031D3">
      <w:pPr>
        <w:jc w:val="both"/>
        <w:rPr>
          <w:rFonts w:cs="Arial"/>
          <w:bCs/>
        </w:rPr>
      </w:pPr>
    </w:p>
    <w:p w:rsidR="008031D3" w:rsidRDefault="008031D3" w:rsidP="008031D3">
      <w:pPr>
        <w:jc w:val="both"/>
        <w:rPr>
          <w:rFonts w:cs="Arial"/>
          <w:bCs/>
        </w:rPr>
      </w:pPr>
      <w:r>
        <w:rPr>
          <w:rFonts w:cs="Arial"/>
          <w:bCs/>
        </w:rPr>
        <w:t>Deze mobiele ondersteuning heeft als doel om het netwerk van de jongvolwassene te</w:t>
      </w:r>
    </w:p>
    <w:p w:rsidR="008031D3" w:rsidRDefault="008031D3" w:rsidP="008031D3">
      <w:pPr>
        <w:jc w:val="both"/>
        <w:rPr>
          <w:rFonts w:cs="Arial"/>
          <w:bCs/>
        </w:rPr>
      </w:pPr>
      <w:r>
        <w:rPr>
          <w:rFonts w:cs="Arial"/>
          <w:bCs/>
        </w:rPr>
        <w:t>versterken om zo’n groot mogelijke autonomie en zelfzorg na te streven en een zo inclusief</w:t>
      </w:r>
    </w:p>
    <w:p w:rsidR="008031D3" w:rsidRDefault="008031D3" w:rsidP="008031D3">
      <w:pPr>
        <w:jc w:val="both"/>
        <w:rPr>
          <w:rFonts w:cs="Arial"/>
          <w:bCs/>
        </w:rPr>
      </w:pPr>
      <w:r>
        <w:rPr>
          <w:rFonts w:cs="Arial"/>
          <w:bCs/>
        </w:rPr>
        <w:t>mogelijke opvang. Daarnaast kan deze dienen om de begeleide doorstroom te voorzien naar</w:t>
      </w:r>
    </w:p>
    <w:p w:rsidR="008031D3" w:rsidRDefault="008031D3" w:rsidP="008031D3">
      <w:pPr>
        <w:jc w:val="both"/>
        <w:rPr>
          <w:rFonts w:cs="Arial"/>
          <w:bCs/>
        </w:rPr>
      </w:pPr>
      <w:r>
        <w:rPr>
          <w:rFonts w:cs="Arial"/>
          <w:bCs/>
        </w:rPr>
        <w:t>diensten en voorzieningen binnen het algemeen welzijnswerk, of naar een voorziening of</w:t>
      </w:r>
    </w:p>
    <w:p w:rsidR="008031D3" w:rsidRDefault="008031D3" w:rsidP="008031D3">
      <w:pPr>
        <w:jc w:val="both"/>
        <w:rPr>
          <w:rFonts w:cs="Arial"/>
          <w:bCs/>
        </w:rPr>
      </w:pPr>
      <w:r>
        <w:rPr>
          <w:rFonts w:cs="Arial"/>
          <w:bCs/>
        </w:rPr>
        <w:t>dienst die erkend en gesubsidieerd is door het Vlaams Agentschap voor Personen met een</w:t>
      </w:r>
    </w:p>
    <w:p w:rsidR="008031D3" w:rsidRDefault="008031D3" w:rsidP="008031D3">
      <w:pPr>
        <w:jc w:val="both"/>
        <w:rPr>
          <w:rFonts w:cs="Arial"/>
          <w:bCs/>
        </w:rPr>
      </w:pPr>
      <w:r>
        <w:rPr>
          <w:rFonts w:cs="Arial"/>
          <w:bCs/>
        </w:rPr>
        <w:t>Handicap.</w:t>
      </w:r>
    </w:p>
    <w:p w:rsidR="008031D3" w:rsidRDefault="008031D3" w:rsidP="008031D3">
      <w:pPr>
        <w:jc w:val="both"/>
        <w:rPr>
          <w:rFonts w:cs="Arial"/>
          <w:bCs/>
        </w:rPr>
      </w:pPr>
    </w:p>
    <w:p w:rsidR="008031D3" w:rsidRDefault="008031D3" w:rsidP="008031D3">
      <w:pPr>
        <w:pStyle w:val="Kop2"/>
        <w:numPr>
          <w:ilvl w:val="1"/>
          <w:numId w:val="11"/>
        </w:numPr>
        <w:spacing w:line="260" w:lineRule="exact"/>
      </w:pPr>
      <w:r>
        <w:t>Probleemstelling</w:t>
      </w:r>
    </w:p>
    <w:p w:rsidR="00831FE8" w:rsidRPr="00831FE8" w:rsidRDefault="00831FE8" w:rsidP="00831FE8">
      <w:pPr>
        <w:rPr>
          <w:lang w:val="nl-NL"/>
        </w:rPr>
      </w:pPr>
    </w:p>
    <w:p w:rsidR="008031D3" w:rsidRDefault="008031D3" w:rsidP="008031D3">
      <w:r>
        <w:t>Het is belangrijk om, wat de mobiele begeleiding betreft, de toegang hiertoe zo laagdrempelig mogelijk te houden. Voor de start van de Intersectorale Toegangspoort diende men hiervoor geen apart PEC-ticket of de zorgregie te passeren. Er werd door het VAPH zelf gecontroleerd of de jongere  gebruik gemaakt had van een semi-internaat, internaat, OBC of MFC (controle in de Cliëntenregistratie van het VAPH(CR)).</w:t>
      </w:r>
    </w:p>
    <w:p w:rsidR="00831FE8" w:rsidRDefault="00831FE8" w:rsidP="008031D3"/>
    <w:p w:rsidR="008031D3" w:rsidRDefault="008031D3" w:rsidP="008031D3"/>
    <w:p w:rsidR="008031D3" w:rsidRDefault="008031D3" w:rsidP="008031D3">
      <w:r>
        <w:t xml:space="preserve">Na overleg met de Intersectorale Toegangspoort werd er overeengekomen om ook binnen hun processen deze ondersteuning zo laagdrempelig mogelijk te houden met zo min mogelijk administratieve belasting. Daarom  wordt er voorgesteld om – net zoals in het verleden- geen A-document of een jeugdhulpbeslissing te voorzien maar een check door het VAPH . </w:t>
      </w:r>
    </w:p>
    <w:p w:rsidR="008031D3" w:rsidRDefault="008031D3" w:rsidP="008031D3"/>
    <w:p w:rsidR="008031D3" w:rsidRDefault="008031D3" w:rsidP="008031D3"/>
    <w:p w:rsidR="008031D3" w:rsidRDefault="008031D3" w:rsidP="008031D3">
      <w:r>
        <w:t xml:space="preserve">Op dit moment wordt dit aanbod echter gemoduleerd binnen de module ‘Mobiele/ambulante begeleiding voor minderjarigen met een handicap (hoge frequentie)’. Deze typemodule beschrijft elke NRT vorm van mobiele en/of ambulante begeleiding voor personen met een handicap  tot de leeftijd van 21 jaar, met verlenging tot 25 jaar verwijzend naar het BVR kwetsbare jongvolwassenen. </w:t>
      </w:r>
    </w:p>
    <w:p w:rsidR="008031D3" w:rsidRDefault="008031D3" w:rsidP="008031D3">
      <w:pPr>
        <w:jc w:val="both"/>
        <w:rPr>
          <w:rFonts w:cs="Arial"/>
          <w:bCs/>
        </w:rPr>
      </w:pPr>
    </w:p>
    <w:p w:rsidR="008031D3" w:rsidRDefault="008031D3" w:rsidP="008031D3">
      <w:pPr>
        <w:jc w:val="both"/>
        <w:rPr>
          <w:rFonts w:cs="Arial"/>
          <w:bCs/>
          <w:lang w:val="nl-NL"/>
        </w:rPr>
      </w:pPr>
    </w:p>
    <w:p w:rsidR="008031D3" w:rsidRDefault="008031D3" w:rsidP="008031D3">
      <w:pPr>
        <w:pStyle w:val="Kop2"/>
        <w:numPr>
          <w:ilvl w:val="1"/>
          <w:numId w:val="11"/>
        </w:numPr>
        <w:spacing w:line="260" w:lineRule="exact"/>
        <w:rPr>
          <w:rFonts w:cs="Arial"/>
          <w:lang w:val="nl-BE"/>
        </w:rPr>
      </w:pPr>
      <w:r>
        <w:rPr>
          <w:lang w:val="nl-BE"/>
        </w:rPr>
        <w:t>Oplossing</w:t>
      </w:r>
    </w:p>
    <w:p w:rsidR="008031D3" w:rsidRDefault="008031D3" w:rsidP="008031D3"/>
    <w:p w:rsidR="008031D3" w:rsidRDefault="008031D3" w:rsidP="008031D3">
      <w:r>
        <w:t xml:space="preserve">Er is  een nieuwe typemodule aangemaakt voor deze ondersteuningsvorm (specifiek voor de leeftijd 21 jaar tem 25 jaar). Deze typemodule wordt </w:t>
      </w:r>
      <w:r>
        <w:rPr>
          <w:u w:val="single"/>
        </w:rPr>
        <w:t>rechtstreeks toegankelijk</w:t>
      </w:r>
      <w:r>
        <w:t>. U dient hiervoor dus niet opnieuw een indicatiestelling of een jeugdhulpbeslissing aan te vragen. Het kan wel enkel ingezet worden voor personen met een handicap die voldoen aan de voorwaarden van het BVR Jongvolwassenen (dus gebruik gemaakt hebben van semi-internaat, internaat, OBC of MFC).</w:t>
      </w:r>
    </w:p>
    <w:p w:rsidR="008031D3" w:rsidRDefault="008031D3" w:rsidP="008031D3"/>
    <w:p w:rsidR="008031D3" w:rsidRDefault="008031D3" w:rsidP="008031D3">
      <w:pPr>
        <w:rPr>
          <w:lang w:val="nl-NL"/>
        </w:rPr>
      </w:pPr>
    </w:p>
    <w:p w:rsidR="00831FE8" w:rsidRDefault="00831FE8" w:rsidP="008031D3">
      <w:pPr>
        <w:rPr>
          <w:lang w:val="nl-NL"/>
        </w:rPr>
      </w:pPr>
    </w:p>
    <w:p w:rsidR="008031D3" w:rsidRDefault="008031D3" w:rsidP="008031D3">
      <w:pPr>
        <w:pStyle w:val="Kop2"/>
        <w:numPr>
          <w:ilvl w:val="1"/>
          <w:numId w:val="11"/>
        </w:numPr>
        <w:spacing w:line="260" w:lineRule="exact"/>
        <w:rPr>
          <w:lang w:val="nl-BE"/>
        </w:rPr>
      </w:pPr>
      <w:r>
        <w:rPr>
          <w:lang w:val="nl-BE"/>
        </w:rPr>
        <w:lastRenderedPageBreak/>
        <w:t>Gevolgen voor moduledatabank</w:t>
      </w:r>
    </w:p>
    <w:p w:rsidR="00831FE8" w:rsidRDefault="00831FE8" w:rsidP="00831FE8"/>
    <w:p w:rsidR="00831FE8" w:rsidRPr="00831FE8" w:rsidRDefault="00831FE8" w:rsidP="00831FE8"/>
    <w:p w:rsidR="008031D3" w:rsidRDefault="008031D3" w:rsidP="008031D3">
      <w:r>
        <w:t xml:space="preserve">Voorzieningen die deze ondersteuning wensen aan te bieden dienen deze typemodule dus te moduleren. </w:t>
      </w:r>
    </w:p>
    <w:p w:rsidR="008031D3" w:rsidRDefault="008031D3" w:rsidP="008031D3">
      <w:pPr>
        <w:rPr>
          <w:lang w:val="nl-NL"/>
        </w:rPr>
      </w:pPr>
      <w:r>
        <w:t>De wijze waarop dit moet gebeuren, wordt getoond in het instructiefilmpje voor modulering: http://youtu.be/BSvLOqjAOhU</w:t>
      </w:r>
    </w:p>
    <w:p w:rsidR="008031D3" w:rsidRDefault="008031D3" w:rsidP="008031D3">
      <w:r>
        <w:t>Aangezien het gaat om rechtstreeks toegankelijk aanbod, dient er hier geen aparte instroommogelijkheid voor te worden voorzien.</w:t>
      </w:r>
    </w:p>
    <w:p w:rsidR="008031D3" w:rsidRDefault="008031D3" w:rsidP="008031D3">
      <w:pPr>
        <w:rPr>
          <w:color w:val="222222"/>
          <w:shd w:val="clear" w:color="auto" w:fill="FFFFFF"/>
          <w:lang w:val="nl-NL"/>
        </w:rPr>
      </w:pPr>
    </w:p>
    <w:p w:rsidR="008031D3" w:rsidRDefault="008031D3" w:rsidP="008031D3">
      <w:pPr>
        <w:rPr>
          <w:color w:val="222222"/>
          <w:shd w:val="clear" w:color="auto" w:fill="FFFFFF"/>
        </w:rPr>
      </w:pPr>
    </w:p>
    <w:p w:rsidR="008031D3" w:rsidRDefault="008031D3" w:rsidP="008031D3">
      <w:pPr>
        <w:rPr>
          <w:color w:val="222222"/>
          <w:shd w:val="clear" w:color="auto" w:fill="FFFFFF"/>
        </w:rPr>
      </w:pPr>
    </w:p>
    <w:p w:rsidR="008031D3" w:rsidRDefault="008031D3" w:rsidP="008031D3">
      <w:pPr>
        <w:rPr>
          <w:color w:val="222222"/>
          <w:shd w:val="clear" w:color="auto" w:fill="FFFFFF"/>
        </w:rPr>
      </w:pPr>
    </w:p>
    <w:p w:rsidR="002A0C62" w:rsidRDefault="00831FE8" w:rsidP="00E97BB0">
      <w:r>
        <w:t>Met vriendelijke groeten</w:t>
      </w:r>
    </w:p>
    <w:p w:rsidR="00831FE8" w:rsidRDefault="00831FE8" w:rsidP="00E97BB0"/>
    <w:p w:rsidR="00290EF3" w:rsidRDefault="00290EF3" w:rsidP="00E97BB0"/>
    <w:p w:rsidR="00290EF3" w:rsidRDefault="00290EF3" w:rsidP="00E97BB0"/>
    <w:p w:rsidR="00831FE8" w:rsidRDefault="00831FE8" w:rsidP="00E97BB0"/>
    <w:p w:rsidR="00831FE8" w:rsidRDefault="00831FE8" w:rsidP="00E97BB0">
      <w:r>
        <w:t>James Van Casteren</w:t>
      </w:r>
    </w:p>
    <w:p w:rsidR="00831FE8" w:rsidRDefault="00831FE8" w:rsidP="00E97BB0">
      <w:r>
        <w:t>Administrateur-generaal</w:t>
      </w:r>
    </w:p>
    <w:sectPr w:rsidR="00831FE8" w:rsidSect="00710999">
      <w:footerReference w:type="default" r:id="rId8"/>
      <w:headerReference w:type="first" r:id="rId9"/>
      <w:footerReference w:type="first" r:id="rId10"/>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7CE" w:rsidRDefault="000127CE" w:rsidP="00710999">
      <w:r>
        <w:separator/>
      </w:r>
    </w:p>
  </w:endnote>
  <w:endnote w:type="continuationSeparator" w:id="0">
    <w:p w:rsidR="000127CE" w:rsidRDefault="000127CE"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58hr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026FB2">
      <w:rPr>
        <w:noProof/>
        <w:color w:val="C00076"/>
      </w:rPr>
      <w:t>2</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026FB2">
      <w:rPr>
        <w:noProof/>
        <w:color w:val="C00076"/>
      </w:rPr>
      <w:t>9</w:t>
    </w:r>
    <w:r w:rsidRPr="00710999">
      <w:rPr>
        <w:color w:val="C00076"/>
      </w:rPr>
      <w:fldChar w:fldCharType="end"/>
    </w:r>
  </w:p>
  <w:p w:rsidR="00F50D6A" w:rsidRDefault="00F50D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Voettekstformulier"/>
    </w:pPr>
    <w:r>
      <w:rPr>
        <w:noProof/>
        <w:lang w:eastAsia="nl-BE"/>
      </w:rPr>
      <w:drawing>
        <wp:inline distT="0" distB="0" distL="0" distR="0" wp14:anchorId="0EAD68BD" wp14:editId="2D97C37F">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026FB2">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026FB2">
      <w:rPr>
        <w:noProof/>
        <w:color w:val="C00076"/>
      </w:rPr>
      <w:t>9</w:t>
    </w:r>
    <w:r w:rsidRPr="00710999">
      <w:rPr>
        <w:color w:val="C00076"/>
      </w:rPr>
      <w:fldChar w:fldCharType="end"/>
    </w:r>
  </w:p>
  <w:p w:rsidR="00F50D6A" w:rsidRDefault="00F50D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7CE" w:rsidRDefault="000127CE" w:rsidP="00710999">
      <w:r>
        <w:separator/>
      </w:r>
    </w:p>
  </w:footnote>
  <w:footnote w:type="continuationSeparator" w:id="0">
    <w:p w:rsidR="000127CE" w:rsidRDefault="000127CE" w:rsidP="0071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Koptekst"/>
      <w:ind w:left="-170"/>
    </w:pPr>
    <w:r>
      <w:rPr>
        <w:noProof/>
        <w:lang w:eastAsia="nl-BE"/>
      </w:rPr>
      <w:drawing>
        <wp:inline distT="0" distB="0" distL="0" distR="0" wp14:anchorId="6EB91F5E" wp14:editId="4EF55502">
          <wp:extent cx="58496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1">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p>
  <w:p w:rsidR="00F50D6A" w:rsidRDefault="00F50D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314"/>
    <w:multiLevelType w:val="hybridMultilevel"/>
    <w:tmpl w:val="BECAD86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82D5649"/>
    <w:multiLevelType w:val="hybridMultilevel"/>
    <w:tmpl w:val="8612FFE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10036C8A"/>
    <w:multiLevelType w:val="hybridMultilevel"/>
    <w:tmpl w:val="5A587B6A"/>
    <w:lvl w:ilvl="0" w:tplc="08130003">
      <w:start w:val="1"/>
      <w:numFmt w:val="bullet"/>
      <w:lvlText w:val="o"/>
      <w:lvlJc w:val="left"/>
      <w:pPr>
        <w:ind w:left="1080" w:hanging="360"/>
      </w:pPr>
      <w:rPr>
        <w:rFonts w:ascii="Courier New" w:hAnsi="Courier New" w:cs="Courier New"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491D206A"/>
    <w:multiLevelType w:val="hybridMultilevel"/>
    <w:tmpl w:val="7A6E29B6"/>
    <w:lvl w:ilvl="0" w:tplc="6F14E6B0">
      <w:start w:val="1"/>
      <w:numFmt w:val="bullet"/>
      <w:lvlText w:val=""/>
      <w:lvlJc w:val="left"/>
      <w:pPr>
        <w:ind w:left="720" w:hanging="360"/>
      </w:pPr>
      <w:rPr>
        <w:rFonts w:ascii="Wingdings" w:hAnsi="Wingdings"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592476B5"/>
    <w:multiLevelType w:val="hybridMultilevel"/>
    <w:tmpl w:val="79C863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nsid w:val="61B10235"/>
    <w:multiLevelType w:val="hybridMultilevel"/>
    <w:tmpl w:val="BD38B53C"/>
    <w:lvl w:ilvl="0" w:tplc="3ABA5864">
      <w:start w:val="1"/>
      <w:numFmt w:val="bullet"/>
      <w:lvlText w:val="•"/>
      <w:lvlJc w:val="left"/>
      <w:pPr>
        <w:tabs>
          <w:tab w:val="num" w:pos="720"/>
        </w:tabs>
        <w:ind w:left="720" w:hanging="360"/>
      </w:pPr>
      <w:rPr>
        <w:rFonts w:ascii="Times New Roman" w:hAnsi="Times New Roman" w:cs="Times New Roman" w:hint="default"/>
      </w:rPr>
    </w:lvl>
    <w:lvl w:ilvl="1" w:tplc="72FA70FC">
      <w:start w:val="968"/>
      <w:numFmt w:val="bullet"/>
      <w:lvlText w:val="–"/>
      <w:lvlJc w:val="left"/>
      <w:pPr>
        <w:tabs>
          <w:tab w:val="num" w:pos="1440"/>
        </w:tabs>
        <w:ind w:left="1440" w:hanging="360"/>
      </w:pPr>
      <w:rPr>
        <w:rFonts w:ascii="Times New Roman" w:hAnsi="Times New Roman" w:cs="Times New Roman" w:hint="default"/>
      </w:rPr>
    </w:lvl>
    <w:lvl w:ilvl="2" w:tplc="FF82D378">
      <w:start w:val="1"/>
      <w:numFmt w:val="bullet"/>
      <w:lvlText w:val="•"/>
      <w:lvlJc w:val="left"/>
      <w:pPr>
        <w:tabs>
          <w:tab w:val="num" w:pos="2160"/>
        </w:tabs>
        <w:ind w:left="2160" w:hanging="360"/>
      </w:pPr>
      <w:rPr>
        <w:rFonts w:ascii="Times New Roman" w:hAnsi="Times New Roman" w:cs="Times New Roman" w:hint="default"/>
      </w:rPr>
    </w:lvl>
    <w:lvl w:ilvl="3" w:tplc="20C0A6EE">
      <w:start w:val="1"/>
      <w:numFmt w:val="bullet"/>
      <w:lvlText w:val="•"/>
      <w:lvlJc w:val="left"/>
      <w:pPr>
        <w:tabs>
          <w:tab w:val="num" w:pos="2880"/>
        </w:tabs>
        <w:ind w:left="2880" w:hanging="360"/>
      </w:pPr>
      <w:rPr>
        <w:rFonts w:ascii="Times New Roman" w:hAnsi="Times New Roman" w:cs="Times New Roman" w:hint="default"/>
      </w:rPr>
    </w:lvl>
    <w:lvl w:ilvl="4" w:tplc="7BF49ED2">
      <w:start w:val="1"/>
      <w:numFmt w:val="bullet"/>
      <w:lvlText w:val="•"/>
      <w:lvlJc w:val="left"/>
      <w:pPr>
        <w:tabs>
          <w:tab w:val="num" w:pos="3600"/>
        </w:tabs>
        <w:ind w:left="3600" w:hanging="360"/>
      </w:pPr>
      <w:rPr>
        <w:rFonts w:ascii="Times New Roman" w:hAnsi="Times New Roman" w:cs="Times New Roman" w:hint="default"/>
      </w:rPr>
    </w:lvl>
    <w:lvl w:ilvl="5" w:tplc="72AE066C">
      <w:start w:val="1"/>
      <w:numFmt w:val="bullet"/>
      <w:lvlText w:val="•"/>
      <w:lvlJc w:val="left"/>
      <w:pPr>
        <w:tabs>
          <w:tab w:val="num" w:pos="4320"/>
        </w:tabs>
        <w:ind w:left="4320" w:hanging="360"/>
      </w:pPr>
      <w:rPr>
        <w:rFonts w:ascii="Times New Roman" w:hAnsi="Times New Roman" w:cs="Times New Roman" w:hint="default"/>
      </w:rPr>
    </w:lvl>
    <w:lvl w:ilvl="6" w:tplc="C97AC70E">
      <w:start w:val="1"/>
      <w:numFmt w:val="bullet"/>
      <w:lvlText w:val="•"/>
      <w:lvlJc w:val="left"/>
      <w:pPr>
        <w:tabs>
          <w:tab w:val="num" w:pos="5040"/>
        </w:tabs>
        <w:ind w:left="5040" w:hanging="360"/>
      </w:pPr>
      <w:rPr>
        <w:rFonts w:ascii="Times New Roman" w:hAnsi="Times New Roman" w:cs="Times New Roman" w:hint="default"/>
      </w:rPr>
    </w:lvl>
    <w:lvl w:ilvl="7" w:tplc="1C228ACC">
      <w:start w:val="1"/>
      <w:numFmt w:val="bullet"/>
      <w:lvlText w:val="•"/>
      <w:lvlJc w:val="left"/>
      <w:pPr>
        <w:tabs>
          <w:tab w:val="num" w:pos="5760"/>
        </w:tabs>
        <w:ind w:left="5760" w:hanging="360"/>
      </w:pPr>
      <w:rPr>
        <w:rFonts w:ascii="Times New Roman" w:hAnsi="Times New Roman" w:cs="Times New Roman" w:hint="default"/>
      </w:rPr>
    </w:lvl>
    <w:lvl w:ilvl="8" w:tplc="2E7EF7A6">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35F673A"/>
    <w:multiLevelType w:val="multilevel"/>
    <w:tmpl w:val="8AB2591E"/>
    <w:lvl w:ilvl="0">
      <w:start w:val="1"/>
      <w:numFmt w:val="decimal"/>
      <w:pStyle w:val="Nummering1"/>
      <w:lvlText w:val="%1."/>
      <w:lvlJc w:val="left"/>
      <w:pPr>
        <w:tabs>
          <w:tab w:val="num" w:pos="851"/>
        </w:tabs>
        <w:ind w:left="851" w:hanging="851"/>
      </w:pPr>
      <w:rPr>
        <w:b/>
        <w:i w:val="0"/>
        <w:strike w:val="0"/>
        <w:dstrike w:val="0"/>
        <w:u w:val="none"/>
        <w:effect w:val="none"/>
      </w:rPr>
    </w:lvl>
    <w:lvl w:ilvl="1">
      <w:start w:val="1"/>
      <w:numFmt w:val="decimal"/>
      <w:pStyle w:val="Nummering11"/>
      <w:lvlText w:val="%1.%2."/>
      <w:lvlJc w:val="left"/>
      <w:pPr>
        <w:tabs>
          <w:tab w:val="num" w:pos="851"/>
        </w:tabs>
        <w:ind w:left="851" w:hanging="851"/>
      </w:pPr>
    </w:lvl>
    <w:lvl w:ilvl="2">
      <w:start w:val="1"/>
      <w:numFmt w:val="decimal"/>
      <w:pStyle w:val="Nummering111"/>
      <w:lvlText w:val="%1.%2.%3."/>
      <w:lvlJc w:val="left"/>
      <w:pPr>
        <w:tabs>
          <w:tab w:val="num" w:pos="851"/>
        </w:tabs>
        <w:ind w:left="851" w:hanging="851"/>
      </w:pPr>
    </w:lvl>
    <w:lvl w:ilvl="3">
      <w:start w:val="1"/>
      <w:numFmt w:val="decimal"/>
      <w:pStyle w:val="Nummering1111"/>
      <w:lvlText w:val="%1.%2.%3.%4."/>
      <w:lvlJc w:val="left"/>
      <w:pPr>
        <w:tabs>
          <w:tab w:val="num" w:pos="851"/>
        </w:tabs>
        <w:ind w:left="851" w:hanging="851"/>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397"/>
        </w:tabs>
        <w:ind w:left="4677" w:hanging="1440"/>
      </w:pPr>
    </w:lvl>
  </w:abstractNum>
  <w:abstractNum w:abstractNumId="10">
    <w:nsid w:val="786B6ADA"/>
    <w:multiLevelType w:val="multilevel"/>
    <w:tmpl w:val="085C0240"/>
    <w:lvl w:ilvl="0">
      <w:start w:val="1"/>
      <w:numFmt w:val="decimal"/>
      <w:lvlText w:val="%1"/>
      <w:lvlJc w:val="left"/>
      <w:pPr>
        <w:tabs>
          <w:tab w:val="num" w:pos="340"/>
        </w:tabs>
        <w:ind w:left="0" w:firstLine="0"/>
      </w:pPr>
      <w:rPr>
        <w:rFonts w:ascii="Trebuchet MS" w:hAnsi="Trebuchet MS" w:hint="default"/>
        <w:b/>
        <w:i w:val="0"/>
        <w:sz w:val="28"/>
        <w:szCs w:val="24"/>
      </w:rPr>
    </w:lvl>
    <w:lvl w:ilvl="1">
      <w:start w:val="1"/>
      <w:numFmt w:val="decimal"/>
      <w:lvlText w:val="%1.%2"/>
      <w:lvlJc w:val="left"/>
      <w:pPr>
        <w:tabs>
          <w:tab w:val="num" w:pos="284"/>
        </w:tabs>
        <w:ind w:left="454" w:hanging="454"/>
      </w:pPr>
      <w:rPr>
        <w:rFonts w:ascii="Trebuchet MS" w:hAnsi="Trebuchet MS" w:hint="default"/>
        <w:b/>
        <w:i w:val="0"/>
        <w:sz w:val="24"/>
        <w:szCs w:val="22"/>
      </w:rPr>
    </w:lvl>
    <w:lvl w:ilvl="2">
      <w:start w:val="1"/>
      <w:numFmt w:val="decimal"/>
      <w:lvlText w:val="%1.%2.%3"/>
      <w:lvlJc w:val="left"/>
      <w:pPr>
        <w:tabs>
          <w:tab w:val="num" w:pos="720"/>
        </w:tabs>
        <w:ind w:left="720" w:hanging="720"/>
      </w:pPr>
      <w:rPr>
        <w:rFonts w:ascii="Trebuchet MS" w:hAnsi="Trebuchet MS" w:hint="default"/>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CC90B24"/>
    <w:multiLevelType w:val="hybridMultilevel"/>
    <w:tmpl w:val="138C68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
  </w:num>
  <w:num w:numId="15">
    <w:abstractNumId w:val="0"/>
  </w:num>
  <w:num w:numId="16">
    <w:abstractNumId w:val="2"/>
  </w:num>
  <w:num w:numId="17">
    <w:abstractNumId w:val="4"/>
  </w:num>
  <w:num w:numId="18">
    <w:abstractNumId w:val="7"/>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D3"/>
    <w:rsid w:val="000127CE"/>
    <w:rsid w:val="00026FB2"/>
    <w:rsid w:val="0004078D"/>
    <w:rsid w:val="00065B3E"/>
    <w:rsid w:val="000F7F96"/>
    <w:rsid w:val="00157E45"/>
    <w:rsid w:val="00174544"/>
    <w:rsid w:val="00195AEE"/>
    <w:rsid w:val="001A62BE"/>
    <w:rsid w:val="001F38D2"/>
    <w:rsid w:val="00207634"/>
    <w:rsid w:val="00225650"/>
    <w:rsid w:val="00290EF3"/>
    <w:rsid w:val="002A0C62"/>
    <w:rsid w:val="003407ED"/>
    <w:rsid w:val="003831AD"/>
    <w:rsid w:val="003C2BFE"/>
    <w:rsid w:val="003D701C"/>
    <w:rsid w:val="003E6F51"/>
    <w:rsid w:val="004578D6"/>
    <w:rsid w:val="00467BAD"/>
    <w:rsid w:val="00496E4B"/>
    <w:rsid w:val="005C1440"/>
    <w:rsid w:val="00605D1C"/>
    <w:rsid w:val="00653EF0"/>
    <w:rsid w:val="006956D4"/>
    <w:rsid w:val="00702B66"/>
    <w:rsid w:val="00710999"/>
    <w:rsid w:val="00736D1D"/>
    <w:rsid w:val="007D743E"/>
    <w:rsid w:val="007E0ACB"/>
    <w:rsid w:val="007E31EE"/>
    <w:rsid w:val="008031D3"/>
    <w:rsid w:val="00806ED5"/>
    <w:rsid w:val="00811F40"/>
    <w:rsid w:val="00812762"/>
    <w:rsid w:val="00831FE8"/>
    <w:rsid w:val="0084759D"/>
    <w:rsid w:val="008477B8"/>
    <w:rsid w:val="008758A8"/>
    <w:rsid w:val="008C4E02"/>
    <w:rsid w:val="008D2B67"/>
    <w:rsid w:val="00953EB0"/>
    <w:rsid w:val="00967508"/>
    <w:rsid w:val="00980FDF"/>
    <w:rsid w:val="00981771"/>
    <w:rsid w:val="009A0E08"/>
    <w:rsid w:val="009B5F2B"/>
    <w:rsid w:val="00A0616D"/>
    <w:rsid w:val="00A26300"/>
    <w:rsid w:val="00AA42CD"/>
    <w:rsid w:val="00AA6D62"/>
    <w:rsid w:val="00B12000"/>
    <w:rsid w:val="00BD31F5"/>
    <w:rsid w:val="00BE3BC6"/>
    <w:rsid w:val="00C009E2"/>
    <w:rsid w:val="00C62539"/>
    <w:rsid w:val="00C63BFA"/>
    <w:rsid w:val="00CD0A79"/>
    <w:rsid w:val="00CD407C"/>
    <w:rsid w:val="00D1669C"/>
    <w:rsid w:val="00D341A2"/>
    <w:rsid w:val="00D63FB5"/>
    <w:rsid w:val="00D70803"/>
    <w:rsid w:val="00DF20D4"/>
    <w:rsid w:val="00DF3441"/>
    <w:rsid w:val="00E16403"/>
    <w:rsid w:val="00E17BFE"/>
    <w:rsid w:val="00E64193"/>
    <w:rsid w:val="00E97BB0"/>
    <w:rsid w:val="00EE0953"/>
    <w:rsid w:val="00EF1C91"/>
    <w:rsid w:val="00F4422E"/>
    <w:rsid w:val="00F50D6A"/>
    <w:rsid w:val="00F976D8"/>
    <w:rsid w:val="00FA51DD"/>
    <w:rsid w:val="00FB7D13"/>
    <w:rsid w:val="00FB7ED9"/>
    <w:rsid w:val="00FC2B43"/>
    <w:rsid w:val="00FE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aliases w:val="VAPH - Titel 1"/>
    <w:basedOn w:val="Standaard"/>
    <w:next w:val="Standaard"/>
    <w:link w:val="Kop1Char"/>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aliases w:val="VAPH - Titel 2"/>
    <w:basedOn w:val="Standaard"/>
    <w:next w:val="Standaard"/>
    <w:link w:val="Kop2Char"/>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aliases w:val="VAPH - Titel 3"/>
    <w:basedOn w:val="Standaard"/>
    <w:next w:val="Standaard"/>
    <w:link w:val="Kop3Char"/>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aliases w:val="VAPH - Titel 1 Char"/>
    <w:basedOn w:val="Standaardalinea-lettertype"/>
    <w:link w:val="Kop1"/>
    <w:rsid w:val="008C4E02"/>
    <w:rPr>
      <w:rFonts w:asciiTheme="majorHAnsi" w:eastAsiaTheme="majorEastAsia" w:hAnsiTheme="majorHAnsi" w:cstheme="majorBidi"/>
      <w:b/>
      <w:bCs/>
      <w:color w:val="5F5F5F"/>
      <w:sz w:val="28"/>
      <w:szCs w:val="28"/>
      <w:lang w:val="nl-NL"/>
    </w:rPr>
  </w:style>
  <w:style w:type="character" w:customStyle="1" w:styleId="Kop2Char">
    <w:name w:val="Kop 2 Char"/>
    <w:aliases w:val="VAPH - Titel 2 Char"/>
    <w:basedOn w:val="Standaardalinea-lettertype"/>
    <w:link w:val="Kop2"/>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aliases w:val="VAPH - Titel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25650"/>
    <w:rPr>
      <w:color w:val="808080"/>
    </w:rPr>
  </w:style>
  <w:style w:type="character" w:styleId="Hyperlink">
    <w:name w:val="Hyperlink"/>
    <w:basedOn w:val="Standaardalinea-lettertype"/>
    <w:uiPriority w:val="99"/>
    <w:semiHidden/>
    <w:unhideWhenUsed/>
    <w:rsid w:val="008031D3"/>
    <w:rPr>
      <w:color w:val="0000FF" w:themeColor="hyperlink"/>
      <w:u w:val="single"/>
    </w:rPr>
  </w:style>
  <w:style w:type="paragraph" w:styleId="Normaalweb">
    <w:name w:val="Normal (Web)"/>
    <w:basedOn w:val="Standaard"/>
    <w:uiPriority w:val="99"/>
    <w:semiHidden/>
    <w:unhideWhenUsed/>
    <w:rsid w:val="008031D3"/>
    <w:pPr>
      <w:spacing w:before="100" w:beforeAutospacing="1" w:after="100" w:afterAutospacing="1"/>
    </w:pPr>
    <w:rPr>
      <w:rFonts w:ascii="Times New Roman" w:eastAsia="Times New Roman" w:hAnsi="Times New Roman"/>
      <w:sz w:val="24"/>
      <w:szCs w:val="24"/>
      <w:lang w:eastAsia="nl-BE"/>
    </w:rPr>
  </w:style>
  <w:style w:type="paragraph" w:styleId="Lijstalinea">
    <w:name w:val="List Paragraph"/>
    <w:basedOn w:val="Standaard"/>
    <w:uiPriority w:val="34"/>
    <w:qFormat/>
    <w:rsid w:val="008031D3"/>
    <w:pPr>
      <w:spacing w:after="200" w:line="276" w:lineRule="auto"/>
      <w:ind w:left="720"/>
      <w:contextualSpacing/>
    </w:pPr>
    <w:rPr>
      <w:rFonts w:ascii="Calibri" w:hAnsi="Calibri"/>
      <w:sz w:val="22"/>
    </w:rPr>
  </w:style>
  <w:style w:type="paragraph" w:customStyle="1" w:styleId="Nummering1">
    <w:name w:val="Nummering1"/>
    <w:basedOn w:val="Standaard"/>
    <w:uiPriority w:val="99"/>
    <w:semiHidden/>
    <w:rsid w:val="008031D3"/>
    <w:pPr>
      <w:numPr>
        <w:numId w:val="12"/>
      </w:numPr>
      <w:tabs>
        <w:tab w:val="right" w:pos="2126"/>
        <w:tab w:val="left" w:pos="2268"/>
        <w:tab w:val="right" w:pos="6662"/>
        <w:tab w:val="left" w:pos="6804"/>
      </w:tabs>
      <w:spacing w:after="240" w:line="280" w:lineRule="exact"/>
    </w:pPr>
    <w:rPr>
      <w:rFonts w:ascii="Arial" w:eastAsia="Times New Roman" w:hAnsi="Arial"/>
      <w:b/>
      <w:szCs w:val="24"/>
      <w:u w:val="single"/>
      <w:lang w:val="en-US"/>
    </w:rPr>
  </w:style>
  <w:style w:type="paragraph" w:customStyle="1" w:styleId="Nummering11">
    <w:name w:val="Nummering1.1"/>
    <w:basedOn w:val="Nummering1"/>
    <w:uiPriority w:val="99"/>
    <w:semiHidden/>
    <w:rsid w:val="008031D3"/>
    <w:pPr>
      <w:numPr>
        <w:ilvl w:val="1"/>
      </w:numPr>
      <w:spacing w:after="0"/>
    </w:pPr>
    <w:rPr>
      <w:u w:val="none"/>
    </w:rPr>
  </w:style>
  <w:style w:type="paragraph" w:customStyle="1" w:styleId="Nummering111">
    <w:name w:val="Nummering1.1.1"/>
    <w:basedOn w:val="Standaard"/>
    <w:uiPriority w:val="99"/>
    <w:semiHidden/>
    <w:rsid w:val="008031D3"/>
    <w:pPr>
      <w:numPr>
        <w:ilvl w:val="2"/>
        <w:numId w:val="12"/>
      </w:numPr>
      <w:tabs>
        <w:tab w:val="right" w:pos="2126"/>
        <w:tab w:val="left" w:pos="2268"/>
        <w:tab w:val="right" w:pos="6662"/>
        <w:tab w:val="left" w:pos="6804"/>
      </w:tabs>
      <w:spacing w:line="280" w:lineRule="exact"/>
    </w:pPr>
    <w:rPr>
      <w:rFonts w:ascii="Arial" w:eastAsia="Times New Roman" w:hAnsi="Arial"/>
      <w:szCs w:val="24"/>
      <w:lang w:val="en-US"/>
    </w:rPr>
  </w:style>
  <w:style w:type="paragraph" w:customStyle="1" w:styleId="Nummering1111">
    <w:name w:val="Nummering1.1.1.1"/>
    <w:basedOn w:val="Nummering111"/>
    <w:next w:val="Nummering111"/>
    <w:uiPriority w:val="99"/>
    <w:semiHidden/>
    <w:rsid w:val="008031D3"/>
    <w:pPr>
      <w:numPr>
        <w:ilvl w:val="3"/>
      </w:numPr>
    </w:pPr>
  </w:style>
  <w:style w:type="paragraph" w:customStyle="1" w:styleId="Default">
    <w:name w:val="Default"/>
    <w:uiPriority w:val="99"/>
    <w:semiHidden/>
    <w:rsid w:val="008031D3"/>
    <w:pPr>
      <w:autoSpaceDE w:val="0"/>
      <w:autoSpaceDN w:val="0"/>
      <w:adjustRightInd w:val="0"/>
    </w:pPr>
    <w:rPr>
      <w:rFonts w:ascii="Trebuchet MS" w:eastAsia="Times New Roman" w:hAnsi="Trebuchet MS" w:cs="Trebuchet MS"/>
      <w:color w:val="000000"/>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aliases w:val="VAPH - Titel 1"/>
    <w:basedOn w:val="Standaard"/>
    <w:next w:val="Standaard"/>
    <w:link w:val="Kop1Char"/>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aliases w:val="VAPH - Titel 2"/>
    <w:basedOn w:val="Standaard"/>
    <w:next w:val="Standaard"/>
    <w:link w:val="Kop2Char"/>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aliases w:val="VAPH - Titel 3"/>
    <w:basedOn w:val="Standaard"/>
    <w:next w:val="Standaard"/>
    <w:link w:val="Kop3Char"/>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aliases w:val="VAPH - Titel 1 Char"/>
    <w:basedOn w:val="Standaardalinea-lettertype"/>
    <w:link w:val="Kop1"/>
    <w:rsid w:val="008C4E02"/>
    <w:rPr>
      <w:rFonts w:asciiTheme="majorHAnsi" w:eastAsiaTheme="majorEastAsia" w:hAnsiTheme="majorHAnsi" w:cstheme="majorBidi"/>
      <w:b/>
      <w:bCs/>
      <w:color w:val="5F5F5F"/>
      <w:sz w:val="28"/>
      <w:szCs w:val="28"/>
      <w:lang w:val="nl-NL"/>
    </w:rPr>
  </w:style>
  <w:style w:type="character" w:customStyle="1" w:styleId="Kop2Char">
    <w:name w:val="Kop 2 Char"/>
    <w:aliases w:val="VAPH - Titel 2 Char"/>
    <w:basedOn w:val="Standaardalinea-lettertype"/>
    <w:link w:val="Kop2"/>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aliases w:val="VAPH - Titel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225650"/>
    <w:rPr>
      <w:color w:val="808080"/>
    </w:rPr>
  </w:style>
  <w:style w:type="character" w:styleId="Hyperlink">
    <w:name w:val="Hyperlink"/>
    <w:basedOn w:val="Standaardalinea-lettertype"/>
    <w:uiPriority w:val="99"/>
    <w:semiHidden/>
    <w:unhideWhenUsed/>
    <w:rsid w:val="008031D3"/>
    <w:rPr>
      <w:color w:val="0000FF" w:themeColor="hyperlink"/>
      <w:u w:val="single"/>
    </w:rPr>
  </w:style>
  <w:style w:type="paragraph" w:styleId="Normaalweb">
    <w:name w:val="Normal (Web)"/>
    <w:basedOn w:val="Standaard"/>
    <w:uiPriority w:val="99"/>
    <w:semiHidden/>
    <w:unhideWhenUsed/>
    <w:rsid w:val="008031D3"/>
    <w:pPr>
      <w:spacing w:before="100" w:beforeAutospacing="1" w:after="100" w:afterAutospacing="1"/>
    </w:pPr>
    <w:rPr>
      <w:rFonts w:ascii="Times New Roman" w:eastAsia="Times New Roman" w:hAnsi="Times New Roman"/>
      <w:sz w:val="24"/>
      <w:szCs w:val="24"/>
      <w:lang w:eastAsia="nl-BE"/>
    </w:rPr>
  </w:style>
  <w:style w:type="paragraph" w:styleId="Lijstalinea">
    <w:name w:val="List Paragraph"/>
    <w:basedOn w:val="Standaard"/>
    <w:uiPriority w:val="34"/>
    <w:qFormat/>
    <w:rsid w:val="008031D3"/>
    <w:pPr>
      <w:spacing w:after="200" w:line="276" w:lineRule="auto"/>
      <w:ind w:left="720"/>
      <w:contextualSpacing/>
    </w:pPr>
    <w:rPr>
      <w:rFonts w:ascii="Calibri" w:hAnsi="Calibri"/>
      <w:sz w:val="22"/>
    </w:rPr>
  </w:style>
  <w:style w:type="paragraph" w:customStyle="1" w:styleId="Nummering1">
    <w:name w:val="Nummering1"/>
    <w:basedOn w:val="Standaard"/>
    <w:uiPriority w:val="99"/>
    <w:semiHidden/>
    <w:rsid w:val="008031D3"/>
    <w:pPr>
      <w:numPr>
        <w:numId w:val="12"/>
      </w:numPr>
      <w:tabs>
        <w:tab w:val="right" w:pos="2126"/>
        <w:tab w:val="left" w:pos="2268"/>
        <w:tab w:val="right" w:pos="6662"/>
        <w:tab w:val="left" w:pos="6804"/>
      </w:tabs>
      <w:spacing w:after="240" w:line="280" w:lineRule="exact"/>
    </w:pPr>
    <w:rPr>
      <w:rFonts w:ascii="Arial" w:eastAsia="Times New Roman" w:hAnsi="Arial"/>
      <w:b/>
      <w:szCs w:val="24"/>
      <w:u w:val="single"/>
      <w:lang w:val="en-US"/>
    </w:rPr>
  </w:style>
  <w:style w:type="paragraph" w:customStyle="1" w:styleId="Nummering11">
    <w:name w:val="Nummering1.1"/>
    <w:basedOn w:val="Nummering1"/>
    <w:uiPriority w:val="99"/>
    <w:semiHidden/>
    <w:rsid w:val="008031D3"/>
    <w:pPr>
      <w:numPr>
        <w:ilvl w:val="1"/>
      </w:numPr>
      <w:spacing w:after="0"/>
    </w:pPr>
    <w:rPr>
      <w:u w:val="none"/>
    </w:rPr>
  </w:style>
  <w:style w:type="paragraph" w:customStyle="1" w:styleId="Nummering111">
    <w:name w:val="Nummering1.1.1"/>
    <w:basedOn w:val="Standaard"/>
    <w:uiPriority w:val="99"/>
    <w:semiHidden/>
    <w:rsid w:val="008031D3"/>
    <w:pPr>
      <w:numPr>
        <w:ilvl w:val="2"/>
        <w:numId w:val="12"/>
      </w:numPr>
      <w:tabs>
        <w:tab w:val="right" w:pos="2126"/>
        <w:tab w:val="left" w:pos="2268"/>
        <w:tab w:val="right" w:pos="6662"/>
        <w:tab w:val="left" w:pos="6804"/>
      </w:tabs>
      <w:spacing w:line="280" w:lineRule="exact"/>
    </w:pPr>
    <w:rPr>
      <w:rFonts w:ascii="Arial" w:eastAsia="Times New Roman" w:hAnsi="Arial"/>
      <w:szCs w:val="24"/>
      <w:lang w:val="en-US"/>
    </w:rPr>
  </w:style>
  <w:style w:type="paragraph" w:customStyle="1" w:styleId="Nummering1111">
    <w:name w:val="Nummering1.1.1.1"/>
    <w:basedOn w:val="Nummering111"/>
    <w:next w:val="Nummering111"/>
    <w:uiPriority w:val="99"/>
    <w:semiHidden/>
    <w:rsid w:val="008031D3"/>
    <w:pPr>
      <w:numPr>
        <w:ilvl w:val="3"/>
      </w:numPr>
    </w:pPr>
  </w:style>
  <w:style w:type="paragraph" w:customStyle="1" w:styleId="Default">
    <w:name w:val="Default"/>
    <w:uiPriority w:val="99"/>
    <w:semiHidden/>
    <w:rsid w:val="008031D3"/>
    <w:pPr>
      <w:autoSpaceDE w:val="0"/>
      <w:autoSpaceDN w:val="0"/>
      <w:adjustRightInd w:val="0"/>
    </w:pPr>
    <w:rPr>
      <w:rFonts w:ascii="Trebuchet MS" w:eastAsia="Times New Roman" w:hAnsi="Trebuchet MS" w:cs="Trebuchet MS"/>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1262">
      <w:bodyDiv w:val="1"/>
      <w:marLeft w:val="0"/>
      <w:marRight w:val="0"/>
      <w:marTop w:val="0"/>
      <w:marBottom w:val="0"/>
      <w:divBdr>
        <w:top w:val="none" w:sz="0" w:space="0" w:color="auto"/>
        <w:left w:val="none" w:sz="0" w:space="0" w:color="auto"/>
        <w:bottom w:val="none" w:sz="0" w:space="0" w:color="auto"/>
        <w:right w:val="none" w:sz="0" w:space="0" w:color="auto"/>
      </w:divBdr>
    </w:div>
    <w:div w:id="156082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omzend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04625E456141399E8588F010351001"/>
        <w:category>
          <w:name w:val="Algemeen"/>
          <w:gallery w:val="placeholder"/>
        </w:category>
        <w:types>
          <w:type w:val="bbPlcHdr"/>
        </w:types>
        <w:behaviors>
          <w:behavior w:val="content"/>
        </w:behaviors>
        <w:guid w:val="{819FC6BA-1EB1-48E0-AF43-C7F441D6996A}"/>
      </w:docPartPr>
      <w:docPartBody>
        <w:p w:rsidR="001A0F2E" w:rsidRDefault="00B50DDC">
          <w:pPr>
            <w:pStyle w:val="2704625E456141399E8588F010351001"/>
          </w:pPr>
          <w:r>
            <w:t>{datum van de omzendbrief}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58hr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DC"/>
    <w:rsid w:val="001A0F2E"/>
    <w:rsid w:val="00B50D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FBA3502D754A5DA810FA6A7D2D8391">
    <w:name w:val="CCFBA3502D754A5DA810FA6A7D2D8391"/>
  </w:style>
  <w:style w:type="paragraph" w:customStyle="1" w:styleId="2704625E456141399E8588F010351001">
    <w:name w:val="2704625E456141399E8588F010351001"/>
  </w:style>
  <w:style w:type="paragraph" w:customStyle="1" w:styleId="145C640EAC1B42DBA921A489AFE2B7D0">
    <w:name w:val="145C640EAC1B42DBA921A489AFE2B7D0"/>
  </w:style>
  <w:style w:type="paragraph" w:customStyle="1" w:styleId="348D17BAD2904FF3B63A62B0731C8A73">
    <w:name w:val="348D17BAD2904FF3B63A62B0731C8A73"/>
  </w:style>
  <w:style w:type="paragraph" w:customStyle="1" w:styleId="5DDB11DE0BC647458C30812297536024">
    <w:name w:val="5DDB11DE0BC647458C30812297536024"/>
  </w:style>
  <w:style w:type="paragraph" w:customStyle="1" w:styleId="A9C2B31FB3FC4C40B52FA9DC70E327FD">
    <w:name w:val="A9C2B31FB3FC4C40B52FA9DC70E327FD"/>
  </w:style>
  <w:style w:type="paragraph" w:customStyle="1" w:styleId="6DC8C2146B6F443FA1481DFE4DE5DD44">
    <w:name w:val="6DC8C2146B6F443FA1481DFE4DE5DD44"/>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C0A48E85990540CC9C4047B8CBCFFFF0">
    <w:name w:val="C0A48E85990540CC9C4047B8CBCFFF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CFBA3502D754A5DA810FA6A7D2D8391">
    <w:name w:val="CCFBA3502D754A5DA810FA6A7D2D8391"/>
  </w:style>
  <w:style w:type="paragraph" w:customStyle="1" w:styleId="2704625E456141399E8588F010351001">
    <w:name w:val="2704625E456141399E8588F010351001"/>
  </w:style>
  <w:style w:type="paragraph" w:customStyle="1" w:styleId="145C640EAC1B42DBA921A489AFE2B7D0">
    <w:name w:val="145C640EAC1B42DBA921A489AFE2B7D0"/>
  </w:style>
  <w:style w:type="paragraph" w:customStyle="1" w:styleId="348D17BAD2904FF3B63A62B0731C8A73">
    <w:name w:val="348D17BAD2904FF3B63A62B0731C8A73"/>
  </w:style>
  <w:style w:type="paragraph" w:customStyle="1" w:styleId="5DDB11DE0BC647458C30812297536024">
    <w:name w:val="5DDB11DE0BC647458C30812297536024"/>
  </w:style>
  <w:style w:type="paragraph" w:customStyle="1" w:styleId="A9C2B31FB3FC4C40B52FA9DC70E327FD">
    <w:name w:val="A9C2B31FB3FC4C40B52FA9DC70E327FD"/>
  </w:style>
  <w:style w:type="paragraph" w:customStyle="1" w:styleId="6DC8C2146B6F443FA1481DFE4DE5DD44">
    <w:name w:val="6DC8C2146B6F443FA1481DFE4DE5DD44"/>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C0A48E85990540CC9C4047B8CBCFFFF0">
    <w:name w:val="C0A48E85990540CC9C4047B8CBCFF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VAPH_omzendbrief</Template>
  <TotalTime>8</TotalTime>
  <Pages>9</Pages>
  <Words>3609</Words>
  <Characters>19850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dc:creator>
  <cp:lastModifiedBy>Ann Allemant</cp:lastModifiedBy>
  <cp:revision>6</cp:revision>
  <cp:lastPrinted>2015-02-03T13:50:00Z</cp:lastPrinted>
  <dcterms:created xsi:type="dcterms:W3CDTF">2015-02-03T13:33:00Z</dcterms:created>
  <dcterms:modified xsi:type="dcterms:W3CDTF">2015-02-03T13:51:00Z</dcterms:modified>
</cp:coreProperties>
</file>