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5ED" w:rsidRDefault="00FD55ED">
      <w:pPr>
        <w:rPr>
          <w:rFonts w:ascii="Arial" w:eastAsia="Arial" w:hAnsi="Arial" w:cs="Arial"/>
          <w:b/>
          <w:sz w:val="12"/>
          <w:szCs w:val="12"/>
        </w:rPr>
      </w:pPr>
    </w:p>
    <w:p w:rsidR="00FD55ED" w:rsidRDefault="00D909BE">
      <w:pPr>
        <w:widowControl w:val="0"/>
        <w:spacing w:line="240" w:lineRule="auto"/>
      </w:pPr>
      <w:r>
        <w:rPr>
          <w:noProof/>
          <w:lang w:val="nl-BE"/>
        </w:rPr>
        <w:drawing>
          <wp:inline distT="114300" distB="114300" distL="114300" distR="114300" wp14:anchorId="5109FEF6" wp14:editId="07870A06">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FD55ED" w:rsidRDefault="00FD55ED">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3240"/>
        <w:gridCol w:w="5640"/>
      </w:tblGrid>
      <w:tr w:rsidR="00FD55ED">
        <w:tc>
          <w:tcPr>
            <w:tcW w:w="3240" w:type="dxa"/>
            <w:vMerge w:val="restart"/>
            <w:shd w:val="clear" w:color="auto" w:fill="auto"/>
            <w:tcMar>
              <w:top w:w="60" w:type="dxa"/>
              <w:left w:w="100" w:type="dxa"/>
              <w:bottom w:w="60" w:type="dxa"/>
              <w:right w:w="100" w:type="dxa"/>
            </w:tcMar>
          </w:tcPr>
          <w:p w:rsidR="00FD55ED" w:rsidRPr="0002093D" w:rsidRDefault="00D909BE">
            <w:pPr>
              <w:widowControl w:val="0"/>
              <w:spacing w:line="240" w:lineRule="auto"/>
              <w:rPr>
                <w:color w:val="666666"/>
                <w:lang w:val="nl-BE"/>
              </w:rPr>
            </w:pPr>
            <w:proofErr w:type="spellStart"/>
            <w:r w:rsidRPr="0002093D">
              <w:rPr>
                <w:color w:val="666666"/>
                <w:lang w:val="nl-BE"/>
              </w:rPr>
              <w:t>Zenithgebouw</w:t>
            </w:r>
            <w:proofErr w:type="spellEnd"/>
          </w:p>
          <w:p w:rsidR="00FD55ED" w:rsidRPr="0002093D" w:rsidRDefault="00D909BE">
            <w:pPr>
              <w:widowControl w:val="0"/>
              <w:spacing w:line="240" w:lineRule="auto"/>
              <w:rPr>
                <w:color w:val="666666"/>
                <w:lang w:val="nl-BE"/>
              </w:rPr>
            </w:pPr>
            <w:r w:rsidRPr="0002093D">
              <w:rPr>
                <w:color w:val="666666"/>
                <w:lang w:val="nl-BE"/>
              </w:rPr>
              <w:t>Koning Albert II-laan 37</w:t>
            </w:r>
            <w:r w:rsidRPr="0002093D">
              <w:rPr>
                <w:color w:val="666666"/>
                <w:lang w:val="nl-BE"/>
              </w:rPr>
              <w:br/>
              <w:t>1030 BRUSSEL</w:t>
            </w:r>
          </w:p>
          <w:p w:rsidR="00FD55ED" w:rsidRDefault="00D909BE">
            <w:pPr>
              <w:widowControl w:val="0"/>
              <w:spacing w:line="240" w:lineRule="auto"/>
            </w:pPr>
            <w:r>
              <w:t>www.vaph.be</w:t>
            </w:r>
          </w:p>
        </w:tc>
        <w:tc>
          <w:tcPr>
            <w:tcW w:w="5640" w:type="dxa"/>
            <w:shd w:val="clear" w:color="auto" w:fill="auto"/>
            <w:tcMar>
              <w:top w:w="60" w:type="dxa"/>
              <w:left w:w="100" w:type="dxa"/>
              <w:bottom w:w="60" w:type="dxa"/>
              <w:right w:w="100" w:type="dxa"/>
            </w:tcMar>
          </w:tcPr>
          <w:p w:rsidR="00FD55ED" w:rsidRDefault="00D909BE">
            <w:pPr>
              <w:widowControl w:val="0"/>
              <w:jc w:val="right"/>
              <w:rPr>
                <w:b/>
                <w:sz w:val="36"/>
                <w:szCs w:val="36"/>
              </w:rPr>
            </w:pPr>
            <w:r>
              <w:rPr>
                <w:b/>
                <w:sz w:val="36"/>
                <w:szCs w:val="36"/>
              </w:rPr>
              <w:t>INFONOTA</w:t>
            </w:r>
          </w:p>
        </w:tc>
      </w:tr>
      <w:tr w:rsidR="00FD55ED" w:rsidRPr="0002093D">
        <w:tc>
          <w:tcPr>
            <w:tcW w:w="3240" w:type="dxa"/>
            <w:vMerge/>
            <w:shd w:val="clear" w:color="auto" w:fill="auto"/>
            <w:tcMar>
              <w:top w:w="100" w:type="dxa"/>
              <w:left w:w="100" w:type="dxa"/>
              <w:bottom w:w="100" w:type="dxa"/>
              <w:right w:w="100" w:type="dxa"/>
            </w:tcMar>
          </w:tcPr>
          <w:p w:rsidR="00FD55ED" w:rsidRDefault="00FD55ED">
            <w:pPr>
              <w:widowControl w:val="0"/>
            </w:pPr>
          </w:p>
        </w:tc>
        <w:tc>
          <w:tcPr>
            <w:tcW w:w="5640" w:type="dxa"/>
            <w:shd w:val="clear" w:color="auto" w:fill="auto"/>
            <w:tcMar>
              <w:top w:w="60" w:type="dxa"/>
              <w:left w:w="100" w:type="dxa"/>
              <w:bottom w:w="60" w:type="dxa"/>
              <w:right w:w="100" w:type="dxa"/>
            </w:tcMar>
          </w:tcPr>
          <w:p w:rsidR="00FD55ED" w:rsidRPr="0002093D" w:rsidRDefault="00D909BE">
            <w:pPr>
              <w:widowControl w:val="0"/>
              <w:jc w:val="right"/>
              <w:rPr>
                <w:b/>
                <w:sz w:val="26"/>
                <w:szCs w:val="26"/>
                <w:lang w:val="nl-BE"/>
              </w:rPr>
            </w:pPr>
            <w:proofErr w:type="spellStart"/>
            <w:r w:rsidRPr="0002093D">
              <w:rPr>
                <w:sz w:val="26"/>
                <w:szCs w:val="26"/>
                <w:lang w:val="nl-BE"/>
              </w:rPr>
              <w:t>Aan:aanbieders</w:t>
            </w:r>
            <w:proofErr w:type="spellEnd"/>
            <w:r w:rsidRPr="0002093D">
              <w:rPr>
                <w:sz w:val="26"/>
                <w:szCs w:val="26"/>
                <w:lang w:val="nl-BE"/>
              </w:rPr>
              <w:t xml:space="preserve"> van rechtstreeks toegankelijke hulp (RTH-diensten), multifunctionele centra (MFC), vergunde zorgaanbieders (VZA)</w:t>
            </w:r>
          </w:p>
        </w:tc>
      </w:tr>
      <w:tr w:rsidR="00FD55ED">
        <w:tc>
          <w:tcPr>
            <w:tcW w:w="3240" w:type="dxa"/>
            <w:vMerge/>
            <w:shd w:val="clear" w:color="auto" w:fill="auto"/>
            <w:tcMar>
              <w:top w:w="100" w:type="dxa"/>
              <w:left w:w="100" w:type="dxa"/>
              <w:bottom w:w="100" w:type="dxa"/>
              <w:right w:w="100" w:type="dxa"/>
            </w:tcMar>
          </w:tcPr>
          <w:p w:rsidR="00FD55ED" w:rsidRPr="0002093D" w:rsidRDefault="00FD55ED">
            <w:pPr>
              <w:widowControl w:val="0"/>
              <w:rPr>
                <w:lang w:val="nl-BE"/>
              </w:rPr>
            </w:pPr>
          </w:p>
        </w:tc>
        <w:tc>
          <w:tcPr>
            <w:tcW w:w="5640" w:type="dxa"/>
            <w:shd w:val="clear" w:color="auto" w:fill="auto"/>
            <w:tcMar>
              <w:top w:w="60" w:type="dxa"/>
              <w:left w:w="100" w:type="dxa"/>
              <w:bottom w:w="60" w:type="dxa"/>
              <w:right w:w="100" w:type="dxa"/>
            </w:tcMar>
          </w:tcPr>
          <w:p w:rsidR="00FD55ED" w:rsidRDefault="00D909BE">
            <w:pPr>
              <w:widowControl w:val="0"/>
              <w:jc w:val="right"/>
              <w:rPr>
                <w:color w:val="666666"/>
              </w:rPr>
            </w:pPr>
            <w:r>
              <w:rPr>
                <w:color w:val="666666"/>
              </w:rPr>
              <w:t xml:space="preserve">14  </w:t>
            </w:r>
            <w:proofErr w:type="spellStart"/>
            <w:r>
              <w:rPr>
                <w:color w:val="666666"/>
              </w:rPr>
              <w:t>februari</w:t>
            </w:r>
            <w:proofErr w:type="spellEnd"/>
            <w:r>
              <w:rPr>
                <w:color w:val="666666"/>
              </w:rPr>
              <w:t xml:space="preserve"> 2020</w:t>
            </w:r>
          </w:p>
        </w:tc>
      </w:tr>
      <w:tr w:rsidR="00FD55ED">
        <w:tc>
          <w:tcPr>
            <w:tcW w:w="3240" w:type="dxa"/>
            <w:vMerge/>
            <w:shd w:val="clear" w:color="auto" w:fill="auto"/>
            <w:tcMar>
              <w:top w:w="100" w:type="dxa"/>
              <w:left w:w="100" w:type="dxa"/>
              <w:bottom w:w="100" w:type="dxa"/>
              <w:right w:w="100" w:type="dxa"/>
            </w:tcMar>
          </w:tcPr>
          <w:p w:rsidR="00FD55ED" w:rsidRDefault="00FD55ED">
            <w:pPr>
              <w:widowControl w:val="0"/>
            </w:pPr>
          </w:p>
        </w:tc>
        <w:tc>
          <w:tcPr>
            <w:tcW w:w="5640" w:type="dxa"/>
            <w:shd w:val="clear" w:color="auto" w:fill="auto"/>
            <w:tcMar>
              <w:top w:w="60" w:type="dxa"/>
              <w:left w:w="100" w:type="dxa"/>
              <w:bottom w:w="60" w:type="dxa"/>
              <w:right w:w="100" w:type="dxa"/>
            </w:tcMar>
          </w:tcPr>
          <w:p w:rsidR="00FD55ED" w:rsidRDefault="00D909BE">
            <w:pPr>
              <w:widowControl w:val="0"/>
              <w:jc w:val="right"/>
              <w:rPr>
                <w:color w:val="666666"/>
              </w:rPr>
            </w:pPr>
            <w:r>
              <w:rPr>
                <w:color w:val="666666"/>
              </w:rPr>
              <w:t>INF/20/10</w:t>
            </w:r>
          </w:p>
        </w:tc>
      </w:tr>
      <w:tr w:rsidR="00FD55ED">
        <w:tc>
          <w:tcPr>
            <w:tcW w:w="3240" w:type="dxa"/>
            <w:shd w:val="clear" w:color="auto" w:fill="auto"/>
            <w:tcMar>
              <w:top w:w="20" w:type="dxa"/>
              <w:left w:w="100" w:type="dxa"/>
              <w:bottom w:w="20" w:type="dxa"/>
              <w:right w:w="100" w:type="dxa"/>
            </w:tcMar>
          </w:tcPr>
          <w:p w:rsidR="00FD55ED" w:rsidRDefault="00D909BE">
            <w:pPr>
              <w:widowControl w:val="0"/>
              <w:jc w:val="right"/>
              <w:rPr>
                <w:b/>
                <w:sz w:val="20"/>
                <w:szCs w:val="20"/>
              </w:rPr>
            </w:pPr>
            <w:proofErr w:type="spellStart"/>
            <w:r>
              <w:rPr>
                <w:b/>
                <w:sz w:val="20"/>
                <w:szCs w:val="20"/>
              </w:rPr>
              <w:t>Contactpersoon</w:t>
            </w:r>
            <w:proofErr w:type="spellEnd"/>
          </w:p>
        </w:tc>
        <w:tc>
          <w:tcPr>
            <w:tcW w:w="5640" w:type="dxa"/>
            <w:shd w:val="clear" w:color="auto" w:fill="auto"/>
            <w:tcMar>
              <w:top w:w="20" w:type="dxa"/>
              <w:left w:w="100" w:type="dxa"/>
              <w:bottom w:w="20" w:type="dxa"/>
              <w:right w:w="100" w:type="dxa"/>
            </w:tcMar>
            <w:vAlign w:val="bottom"/>
          </w:tcPr>
          <w:p w:rsidR="00FD55ED" w:rsidRDefault="00D909BE">
            <w:pPr>
              <w:widowControl w:val="0"/>
            </w:pPr>
            <w:r>
              <w:t>Team financiering</w:t>
            </w:r>
          </w:p>
        </w:tc>
      </w:tr>
      <w:tr w:rsidR="00FD55ED">
        <w:tc>
          <w:tcPr>
            <w:tcW w:w="3240" w:type="dxa"/>
            <w:shd w:val="clear" w:color="auto" w:fill="auto"/>
            <w:tcMar>
              <w:top w:w="20" w:type="dxa"/>
              <w:left w:w="100" w:type="dxa"/>
              <w:bottom w:w="20" w:type="dxa"/>
              <w:right w:w="100" w:type="dxa"/>
            </w:tcMar>
          </w:tcPr>
          <w:p w:rsidR="00FD55ED" w:rsidRDefault="00D909BE">
            <w:pPr>
              <w:widowControl w:val="0"/>
              <w:jc w:val="right"/>
              <w:rPr>
                <w:b/>
                <w:sz w:val="20"/>
                <w:szCs w:val="20"/>
              </w:rPr>
            </w:pPr>
            <w:r>
              <w:rPr>
                <w:b/>
                <w:sz w:val="20"/>
                <w:szCs w:val="20"/>
              </w:rPr>
              <w:t>E-mail</w:t>
            </w:r>
          </w:p>
        </w:tc>
        <w:tc>
          <w:tcPr>
            <w:tcW w:w="5640" w:type="dxa"/>
            <w:shd w:val="clear" w:color="auto" w:fill="auto"/>
            <w:tcMar>
              <w:top w:w="20" w:type="dxa"/>
              <w:left w:w="100" w:type="dxa"/>
              <w:bottom w:w="20" w:type="dxa"/>
              <w:right w:w="100" w:type="dxa"/>
            </w:tcMar>
            <w:vAlign w:val="bottom"/>
          </w:tcPr>
          <w:p w:rsidR="00FD55ED" w:rsidRDefault="00D909BE">
            <w:pPr>
              <w:widowControl w:val="0"/>
              <w:rPr>
                <w:sz w:val="20"/>
                <w:szCs w:val="20"/>
              </w:rPr>
            </w:pPr>
            <w:r>
              <w:rPr>
                <w:sz w:val="20"/>
                <w:szCs w:val="20"/>
              </w:rPr>
              <w:t>afrekeningen@vaph.be</w:t>
            </w:r>
          </w:p>
        </w:tc>
      </w:tr>
      <w:tr w:rsidR="00FD55ED">
        <w:tc>
          <w:tcPr>
            <w:tcW w:w="3240" w:type="dxa"/>
            <w:shd w:val="clear" w:color="auto" w:fill="auto"/>
            <w:tcMar>
              <w:top w:w="20" w:type="dxa"/>
              <w:left w:w="100" w:type="dxa"/>
              <w:bottom w:w="20" w:type="dxa"/>
              <w:right w:w="100" w:type="dxa"/>
            </w:tcMar>
          </w:tcPr>
          <w:p w:rsidR="00FD55ED" w:rsidRDefault="00D909BE">
            <w:pPr>
              <w:widowControl w:val="0"/>
              <w:jc w:val="right"/>
              <w:rPr>
                <w:b/>
                <w:sz w:val="20"/>
                <w:szCs w:val="20"/>
              </w:rPr>
            </w:pPr>
            <w:proofErr w:type="spellStart"/>
            <w:r>
              <w:rPr>
                <w:b/>
                <w:sz w:val="20"/>
                <w:szCs w:val="20"/>
              </w:rPr>
              <w:t>Telefoon</w:t>
            </w:r>
            <w:proofErr w:type="spellEnd"/>
          </w:p>
        </w:tc>
        <w:tc>
          <w:tcPr>
            <w:tcW w:w="5640" w:type="dxa"/>
            <w:shd w:val="clear" w:color="auto" w:fill="auto"/>
            <w:tcMar>
              <w:top w:w="20" w:type="dxa"/>
              <w:left w:w="100" w:type="dxa"/>
              <w:bottom w:w="20" w:type="dxa"/>
              <w:right w:w="100" w:type="dxa"/>
            </w:tcMar>
            <w:vAlign w:val="bottom"/>
          </w:tcPr>
          <w:p w:rsidR="00FD55ED" w:rsidRDefault="00D909BE">
            <w:pPr>
              <w:widowControl w:val="0"/>
              <w:rPr>
                <w:sz w:val="20"/>
                <w:szCs w:val="20"/>
              </w:rPr>
            </w:pPr>
            <w:r>
              <w:rPr>
                <w:sz w:val="20"/>
                <w:szCs w:val="20"/>
              </w:rPr>
              <w:t>02 249 39 82</w:t>
            </w:r>
          </w:p>
        </w:tc>
      </w:tr>
      <w:tr w:rsidR="00FD55ED">
        <w:tc>
          <w:tcPr>
            <w:tcW w:w="3240" w:type="dxa"/>
            <w:shd w:val="clear" w:color="auto" w:fill="auto"/>
            <w:tcMar>
              <w:top w:w="20" w:type="dxa"/>
              <w:left w:w="100" w:type="dxa"/>
              <w:bottom w:w="20" w:type="dxa"/>
              <w:right w:w="100" w:type="dxa"/>
            </w:tcMar>
          </w:tcPr>
          <w:p w:rsidR="00FD55ED" w:rsidRDefault="00D909BE">
            <w:pPr>
              <w:widowControl w:val="0"/>
              <w:jc w:val="right"/>
              <w:rPr>
                <w:b/>
                <w:sz w:val="20"/>
                <w:szCs w:val="20"/>
              </w:rPr>
            </w:pPr>
            <w:proofErr w:type="spellStart"/>
            <w:r>
              <w:rPr>
                <w:b/>
                <w:sz w:val="20"/>
                <w:szCs w:val="20"/>
              </w:rPr>
              <w:t>Bijlagen</w:t>
            </w:r>
            <w:proofErr w:type="spellEnd"/>
          </w:p>
        </w:tc>
        <w:tc>
          <w:tcPr>
            <w:tcW w:w="5640" w:type="dxa"/>
            <w:shd w:val="clear" w:color="auto" w:fill="auto"/>
            <w:tcMar>
              <w:top w:w="20" w:type="dxa"/>
              <w:left w:w="100" w:type="dxa"/>
              <w:bottom w:w="20" w:type="dxa"/>
              <w:right w:w="100" w:type="dxa"/>
            </w:tcMar>
            <w:vAlign w:val="bottom"/>
          </w:tcPr>
          <w:p w:rsidR="00FD55ED" w:rsidRDefault="00D909BE">
            <w:pPr>
              <w:widowControl w:val="0"/>
              <w:rPr>
                <w:sz w:val="20"/>
                <w:szCs w:val="20"/>
              </w:rPr>
            </w:pPr>
            <w:proofErr w:type="spellStart"/>
            <w:r>
              <w:rPr>
                <w:sz w:val="20"/>
                <w:szCs w:val="20"/>
              </w:rPr>
              <w:t>geen</w:t>
            </w:r>
            <w:proofErr w:type="spellEnd"/>
          </w:p>
        </w:tc>
      </w:tr>
      <w:tr w:rsidR="00FD55ED" w:rsidRPr="0002093D">
        <w:tc>
          <w:tcPr>
            <w:tcW w:w="8880" w:type="dxa"/>
            <w:gridSpan w:val="2"/>
            <w:shd w:val="clear" w:color="auto" w:fill="auto"/>
            <w:tcMar>
              <w:top w:w="60" w:type="dxa"/>
              <w:left w:w="100" w:type="dxa"/>
              <w:bottom w:w="60" w:type="dxa"/>
              <w:right w:w="100" w:type="dxa"/>
            </w:tcMar>
          </w:tcPr>
          <w:p w:rsidR="00FD55ED" w:rsidRPr="0002093D" w:rsidRDefault="00D909BE">
            <w:pPr>
              <w:widowControl w:val="0"/>
              <w:rPr>
                <w:sz w:val="34"/>
                <w:szCs w:val="34"/>
                <w:lang w:val="nl-BE"/>
              </w:rPr>
            </w:pPr>
            <w:r w:rsidRPr="0002093D">
              <w:rPr>
                <w:sz w:val="34"/>
                <w:szCs w:val="34"/>
                <w:lang w:val="nl-BE"/>
              </w:rPr>
              <w:t>Registratie prestaties uitgewisselde RTH punten en het afrekeningsdossier</w:t>
            </w:r>
          </w:p>
        </w:tc>
      </w:tr>
      <w:tr w:rsidR="00FD55ED" w:rsidRPr="0002093D">
        <w:trPr>
          <w:trHeight w:val="260"/>
        </w:trPr>
        <w:tc>
          <w:tcPr>
            <w:tcW w:w="8880" w:type="dxa"/>
            <w:gridSpan w:val="2"/>
            <w:shd w:val="clear" w:color="auto" w:fill="auto"/>
            <w:tcMar>
              <w:top w:w="0" w:type="dxa"/>
              <w:left w:w="0" w:type="dxa"/>
              <w:bottom w:w="0" w:type="dxa"/>
              <w:right w:w="0" w:type="dxa"/>
            </w:tcMar>
          </w:tcPr>
          <w:p w:rsidR="00FD55ED" w:rsidRPr="0002093D" w:rsidRDefault="00FD55ED">
            <w:pPr>
              <w:widowControl w:val="0"/>
              <w:spacing w:after="100" w:line="240" w:lineRule="auto"/>
              <w:rPr>
                <w:lang w:val="nl-BE"/>
              </w:rPr>
            </w:pPr>
          </w:p>
          <w:p w:rsidR="00FD55ED" w:rsidRPr="0002093D" w:rsidRDefault="00D909BE">
            <w:pPr>
              <w:widowControl w:val="0"/>
              <w:spacing w:after="100" w:line="240" w:lineRule="auto"/>
              <w:rPr>
                <w:b/>
                <w:sz w:val="28"/>
                <w:szCs w:val="28"/>
                <w:lang w:val="nl-BE"/>
              </w:rPr>
            </w:pPr>
            <w:r w:rsidRPr="0002093D">
              <w:rPr>
                <w:b/>
                <w:sz w:val="28"/>
                <w:szCs w:val="28"/>
                <w:lang w:val="nl-BE"/>
              </w:rPr>
              <w:t>Registratie van prestaties uitgewisselde RTH punten en  het afrekeningsdossier</w:t>
            </w:r>
          </w:p>
        </w:tc>
      </w:tr>
      <w:tr w:rsidR="00FD55ED" w:rsidRPr="0002093D">
        <w:tc>
          <w:tcPr>
            <w:tcW w:w="8880" w:type="dxa"/>
            <w:gridSpan w:val="2"/>
            <w:shd w:val="clear" w:color="auto" w:fill="auto"/>
            <w:tcMar>
              <w:top w:w="60" w:type="dxa"/>
              <w:left w:w="100" w:type="dxa"/>
              <w:bottom w:w="60" w:type="dxa"/>
              <w:right w:w="100" w:type="dxa"/>
            </w:tcMar>
          </w:tcPr>
          <w:p w:rsidR="00FD55ED" w:rsidRPr="0002093D" w:rsidRDefault="00D909BE">
            <w:pPr>
              <w:widowControl w:val="0"/>
              <w:jc w:val="right"/>
              <w:rPr>
                <w:sz w:val="20"/>
                <w:szCs w:val="20"/>
                <w:lang w:val="nl-BE"/>
              </w:rPr>
            </w:pPr>
            <w:r w:rsidRPr="0002093D">
              <w:rPr>
                <w:sz w:val="20"/>
                <w:szCs w:val="20"/>
                <w:lang w:val="nl-BE"/>
              </w:rPr>
              <w:t xml:space="preserve"> </w:t>
            </w:r>
          </w:p>
        </w:tc>
      </w:tr>
    </w:tbl>
    <w:p w:rsidR="00FD55ED" w:rsidRPr="0002093D" w:rsidRDefault="00D909BE">
      <w:pPr>
        <w:widowControl w:val="0"/>
        <w:rPr>
          <w:lang w:val="nl-BE"/>
        </w:rPr>
      </w:pPr>
      <w:r w:rsidRPr="0002093D">
        <w:rPr>
          <w:lang w:val="nl-BE"/>
        </w:rPr>
        <w:t>Het uitwisselen van RTH punten biedt voorzieningen de mogelijkheid om flexibel en efficiënt RTH ondersteuning te kunnen aanbieden waar nodig. Het registreren van de geleverde prestaties in de GIR voor zowel penhouder als ontvanger verloopt echter vaak onzo</w:t>
      </w:r>
      <w:r w:rsidRPr="0002093D">
        <w:rPr>
          <w:lang w:val="nl-BE"/>
        </w:rPr>
        <w:t>rgvuldig. Door het rechtzetten van deze fouten bij de afrekening en het feit dat verschillende afrekeningsdossiers hierdoor met elkaar verbonden zijn, loopt het afrekeningsproces van betrokken subsidie-eenheden (</w:t>
      </w:r>
      <w:proofErr w:type="spellStart"/>
      <w:r w:rsidRPr="0002093D">
        <w:rPr>
          <w:lang w:val="nl-BE"/>
        </w:rPr>
        <w:t>SE’s</w:t>
      </w:r>
      <w:proofErr w:type="spellEnd"/>
      <w:r w:rsidRPr="0002093D">
        <w:rPr>
          <w:lang w:val="nl-BE"/>
        </w:rPr>
        <w:t>) aanzienlijke vertraging op. In deze in</w:t>
      </w:r>
      <w:r w:rsidRPr="0002093D">
        <w:rPr>
          <w:lang w:val="nl-BE"/>
        </w:rPr>
        <w:t>fonota wordt uitgelegd welke maatregelen het VAPH neemt vanaf werkingsjaar 2018 om alles vlotter te laten verlopen.</w:t>
      </w:r>
    </w:p>
    <w:p w:rsidR="00FD55ED" w:rsidRPr="0002093D" w:rsidRDefault="00FD55ED">
      <w:pPr>
        <w:widowControl w:val="0"/>
        <w:rPr>
          <w:lang w:val="nl-BE"/>
        </w:rPr>
      </w:pPr>
    </w:p>
    <w:p w:rsidR="00FD55ED" w:rsidRPr="0002093D" w:rsidRDefault="00D909BE">
      <w:pPr>
        <w:pBdr>
          <w:top w:val="nil"/>
          <w:left w:val="nil"/>
          <w:bottom w:val="nil"/>
          <w:right w:val="nil"/>
          <w:between w:val="nil"/>
        </w:pBdr>
        <w:rPr>
          <w:lang w:val="nl-BE"/>
        </w:rPr>
      </w:pPr>
      <w:r w:rsidRPr="0002093D">
        <w:rPr>
          <w:lang w:val="nl-BE"/>
        </w:rPr>
        <w:t>Vanaf het werkingsjaar 2018 worden voor de financiering van RTH, de gegevens gebruikt zoals geregistreerd in de GIR. In het afrekeningsdoss</w:t>
      </w:r>
      <w:r w:rsidRPr="0002093D">
        <w:rPr>
          <w:lang w:val="nl-BE"/>
        </w:rPr>
        <w:t>ier zullen geen rechtzettingen van foutieve registraties in de GIR meer aanvaard worden. We vragen dan ook om volgende acties te ondernemen:</w:t>
      </w:r>
    </w:p>
    <w:p w:rsidR="00FD55ED" w:rsidRPr="0002093D" w:rsidRDefault="00FD55ED">
      <w:pPr>
        <w:pBdr>
          <w:top w:val="nil"/>
          <w:left w:val="nil"/>
          <w:bottom w:val="nil"/>
          <w:right w:val="nil"/>
          <w:between w:val="nil"/>
        </w:pBdr>
        <w:rPr>
          <w:lang w:val="nl-BE"/>
        </w:rPr>
      </w:pPr>
    </w:p>
    <w:p w:rsidR="00FD55ED" w:rsidRDefault="00D909BE">
      <w:pPr>
        <w:pBdr>
          <w:top w:val="nil"/>
          <w:left w:val="nil"/>
          <w:bottom w:val="nil"/>
          <w:right w:val="nil"/>
          <w:between w:val="nil"/>
        </w:pBdr>
        <w:rPr>
          <w:b/>
          <w:u w:val="single"/>
          <w:lang w:val="nl-BE"/>
        </w:rPr>
      </w:pPr>
      <w:r w:rsidRPr="0002093D">
        <w:rPr>
          <w:b/>
          <w:u w:val="single"/>
          <w:lang w:val="nl-BE"/>
        </w:rPr>
        <w:t>Werkingsjaar 2018:</w:t>
      </w:r>
    </w:p>
    <w:p w:rsidR="0002093D" w:rsidRPr="0002093D" w:rsidRDefault="0002093D">
      <w:pPr>
        <w:pBdr>
          <w:top w:val="nil"/>
          <w:left w:val="nil"/>
          <w:bottom w:val="nil"/>
          <w:right w:val="nil"/>
          <w:between w:val="nil"/>
        </w:pBdr>
        <w:rPr>
          <w:b/>
          <w:u w:val="single"/>
          <w:lang w:val="nl-BE"/>
        </w:rPr>
      </w:pPr>
      <w:bookmarkStart w:id="0" w:name="_GoBack"/>
      <w:bookmarkEnd w:id="0"/>
    </w:p>
    <w:p w:rsidR="00FD55ED" w:rsidRPr="0002093D" w:rsidRDefault="00D909BE">
      <w:pPr>
        <w:numPr>
          <w:ilvl w:val="0"/>
          <w:numId w:val="1"/>
        </w:numPr>
        <w:pBdr>
          <w:top w:val="nil"/>
          <w:left w:val="nil"/>
          <w:bottom w:val="nil"/>
          <w:right w:val="nil"/>
          <w:between w:val="nil"/>
        </w:pBdr>
        <w:rPr>
          <w:lang w:val="nl-BE"/>
        </w:rPr>
      </w:pPr>
      <w:r w:rsidRPr="0002093D">
        <w:rPr>
          <w:lang w:val="nl-BE"/>
        </w:rPr>
        <w:t>U gaf in het afrekeningsdossier 2018 door hoeveel punten u uitwisselde en met wie; deze cijfers gebruikt u als leidraad om volgende controles uit te voeren;</w:t>
      </w:r>
    </w:p>
    <w:p w:rsidR="00FD55ED" w:rsidRPr="0002093D" w:rsidRDefault="00D909BE">
      <w:pPr>
        <w:numPr>
          <w:ilvl w:val="0"/>
          <w:numId w:val="1"/>
        </w:numPr>
        <w:pBdr>
          <w:top w:val="nil"/>
          <w:left w:val="nil"/>
          <w:bottom w:val="nil"/>
          <w:right w:val="nil"/>
          <w:between w:val="nil"/>
        </w:pBdr>
        <w:rPr>
          <w:lang w:val="nl-BE"/>
        </w:rPr>
      </w:pPr>
      <w:r w:rsidRPr="0002093D">
        <w:rPr>
          <w:b/>
          <w:lang w:val="nl-BE"/>
        </w:rPr>
        <w:t>Controleer</w:t>
      </w:r>
      <w:r w:rsidRPr="0002093D">
        <w:rPr>
          <w:lang w:val="nl-BE"/>
        </w:rPr>
        <w:t xml:space="preserve"> via het beschikbare</w:t>
      </w:r>
      <w:r w:rsidRPr="0002093D">
        <w:rPr>
          <w:b/>
          <w:lang w:val="nl-BE"/>
        </w:rPr>
        <w:t xml:space="preserve"> rapport in de GIR de RTH registraties</w:t>
      </w:r>
      <w:r w:rsidRPr="0002093D">
        <w:rPr>
          <w:lang w:val="nl-BE"/>
        </w:rPr>
        <w:t xml:space="preserve"> voor het werkingsjaar 2018;</w:t>
      </w:r>
    </w:p>
    <w:p w:rsidR="00FD55ED" w:rsidRPr="0002093D" w:rsidRDefault="00D909BE">
      <w:pPr>
        <w:numPr>
          <w:ilvl w:val="0"/>
          <w:numId w:val="1"/>
        </w:numPr>
        <w:pBdr>
          <w:top w:val="nil"/>
          <w:left w:val="nil"/>
          <w:bottom w:val="nil"/>
          <w:right w:val="nil"/>
          <w:between w:val="nil"/>
        </w:pBdr>
        <w:rPr>
          <w:lang w:val="nl-BE"/>
        </w:rPr>
      </w:pPr>
      <w:r w:rsidRPr="0002093D">
        <w:rPr>
          <w:lang w:val="nl-BE"/>
        </w:rPr>
        <w:lastRenderedPageBreak/>
        <w:t>In</w:t>
      </w:r>
      <w:r w:rsidRPr="0002093D">
        <w:rPr>
          <w:lang w:val="nl-BE"/>
        </w:rPr>
        <w:t>dien u RTH punten ontving van een andere RTH dienst, controleer grondig of u de betrokken prestaties registreerde onder de</w:t>
      </w:r>
      <w:r w:rsidRPr="0002093D">
        <w:rPr>
          <w:b/>
          <w:lang w:val="nl-BE"/>
        </w:rPr>
        <w:t xml:space="preserve"> juiste penhouder</w:t>
      </w:r>
      <w:r w:rsidRPr="0002093D">
        <w:rPr>
          <w:lang w:val="nl-BE"/>
        </w:rPr>
        <w:t>;</w:t>
      </w:r>
    </w:p>
    <w:p w:rsidR="00FD55ED" w:rsidRPr="0002093D" w:rsidRDefault="00D909BE">
      <w:pPr>
        <w:numPr>
          <w:ilvl w:val="0"/>
          <w:numId w:val="1"/>
        </w:numPr>
        <w:pBdr>
          <w:top w:val="nil"/>
          <w:left w:val="nil"/>
          <w:bottom w:val="nil"/>
          <w:right w:val="nil"/>
          <w:between w:val="nil"/>
        </w:pBdr>
        <w:rPr>
          <w:lang w:val="nl-BE"/>
        </w:rPr>
      </w:pPr>
      <w:r w:rsidRPr="0002093D">
        <w:rPr>
          <w:b/>
          <w:lang w:val="nl-BE"/>
        </w:rPr>
        <w:t>Indien u penhouder bent</w:t>
      </w:r>
      <w:r w:rsidRPr="0002093D">
        <w:rPr>
          <w:lang w:val="nl-BE"/>
        </w:rPr>
        <w:t xml:space="preserve">, controleer dan zeer grondig het </w:t>
      </w:r>
      <w:r w:rsidRPr="0002093D">
        <w:rPr>
          <w:b/>
          <w:lang w:val="nl-BE"/>
        </w:rPr>
        <w:t>rapport “penhouder”</w:t>
      </w:r>
      <w:r w:rsidRPr="0002093D">
        <w:rPr>
          <w:lang w:val="nl-BE"/>
        </w:rPr>
        <w:t>, zo kan u zien of uw ontvangers correc</w:t>
      </w:r>
      <w:r w:rsidRPr="0002093D">
        <w:rPr>
          <w:lang w:val="nl-BE"/>
        </w:rPr>
        <w:t>te prestaties hebben geregistreerd onder uw penhouderschap;</w:t>
      </w:r>
    </w:p>
    <w:p w:rsidR="00FD55ED" w:rsidRPr="0002093D" w:rsidRDefault="00D909BE">
      <w:pPr>
        <w:numPr>
          <w:ilvl w:val="0"/>
          <w:numId w:val="1"/>
        </w:numPr>
        <w:pBdr>
          <w:top w:val="nil"/>
          <w:left w:val="nil"/>
          <w:bottom w:val="nil"/>
          <w:right w:val="nil"/>
          <w:between w:val="nil"/>
        </w:pBdr>
        <w:rPr>
          <w:lang w:val="nl-BE"/>
        </w:rPr>
      </w:pPr>
      <w:r w:rsidRPr="0002093D">
        <w:rPr>
          <w:lang w:val="nl-BE"/>
        </w:rPr>
        <w:t xml:space="preserve">Indien u toch afwijkingen vindt kan u deze zelf niet aanpassen in de GIR. U neemt dan contact op met </w:t>
      </w:r>
      <w:hyperlink r:id="rId9">
        <w:r w:rsidRPr="0002093D">
          <w:rPr>
            <w:color w:val="1155CC"/>
            <w:u w:val="single"/>
            <w:lang w:val="nl-BE"/>
          </w:rPr>
          <w:t>clientregistratie@vaph.be</w:t>
        </w:r>
      </w:hyperlink>
      <w:r w:rsidRPr="0002093D">
        <w:rPr>
          <w:lang w:val="nl-BE"/>
        </w:rPr>
        <w:t xml:space="preserve"> vóór</w:t>
      </w:r>
      <w:r w:rsidRPr="0002093D">
        <w:rPr>
          <w:b/>
          <w:lang w:val="nl-BE"/>
        </w:rPr>
        <w:t xml:space="preserve"> 29/02/2020</w:t>
      </w:r>
      <w:r w:rsidRPr="0002093D">
        <w:rPr>
          <w:lang w:val="nl-BE"/>
        </w:rPr>
        <w:t xml:space="preserve">; </w:t>
      </w:r>
      <w:r w:rsidRPr="0002093D">
        <w:rPr>
          <w:lang w:val="nl-BE"/>
        </w:rPr>
        <w:t>zij zullen de nodige aanpassingen doen. Opgelet, na deze datum kan u aan de dienst cliëntregistratie  geen aanpassingen meer vragen.</w:t>
      </w:r>
    </w:p>
    <w:p w:rsidR="00FD55ED" w:rsidRPr="0002093D" w:rsidRDefault="00D909BE">
      <w:pPr>
        <w:numPr>
          <w:ilvl w:val="0"/>
          <w:numId w:val="1"/>
        </w:numPr>
        <w:pBdr>
          <w:top w:val="nil"/>
          <w:left w:val="nil"/>
          <w:bottom w:val="nil"/>
          <w:right w:val="nil"/>
          <w:between w:val="nil"/>
        </w:pBdr>
        <w:rPr>
          <w:lang w:val="nl-BE"/>
        </w:rPr>
      </w:pPr>
      <w:r w:rsidRPr="0002093D">
        <w:rPr>
          <w:lang w:val="nl-BE"/>
        </w:rPr>
        <w:t>Nadat de aanpassingen gebeurd zijn, controleert u nogmaals uw gegevens via bovenstaande rapporten</w:t>
      </w:r>
    </w:p>
    <w:p w:rsidR="00FD55ED" w:rsidRPr="0002093D" w:rsidRDefault="00FD55ED">
      <w:pPr>
        <w:pBdr>
          <w:top w:val="nil"/>
          <w:left w:val="nil"/>
          <w:bottom w:val="nil"/>
          <w:right w:val="nil"/>
          <w:between w:val="nil"/>
        </w:pBdr>
        <w:rPr>
          <w:lang w:val="nl-BE"/>
        </w:rPr>
      </w:pPr>
    </w:p>
    <w:p w:rsidR="00FD55ED" w:rsidRDefault="00D909BE">
      <w:pPr>
        <w:rPr>
          <w:b/>
          <w:u w:val="single"/>
        </w:rPr>
      </w:pPr>
      <w:proofErr w:type="spellStart"/>
      <w:r>
        <w:rPr>
          <w:b/>
          <w:u w:val="single"/>
        </w:rPr>
        <w:t>Werkingsjaar</w:t>
      </w:r>
      <w:proofErr w:type="spellEnd"/>
      <w:r>
        <w:rPr>
          <w:b/>
          <w:u w:val="single"/>
        </w:rPr>
        <w:t xml:space="preserve"> 2019:</w:t>
      </w:r>
    </w:p>
    <w:p w:rsidR="0002093D" w:rsidRDefault="0002093D">
      <w:pPr>
        <w:rPr>
          <w:b/>
          <w:u w:val="single"/>
        </w:rPr>
      </w:pPr>
    </w:p>
    <w:p w:rsidR="00FD55ED" w:rsidRPr="0002093D" w:rsidRDefault="00D909BE">
      <w:pPr>
        <w:numPr>
          <w:ilvl w:val="0"/>
          <w:numId w:val="2"/>
        </w:numPr>
        <w:rPr>
          <w:lang w:val="nl-BE"/>
        </w:rPr>
      </w:pPr>
      <w:r w:rsidRPr="0002093D">
        <w:rPr>
          <w:lang w:val="nl-BE"/>
        </w:rPr>
        <w:t>In de</w:t>
      </w:r>
      <w:r w:rsidRPr="0002093D">
        <w:rPr>
          <w:lang w:val="nl-BE"/>
        </w:rPr>
        <w:t xml:space="preserve"> maand maart 2020 krijgt u een taak in de webapplicatie Isis om de uitgewisselde punten door te geven. Verifieer grondig of u al de uitwisselingen voor 2019 correct invult.</w:t>
      </w:r>
    </w:p>
    <w:p w:rsidR="00FD55ED" w:rsidRPr="0002093D" w:rsidRDefault="00D909BE">
      <w:pPr>
        <w:numPr>
          <w:ilvl w:val="0"/>
          <w:numId w:val="2"/>
        </w:numPr>
        <w:rPr>
          <w:lang w:val="nl-BE"/>
        </w:rPr>
      </w:pPr>
      <w:r w:rsidRPr="0002093D">
        <w:rPr>
          <w:b/>
          <w:lang w:val="nl-BE"/>
        </w:rPr>
        <w:t>Controleer</w:t>
      </w:r>
      <w:r w:rsidRPr="0002093D">
        <w:rPr>
          <w:lang w:val="nl-BE"/>
        </w:rPr>
        <w:t xml:space="preserve"> via het beschikbare</w:t>
      </w:r>
      <w:r w:rsidRPr="0002093D">
        <w:rPr>
          <w:b/>
          <w:lang w:val="nl-BE"/>
        </w:rPr>
        <w:t xml:space="preserve"> rapport in de GIR de RTH registraties</w:t>
      </w:r>
      <w:r w:rsidRPr="0002093D">
        <w:rPr>
          <w:lang w:val="nl-BE"/>
        </w:rPr>
        <w:t xml:space="preserve"> voor het werki</w:t>
      </w:r>
      <w:r w:rsidRPr="0002093D">
        <w:rPr>
          <w:lang w:val="nl-BE"/>
        </w:rPr>
        <w:t>ngsjaar 2019;</w:t>
      </w:r>
    </w:p>
    <w:p w:rsidR="00FD55ED" w:rsidRPr="0002093D" w:rsidRDefault="00D909BE">
      <w:pPr>
        <w:numPr>
          <w:ilvl w:val="0"/>
          <w:numId w:val="2"/>
        </w:numPr>
        <w:rPr>
          <w:lang w:val="nl-BE"/>
        </w:rPr>
      </w:pPr>
      <w:r w:rsidRPr="0002093D">
        <w:rPr>
          <w:lang w:val="nl-BE"/>
        </w:rPr>
        <w:t>Indien u RTH punten ontving van een andere RTH dienst, controleer grondig of u de betrokken prestaties registreerde onder de</w:t>
      </w:r>
      <w:r w:rsidRPr="0002093D">
        <w:rPr>
          <w:b/>
          <w:lang w:val="nl-BE"/>
        </w:rPr>
        <w:t xml:space="preserve"> juiste penhouder</w:t>
      </w:r>
      <w:r w:rsidRPr="0002093D">
        <w:rPr>
          <w:lang w:val="nl-BE"/>
        </w:rPr>
        <w:t>;</w:t>
      </w:r>
    </w:p>
    <w:p w:rsidR="00FD55ED" w:rsidRPr="0002093D" w:rsidRDefault="00D909BE">
      <w:pPr>
        <w:numPr>
          <w:ilvl w:val="0"/>
          <w:numId w:val="2"/>
        </w:numPr>
        <w:rPr>
          <w:lang w:val="nl-BE"/>
        </w:rPr>
      </w:pPr>
      <w:r w:rsidRPr="0002093D">
        <w:rPr>
          <w:b/>
          <w:lang w:val="nl-BE"/>
        </w:rPr>
        <w:t>Indien u penhouder bent</w:t>
      </w:r>
      <w:r w:rsidRPr="0002093D">
        <w:rPr>
          <w:lang w:val="nl-BE"/>
        </w:rPr>
        <w:t xml:space="preserve">, controleer dan zeer grondig het </w:t>
      </w:r>
      <w:r w:rsidRPr="0002093D">
        <w:rPr>
          <w:b/>
          <w:lang w:val="nl-BE"/>
        </w:rPr>
        <w:t>rapport “penhouder”</w:t>
      </w:r>
      <w:r w:rsidRPr="0002093D">
        <w:rPr>
          <w:lang w:val="nl-BE"/>
        </w:rPr>
        <w:t>, zo kan u zien of uw o</w:t>
      </w:r>
      <w:r w:rsidRPr="0002093D">
        <w:rPr>
          <w:lang w:val="nl-BE"/>
        </w:rPr>
        <w:t>ntvangers correcte prestaties hebben geregistreerd onder uw penhouderschap;</w:t>
      </w:r>
    </w:p>
    <w:p w:rsidR="00FD55ED" w:rsidRPr="0002093D" w:rsidRDefault="00D909BE">
      <w:pPr>
        <w:numPr>
          <w:ilvl w:val="0"/>
          <w:numId w:val="2"/>
        </w:numPr>
        <w:rPr>
          <w:lang w:val="nl-BE"/>
        </w:rPr>
      </w:pPr>
      <w:r w:rsidRPr="0002093D">
        <w:rPr>
          <w:lang w:val="nl-BE"/>
        </w:rPr>
        <w:t xml:space="preserve">Indien u toch afwijkingen vindt kan u deze zelf </w:t>
      </w:r>
      <w:r w:rsidRPr="0002093D">
        <w:rPr>
          <w:b/>
          <w:u w:val="single"/>
          <w:lang w:val="nl-BE"/>
        </w:rPr>
        <w:t>aanpassen in de GIR voor 29 februari 2020</w:t>
      </w:r>
      <w:r w:rsidRPr="0002093D">
        <w:rPr>
          <w:lang w:val="nl-BE"/>
        </w:rPr>
        <w:t xml:space="preserve"> . </w:t>
      </w:r>
    </w:p>
    <w:p w:rsidR="00FD55ED" w:rsidRPr="0002093D" w:rsidRDefault="00D909BE">
      <w:pPr>
        <w:rPr>
          <w:b/>
          <w:lang w:val="nl-BE"/>
        </w:rPr>
      </w:pPr>
      <w:r w:rsidRPr="0002093D">
        <w:rPr>
          <w:lang w:val="nl-BE"/>
        </w:rPr>
        <w:tab/>
      </w:r>
      <w:r w:rsidRPr="0002093D">
        <w:rPr>
          <w:b/>
          <w:lang w:val="nl-BE"/>
        </w:rPr>
        <w:t>Na deze datum zijn er geen aanpassingen meer mogelijk!</w:t>
      </w:r>
    </w:p>
    <w:p w:rsidR="00FD55ED" w:rsidRDefault="00FD55ED">
      <w:pPr>
        <w:rPr>
          <w:lang w:val="nl-BE"/>
        </w:rPr>
      </w:pPr>
    </w:p>
    <w:p w:rsidR="0002093D" w:rsidRPr="0002093D" w:rsidRDefault="0002093D">
      <w:pPr>
        <w:rPr>
          <w:lang w:val="nl-BE"/>
        </w:rPr>
      </w:pPr>
    </w:p>
    <w:p w:rsidR="00FD55ED" w:rsidRPr="0002093D" w:rsidRDefault="00D909BE">
      <w:pPr>
        <w:rPr>
          <w:lang w:val="nl-BE"/>
        </w:rPr>
      </w:pPr>
      <w:r w:rsidRPr="0002093D">
        <w:rPr>
          <w:lang w:val="nl-BE"/>
        </w:rPr>
        <w:t>Vanaf het afrekeningsdossier 2018 zullen na de opstart van de berekening van het afrekeningsdossier geen wijzigingen aan de registraties zowel voor RTH prestaties als het aantal uitgewisselde punten meer aanvaard worden. Er wordt afgerekend op basis van de</w:t>
      </w:r>
      <w:r w:rsidRPr="0002093D">
        <w:rPr>
          <w:lang w:val="nl-BE"/>
        </w:rPr>
        <w:t xml:space="preserve"> door u geregistreerde RTH prestaties (al dan niet onder penhouderschap) en de doorgegeven uitgewisselde punten.</w:t>
      </w:r>
    </w:p>
    <w:p w:rsidR="00FD55ED" w:rsidRPr="0002093D" w:rsidRDefault="00FD55ED">
      <w:pPr>
        <w:pBdr>
          <w:top w:val="nil"/>
          <w:left w:val="nil"/>
          <w:bottom w:val="nil"/>
          <w:right w:val="nil"/>
          <w:between w:val="nil"/>
        </w:pBdr>
        <w:rPr>
          <w:lang w:val="nl-BE"/>
        </w:rPr>
      </w:pPr>
    </w:p>
    <w:p w:rsidR="00FD55ED" w:rsidRPr="0002093D" w:rsidRDefault="00D909BE">
      <w:pPr>
        <w:widowControl w:val="0"/>
        <w:pBdr>
          <w:top w:val="nil"/>
          <w:left w:val="nil"/>
          <w:bottom w:val="nil"/>
          <w:right w:val="nil"/>
          <w:between w:val="nil"/>
        </w:pBdr>
        <w:rPr>
          <w:lang w:val="nl-BE"/>
        </w:rPr>
      </w:pPr>
      <w:r w:rsidRPr="0002093D">
        <w:rPr>
          <w:lang w:val="nl-BE"/>
        </w:rPr>
        <w:t>Vanaf het werkingsjaar 2020 kan u ten laatste tegen 31 januari 2021 de definitieve puntenuitwisseling doorgeven via de webapplicatie. Ook dan zullen de registraties tegen eind februari 2021 moeten juist gezet worden, en zullen er daarna geen rechtzettingen</w:t>
      </w:r>
      <w:r w:rsidRPr="0002093D">
        <w:rPr>
          <w:lang w:val="nl-BE"/>
        </w:rPr>
        <w:t xml:space="preserve"> meer doorgevoerd worden. </w:t>
      </w:r>
    </w:p>
    <w:p w:rsidR="00FD55ED" w:rsidRPr="0002093D" w:rsidRDefault="00FD55ED">
      <w:pPr>
        <w:widowControl w:val="0"/>
        <w:pBdr>
          <w:top w:val="nil"/>
          <w:left w:val="nil"/>
          <w:bottom w:val="nil"/>
          <w:right w:val="nil"/>
          <w:between w:val="nil"/>
        </w:pBdr>
        <w:rPr>
          <w:lang w:val="nl-BE"/>
        </w:rPr>
      </w:pPr>
    </w:p>
    <w:p w:rsidR="00FD55ED" w:rsidRPr="0002093D" w:rsidRDefault="00D909BE">
      <w:pPr>
        <w:widowControl w:val="0"/>
        <w:pBdr>
          <w:top w:val="nil"/>
          <w:left w:val="nil"/>
          <w:bottom w:val="nil"/>
          <w:right w:val="nil"/>
          <w:between w:val="nil"/>
        </w:pBdr>
        <w:rPr>
          <w:lang w:val="nl-BE"/>
        </w:rPr>
      </w:pPr>
      <w:r w:rsidRPr="0002093D">
        <w:rPr>
          <w:lang w:val="nl-BE"/>
        </w:rPr>
        <w:t xml:space="preserve">Het VAPH hoopt op deze wijze te komen tot een snellere doorlooptijd van de afrekeningen. </w:t>
      </w:r>
    </w:p>
    <w:p w:rsidR="00FD55ED" w:rsidRPr="0002093D" w:rsidRDefault="00FD55ED">
      <w:pPr>
        <w:widowControl w:val="0"/>
        <w:pBdr>
          <w:top w:val="nil"/>
          <w:left w:val="nil"/>
          <w:bottom w:val="nil"/>
          <w:right w:val="nil"/>
          <w:between w:val="nil"/>
        </w:pBdr>
        <w:rPr>
          <w:lang w:val="nl-BE"/>
        </w:rPr>
      </w:pPr>
    </w:p>
    <w:p w:rsidR="00FD55ED" w:rsidRPr="0002093D" w:rsidRDefault="00FD55ED">
      <w:pPr>
        <w:widowControl w:val="0"/>
        <w:pBdr>
          <w:top w:val="nil"/>
          <w:left w:val="nil"/>
          <w:bottom w:val="nil"/>
          <w:right w:val="nil"/>
          <w:between w:val="nil"/>
        </w:pBdr>
        <w:rPr>
          <w:lang w:val="nl-BE"/>
        </w:rPr>
      </w:pPr>
    </w:p>
    <w:p w:rsidR="00FD55ED" w:rsidRPr="0002093D" w:rsidRDefault="00FD55ED">
      <w:pPr>
        <w:widowControl w:val="0"/>
        <w:pBdr>
          <w:top w:val="nil"/>
          <w:left w:val="nil"/>
          <w:bottom w:val="nil"/>
          <w:right w:val="nil"/>
          <w:between w:val="nil"/>
        </w:pBdr>
        <w:rPr>
          <w:lang w:val="nl-BE"/>
        </w:rPr>
      </w:pPr>
    </w:p>
    <w:p w:rsidR="0002093D" w:rsidRDefault="0002093D">
      <w:pPr>
        <w:widowControl w:val="0"/>
        <w:pBdr>
          <w:top w:val="nil"/>
          <w:left w:val="nil"/>
          <w:bottom w:val="nil"/>
          <w:right w:val="nil"/>
          <w:between w:val="nil"/>
        </w:pBdr>
        <w:rPr>
          <w:lang w:val="nl-BE"/>
        </w:rPr>
      </w:pPr>
    </w:p>
    <w:p w:rsidR="0002093D" w:rsidRPr="0002093D" w:rsidRDefault="0002093D">
      <w:pPr>
        <w:widowControl w:val="0"/>
        <w:pBdr>
          <w:top w:val="nil"/>
          <w:left w:val="nil"/>
          <w:bottom w:val="nil"/>
          <w:right w:val="nil"/>
          <w:between w:val="nil"/>
        </w:pBdr>
        <w:rPr>
          <w:lang w:val="nl-BE"/>
        </w:rPr>
      </w:pPr>
    </w:p>
    <w:p w:rsidR="00FD55ED" w:rsidRPr="0002093D" w:rsidRDefault="00FD55ED">
      <w:pPr>
        <w:widowControl w:val="0"/>
        <w:pBdr>
          <w:top w:val="nil"/>
          <w:left w:val="nil"/>
          <w:bottom w:val="nil"/>
          <w:right w:val="nil"/>
          <w:between w:val="nil"/>
        </w:pBdr>
        <w:rPr>
          <w:lang w:val="nl-BE"/>
        </w:rPr>
      </w:pPr>
    </w:p>
    <w:p w:rsidR="00FD55ED" w:rsidRDefault="00D909BE">
      <w:pPr>
        <w:widowControl w:val="0"/>
        <w:pBdr>
          <w:top w:val="nil"/>
          <w:left w:val="nil"/>
          <w:bottom w:val="nil"/>
          <w:right w:val="nil"/>
          <w:between w:val="nil"/>
        </w:pBdr>
      </w:pPr>
      <w:r>
        <w:t xml:space="preserve">James Van </w:t>
      </w:r>
      <w:proofErr w:type="spellStart"/>
      <w:r>
        <w:t>Casteren</w:t>
      </w:r>
      <w:proofErr w:type="spellEnd"/>
    </w:p>
    <w:p w:rsidR="00FD55ED" w:rsidRDefault="00D909BE">
      <w:pPr>
        <w:widowControl w:val="0"/>
        <w:pBdr>
          <w:top w:val="nil"/>
          <w:left w:val="nil"/>
          <w:bottom w:val="nil"/>
          <w:right w:val="nil"/>
          <w:between w:val="nil"/>
        </w:pBdr>
      </w:pPr>
      <w:proofErr w:type="spellStart"/>
      <w:r>
        <w:t>Administrateur-generaal</w:t>
      </w:r>
      <w:proofErr w:type="spellEnd"/>
    </w:p>
    <w:p w:rsidR="0002093D" w:rsidRDefault="0002093D">
      <w:pPr>
        <w:widowControl w:val="0"/>
        <w:pBdr>
          <w:top w:val="nil"/>
          <w:left w:val="nil"/>
          <w:bottom w:val="nil"/>
          <w:right w:val="nil"/>
          <w:between w:val="nil"/>
        </w:pBdr>
        <w:rPr>
          <w:i/>
        </w:rPr>
      </w:pPr>
    </w:p>
    <w:sectPr w:rsidR="0002093D">
      <w:headerReference w:type="default" r:id="rId10"/>
      <w:headerReference w:type="first" r:id="rId11"/>
      <w:footerReference w:type="first" r:id="rId12"/>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BE" w:rsidRDefault="00D909BE">
      <w:pPr>
        <w:spacing w:line="240" w:lineRule="auto"/>
      </w:pPr>
      <w:r>
        <w:separator/>
      </w:r>
    </w:p>
  </w:endnote>
  <w:endnote w:type="continuationSeparator" w:id="0">
    <w:p w:rsidR="00D909BE" w:rsidRDefault="00D9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D" w:rsidRDefault="00FD55ED">
    <w:pPr>
      <w:pBdr>
        <w:top w:val="nil"/>
        <w:left w:val="nil"/>
        <w:bottom w:val="nil"/>
        <w:right w:val="nil"/>
        <w:between w:val="nil"/>
      </w:pBdr>
    </w:pPr>
  </w:p>
  <w:p w:rsidR="00FD55ED" w:rsidRDefault="00D909BE">
    <w:pPr>
      <w:pBdr>
        <w:top w:val="nil"/>
        <w:left w:val="nil"/>
        <w:bottom w:val="nil"/>
        <w:right w:val="nil"/>
        <w:between w:val="nil"/>
      </w:pBdr>
    </w:pPr>
    <w:r>
      <w:rPr>
        <w:noProof/>
        <w:lang w:val="nl-BE"/>
      </w:rPr>
      <w:drawing>
        <wp:inline distT="114300" distB="114300" distL="114300" distR="114300" wp14:anchorId="277C23F6" wp14:editId="607C643D">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rsidR="001923B2">
      <w:fldChar w:fldCharType="separate"/>
    </w:r>
    <w:r w:rsidR="0002093D">
      <w:rPr>
        <w:noProof/>
      </w:rPr>
      <w:t>1</w:t>
    </w:r>
    <w:r>
      <w:fldChar w:fldCharType="end"/>
    </w:r>
    <w:r>
      <w:t xml:space="preserve"> van </w:t>
    </w:r>
    <w:r>
      <w:fldChar w:fldCharType="begin"/>
    </w:r>
    <w:r>
      <w:instrText>NUMPAGES</w:instrText>
    </w:r>
    <w:r w:rsidR="001923B2">
      <w:fldChar w:fldCharType="separate"/>
    </w:r>
    <w:r w:rsidR="0002093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BE" w:rsidRDefault="00D909BE">
      <w:pPr>
        <w:spacing w:line="240" w:lineRule="auto"/>
      </w:pPr>
      <w:r>
        <w:separator/>
      </w:r>
    </w:p>
  </w:footnote>
  <w:footnote w:type="continuationSeparator" w:id="0">
    <w:p w:rsidR="00D909BE" w:rsidRDefault="00D909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D" w:rsidRDefault="00FD5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D" w:rsidRDefault="00FD55ED">
    <w:pPr>
      <w:pBdr>
        <w:top w:val="nil"/>
        <w:left w:val="nil"/>
        <w:bottom w:val="nil"/>
        <w:right w:val="nil"/>
        <w:between w:val="nil"/>
      </w:pBdr>
    </w:pPr>
  </w:p>
  <w:p w:rsidR="00FD55ED" w:rsidRDefault="00FD55ED">
    <w:pPr>
      <w:rPr>
        <w:sz w:val="54"/>
        <w:szCs w:val="54"/>
      </w:rPr>
    </w:pPr>
  </w:p>
  <w:p w:rsidR="00FD55ED" w:rsidRDefault="00FD55ED">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46E"/>
    <w:multiLevelType w:val="multilevel"/>
    <w:tmpl w:val="E13EB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8A2C2C"/>
    <w:multiLevelType w:val="multilevel"/>
    <w:tmpl w:val="90D0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55ED"/>
    <w:rsid w:val="0002093D"/>
    <w:rsid w:val="001923B2"/>
    <w:rsid w:val="00D909BE"/>
    <w:rsid w:val="00FD5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192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192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entregistratie@vaph.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4</cp:revision>
  <cp:lastPrinted>2020-02-12T07:40:00Z</cp:lastPrinted>
  <dcterms:created xsi:type="dcterms:W3CDTF">2020-02-12T07:38:00Z</dcterms:created>
  <dcterms:modified xsi:type="dcterms:W3CDTF">2020-02-12T07:40:00Z</dcterms:modified>
</cp:coreProperties>
</file>