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75B" w:rsidRDefault="00FC675B">
      <w:pPr>
        <w:rPr>
          <w:rFonts w:ascii="Arial" w:eastAsia="Arial" w:hAnsi="Arial" w:cs="Arial"/>
          <w:b/>
          <w:sz w:val="12"/>
          <w:szCs w:val="12"/>
        </w:rPr>
      </w:pPr>
    </w:p>
    <w:p w:rsidR="00FC675B" w:rsidRDefault="00FC675B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FC675B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C675B" w:rsidRDefault="00D77A03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446DBFB7" wp14:editId="4160B981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675B" w:rsidRDefault="00FC675B">
            <w:pPr>
              <w:widowControl w:val="0"/>
              <w:spacing w:line="240" w:lineRule="auto"/>
            </w:pPr>
          </w:p>
          <w:p w:rsidR="00FC675B" w:rsidRDefault="00D77A0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FC675B" w:rsidRDefault="00D77A0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FC675B" w:rsidRDefault="00D77A03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C675B" w:rsidRDefault="00FC675B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FC675B" w:rsidRDefault="00FC675B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FC675B" w:rsidRDefault="00D77A03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FC675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5B" w:rsidRDefault="00FC675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C675B" w:rsidRDefault="00D77A03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</w:p>
          <w:p w:rsidR="00FC675B" w:rsidRDefault="00D77A03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t xml:space="preserve">RTH </w:t>
            </w:r>
            <w:proofErr w:type="spellStart"/>
            <w:r>
              <w:t>diensten</w:t>
            </w:r>
            <w:proofErr w:type="spellEnd"/>
            <w:r>
              <w:t xml:space="preserve">, </w:t>
            </w:r>
            <w:proofErr w:type="spellStart"/>
            <w:r>
              <w:t>diensten</w:t>
            </w:r>
            <w:proofErr w:type="spellEnd"/>
            <w:r>
              <w:t xml:space="preserve"> </w:t>
            </w:r>
            <w:proofErr w:type="spellStart"/>
            <w:r>
              <w:t>ondersteuningsplan</w:t>
            </w:r>
            <w:proofErr w:type="spellEnd"/>
            <w:r>
              <w:t xml:space="preserve">, </w:t>
            </w:r>
            <w:proofErr w:type="spellStart"/>
            <w:r>
              <w:t>organisaties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vrijetijdszorg</w:t>
            </w:r>
            <w:proofErr w:type="spellEnd"/>
            <w:r>
              <w:t xml:space="preserve"> en </w:t>
            </w:r>
            <w:proofErr w:type="spellStart"/>
            <w:r>
              <w:t>multidisc</w:t>
            </w:r>
            <w:r>
              <w:t>iplinaire</w:t>
            </w:r>
            <w:proofErr w:type="spellEnd"/>
            <w:r>
              <w:t xml:space="preserve"> teams</w:t>
            </w:r>
          </w:p>
        </w:tc>
      </w:tr>
      <w:tr w:rsidR="00FC675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5B" w:rsidRDefault="00FC675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C675B" w:rsidRDefault="00D77A0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10/05/2022</w:t>
            </w:r>
          </w:p>
        </w:tc>
      </w:tr>
      <w:tr w:rsidR="00FC675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5B" w:rsidRDefault="00FC675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C675B" w:rsidRDefault="00D77A0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INF/22/25</w:t>
            </w:r>
          </w:p>
        </w:tc>
      </w:tr>
      <w:tr w:rsidR="00FC675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C675B" w:rsidRDefault="00D77A0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C675B" w:rsidRDefault="00D77A03">
            <w:pPr>
              <w:widowControl w:val="0"/>
            </w:pPr>
            <w:r>
              <w:t xml:space="preserve">Team </w:t>
            </w:r>
            <w:proofErr w:type="spellStart"/>
            <w:r>
              <w:t>financieren</w:t>
            </w:r>
            <w:proofErr w:type="spellEnd"/>
            <w:r>
              <w:t xml:space="preserve"> </w:t>
            </w:r>
            <w:proofErr w:type="spellStart"/>
            <w:r>
              <w:t>afrekeningen</w:t>
            </w:r>
            <w:proofErr w:type="spellEnd"/>
          </w:p>
        </w:tc>
      </w:tr>
      <w:tr w:rsidR="00FC675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C675B" w:rsidRDefault="00D77A0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C675B" w:rsidRDefault="00D77A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afrekeningen@vaph.be</w:t>
            </w:r>
          </w:p>
        </w:tc>
      </w:tr>
      <w:tr w:rsidR="00FC675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C675B" w:rsidRDefault="00D77A0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C675B" w:rsidRDefault="00D77A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O2 249 33 55</w:t>
            </w:r>
          </w:p>
        </w:tc>
      </w:tr>
      <w:tr w:rsidR="00FC675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C675B" w:rsidRDefault="00D77A0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C675B" w:rsidRDefault="00D77A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675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C675B" w:rsidRDefault="00FC675B">
            <w:pPr>
              <w:widowControl w:val="0"/>
              <w:rPr>
                <w:sz w:val="34"/>
                <w:szCs w:val="34"/>
              </w:rPr>
            </w:pPr>
          </w:p>
        </w:tc>
      </w:tr>
      <w:tr w:rsidR="00FC675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C675B" w:rsidRDefault="00D77A03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Besluit</w:t>
            </w:r>
            <w:proofErr w:type="spellEnd"/>
            <w:r>
              <w:rPr>
                <w:sz w:val="34"/>
                <w:szCs w:val="34"/>
              </w:rPr>
              <w:t xml:space="preserve"> van de </w:t>
            </w:r>
            <w:proofErr w:type="spellStart"/>
            <w:r>
              <w:rPr>
                <w:sz w:val="34"/>
                <w:szCs w:val="34"/>
              </w:rPr>
              <w:t>Vlaamse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regering</w:t>
            </w:r>
            <w:proofErr w:type="spellEnd"/>
            <w:r>
              <w:rPr>
                <w:sz w:val="34"/>
                <w:szCs w:val="34"/>
              </w:rPr>
              <w:t xml:space="preserve"> over de </w:t>
            </w:r>
            <w:proofErr w:type="spellStart"/>
            <w:r>
              <w:rPr>
                <w:sz w:val="34"/>
                <w:szCs w:val="34"/>
              </w:rPr>
              <w:t>vermindering</w:t>
            </w:r>
            <w:proofErr w:type="spellEnd"/>
            <w:r>
              <w:rPr>
                <w:sz w:val="34"/>
                <w:szCs w:val="34"/>
              </w:rPr>
              <w:t xml:space="preserve"> van de </w:t>
            </w:r>
            <w:proofErr w:type="spellStart"/>
            <w:r>
              <w:rPr>
                <w:sz w:val="34"/>
                <w:szCs w:val="34"/>
              </w:rPr>
              <w:t>outputnormen</w:t>
            </w:r>
            <w:proofErr w:type="spellEnd"/>
            <w:r>
              <w:rPr>
                <w:sz w:val="34"/>
                <w:szCs w:val="34"/>
              </w:rPr>
              <w:t xml:space="preserve"> en </w:t>
            </w:r>
            <w:proofErr w:type="spellStart"/>
            <w:r>
              <w:rPr>
                <w:sz w:val="34"/>
                <w:szCs w:val="34"/>
              </w:rPr>
              <w:t>financiële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tegemoetkoming</w:t>
            </w:r>
            <w:proofErr w:type="spellEnd"/>
            <w:r>
              <w:rPr>
                <w:sz w:val="34"/>
                <w:szCs w:val="34"/>
              </w:rPr>
              <w:t xml:space="preserve"> MDT’s </w:t>
            </w:r>
          </w:p>
        </w:tc>
      </w:tr>
      <w:tr w:rsidR="00FC675B">
        <w:trPr>
          <w:trHeight w:val="405"/>
        </w:trPr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C675B" w:rsidRDefault="00FC675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9624E2" w:rsidRDefault="00D77A03">
      <w:pPr>
        <w:widowControl w:val="0"/>
        <w:spacing w:line="360" w:lineRule="auto"/>
      </w:pPr>
      <w:r>
        <w:t xml:space="preserve">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keurde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2022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tot </w:t>
      </w:r>
      <w:proofErr w:type="spellStart"/>
      <w:r>
        <w:t>vaststelling</w:t>
      </w:r>
      <w:proofErr w:type="spellEnd"/>
      <w:r>
        <w:t xml:space="preserve"> van de </w:t>
      </w:r>
      <w:proofErr w:type="spellStart"/>
      <w:r>
        <w:t>outputvereisten</w:t>
      </w:r>
      <w:proofErr w:type="spellEnd"/>
      <w:r>
        <w:t xml:space="preserve"> en de </w:t>
      </w:r>
      <w:proofErr w:type="spellStart"/>
      <w:r>
        <w:t>toekenning</w:t>
      </w:r>
      <w:proofErr w:type="spellEnd"/>
      <w:r>
        <w:t xml:space="preserve"> van sub</w:t>
      </w:r>
      <w:r>
        <w:t xml:space="preserve">sidies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in </w:t>
      </w:r>
      <w:proofErr w:type="spellStart"/>
      <w:r>
        <w:t>periodes</w:t>
      </w:r>
      <w:proofErr w:type="spellEnd"/>
      <w:r>
        <w:t xml:space="preserve"> van </w:t>
      </w:r>
      <w:proofErr w:type="spellStart"/>
      <w:r>
        <w:t>opflakkering</w:t>
      </w:r>
      <w:proofErr w:type="spellEnd"/>
      <w:r>
        <w:t xml:space="preserve"> van COVID-19  </w:t>
      </w:r>
      <w:proofErr w:type="spellStart"/>
      <w:r>
        <w:t>goed</w:t>
      </w:r>
      <w:proofErr w:type="spellEnd"/>
      <w:r>
        <w:t xml:space="preserve">. 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van de </w:t>
      </w:r>
      <w:proofErr w:type="spellStart"/>
      <w:r>
        <w:t>outputgerelateerde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en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. </w:t>
      </w:r>
    </w:p>
    <w:p w:rsidR="00FC675B" w:rsidRDefault="00D77A03">
      <w:pPr>
        <w:widowControl w:val="0"/>
        <w:spacing w:line="360" w:lineRule="auto"/>
      </w:pPr>
      <w:r>
        <w:t>Het</w:t>
      </w:r>
      <w:r>
        <w:t xml:space="preserve">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beschrijft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multidisciplinaire</w:t>
      </w:r>
      <w:proofErr w:type="spellEnd"/>
      <w:r>
        <w:t xml:space="preserve"> teams die </w:t>
      </w:r>
      <w:proofErr w:type="spellStart"/>
      <w:r>
        <w:t>omwille</w:t>
      </w:r>
      <w:proofErr w:type="spellEnd"/>
      <w:r>
        <w:t xml:space="preserve"> van COVID-19, minder </w:t>
      </w:r>
      <w:proofErr w:type="spellStart"/>
      <w:r>
        <w:t>multidisciplinaire</w:t>
      </w:r>
      <w:proofErr w:type="spellEnd"/>
      <w:r>
        <w:t xml:space="preserve"> </w:t>
      </w:r>
      <w:proofErr w:type="spellStart"/>
      <w:r>
        <w:t>verslagen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afgeleverd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aanpassingen</w:t>
      </w:r>
      <w:proofErr w:type="spellEnd"/>
      <w:r>
        <w:t xml:space="preserve"> van de </w:t>
      </w:r>
      <w:proofErr w:type="spellStart"/>
      <w:r>
        <w:t>outputnormen</w:t>
      </w:r>
      <w:proofErr w:type="spellEnd"/>
      <w:r>
        <w:t xml:space="preserve"> en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sam</w:t>
      </w:r>
      <w:r>
        <w:t>engevat</w:t>
      </w:r>
      <w:proofErr w:type="spellEnd"/>
      <w:r>
        <w:t>.</w:t>
      </w:r>
    </w:p>
    <w:p w:rsidR="00FC675B" w:rsidRDefault="00FC675B">
      <w:pPr>
        <w:widowControl w:val="0"/>
        <w:spacing w:line="360" w:lineRule="auto"/>
      </w:pPr>
    </w:p>
    <w:p w:rsidR="009624E2" w:rsidRDefault="009624E2">
      <w:pPr>
        <w:widowControl w:val="0"/>
        <w:spacing w:line="360" w:lineRule="auto"/>
      </w:pPr>
    </w:p>
    <w:p w:rsidR="009624E2" w:rsidRDefault="009624E2">
      <w:pPr>
        <w:widowControl w:val="0"/>
        <w:spacing w:line="360" w:lineRule="auto"/>
      </w:pPr>
    </w:p>
    <w:p w:rsidR="009624E2" w:rsidRDefault="009624E2">
      <w:pPr>
        <w:widowControl w:val="0"/>
        <w:spacing w:line="360" w:lineRule="auto"/>
      </w:pPr>
    </w:p>
    <w:p w:rsidR="00FC675B" w:rsidRDefault="00D77A03">
      <w:pPr>
        <w:widowControl w:val="0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624E2">
        <w:rPr>
          <w:b/>
          <w:sz w:val="28"/>
          <w:szCs w:val="28"/>
        </w:rPr>
        <w:lastRenderedPageBreak/>
        <w:t xml:space="preserve">Output van </w:t>
      </w:r>
      <w:proofErr w:type="spellStart"/>
      <w:r w:rsidRPr="009624E2">
        <w:rPr>
          <w:b/>
          <w:sz w:val="28"/>
          <w:szCs w:val="28"/>
        </w:rPr>
        <w:t>diensten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rechtstreeks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toegankelijke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hulp</w:t>
      </w:r>
      <w:proofErr w:type="spellEnd"/>
      <w:r w:rsidRPr="009624E2">
        <w:rPr>
          <w:b/>
          <w:sz w:val="28"/>
          <w:szCs w:val="28"/>
        </w:rPr>
        <w:t xml:space="preserve"> (RTH)</w:t>
      </w:r>
    </w:p>
    <w:p w:rsidR="009624E2" w:rsidRPr="009624E2" w:rsidRDefault="009624E2" w:rsidP="009624E2">
      <w:pPr>
        <w:widowControl w:val="0"/>
        <w:spacing w:line="360" w:lineRule="auto"/>
        <w:ind w:left="720"/>
        <w:rPr>
          <w:b/>
          <w:sz w:val="28"/>
          <w:szCs w:val="28"/>
        </w:rPr>
      </w:pPr>
    </w:p>
    <w:p w:rsidR="00FC675B" w:rsidRDefault="00D77A03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maart</w:t>
      </w:r>
      <w:proofErr w:type="spellEnd"/>
      <w:r>
        <w:t xml:space="preserve"> 2022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erkenningscijfer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 </w:t>
      </w:r>
      <w:proofErr w:type="spellStart"/>
      <w:r>
        <w:t>om</w:t>
      </w:r>
      <w:proofErr w:type="spellEnd"/>
      <w:r>
        <w:t xml:space="preserve"> de output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toetsen</w:t>
      </w:r>
      <w:proofErr w:type="spellEnd"/>
      <w:r>
        <w:t xml:space="preserve">, </w:t>
      </w:r>
      <w:proofErr w:type="spellStart"/>
      <w:r>
        <w:t>verminderd</w:t>
      </w:r>
      <w:proofErr w:type="spellEnd"/>
      <w:r>
        <w:t xml:space="preserve"> met 30 %.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al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januari</w:t>
      </w:r>
      <w:proofErr w:type="spellEnd"/>
      <w:r>
        <w:t xml:space="preserve"> 2021 </w:t>
      </w:r>
      <w:proofErr w:type="spellStart"/>
      <w:r>
        <w:t>tot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2021 </w:t>
      </w:r>
      <w:proofErr w:type="spellStart"/>
      <w:r>
        <w:t>dit</w:t>
      </w:r>
      <w:proofErr w:type="spellEnd"/>
      <w:r>
        <w:t xml:space="preserve"> </w:t>
      </w:r>
      <w:proofErr w:type="spellStart"/>
      <w:r>
        <w:t>cijfer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verminderen</w:t>
      </w:r>
      <w:proofErr w:type="spellEnd"/>
      <w:r>
        <w:t xml:space="preserve"> met 50%. (</w:t>
      </w:r>
      <w:proofErr w:type="spellStart"/>
      <w:r>
        <w:fldChar w:fldCharType="begin"/>
      </w:r>
      <w:r>
        <w:instrText xml:space="preserve"> HYPERLINK "https://www.vaph.be/documenten/infonota-inf2160-ministerieel-besluit-over-de-vermindering-van-de-outputnormen-en" \h </w:instrText>
      </w:r>
      <w:r>
        <w:fldChar w:fldCharType="separate"/>
      </w:r>
      <w:r>
        <w:rPr>
          <w:color w:val="1155CC"/>
          <w:u w:val="single"/>
        </w:rPr>
        <w:t>Infonota</w:t>
      </w:r>
      <w:proofErr w:type="spellEnd"/>
      <w:r>
        <w:rPr>
          <w:color w:val="1155CC"/>
          <w:u w:val="single"/>
        </w:rPr>
        <w:t xml:space="preserve"> INF/21/60</w:t>
      </w:r>
      <w:r>
        <w:rPr>
          <w:color w:val="1155CC"/>
          <w:u w:val="single"/>
        </w:rPr>
        <w:fldChar w:fldCharType="end"/>
      </w:r>
      <w:r>
        <w:t xml:space="preserve">) </w:t>
      </w:r>
      <w:proofErr w:type="spellStart"/>
      <w:r>
        <w:t>Voor</w:t>
      </w:r>
      <w:proofErr w:type="spellEnd"/>
      <w:r>
        <w:t xml:space="preserve"> 2021 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globaal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vermindering</w:t>
      </w:r>
      <w:proofErr w:type="spellEnd"/>
      <w:r>
        <w:t xml:space="preserve"> met 32,5 %. </w:t>
      </w:r>
    </w:p>
    <w:p w:rsidR="00FC675B" w:rsidRDefault="00D77A03">
      <w:pPr>
        <w:widowControl w:val="0"/>
        <w:spacing w:line="360" w:lineRule="auto"/>
        <w:ind w:left="720"/>
        <w:rPr>
          <w:i/>
        </w:rPr>
      </w:pPr>
      <w:proofErr w:type="spellStart"/>
      <w:r>
        <w:rPr>
          <w:i/>
        </w:rPr>
        <w:t>Voorbeeld</w:t>
      </w:r>
      <w:proofErr w:type="spellEnd"/>
      <w:r>
        <w:rPr>
          <w:i/>
        </w:rPr>
        <w:t xml:space="preserve">: </w:t>
      </w:r>
    </w:p>
    <w:p w:rsidR="00FC675B" w:rsidRDefault="00D77A03">
      <w:pPr>
        <w:widowControl w:val="0"/>
        <w:numPr>
          <w:ilvl w:val="0"/>
          <w:numId w:val="2"/>
        </w:numPr>
        <w:spacing w:line="360" w:lineRule="auto"/>
        <w:rPr>
          <w:i/>
        </w:rPr>
      </w:pPr>
      <w:proofErr w:type="spellStart"/>
      <w:r>
        <w:rPr>
          <w:i/>
        </w:rPr>
        <w:t>Een</w:t>
      </w:r>
      <w:proofErr w:type="spellEnd"/>
      <w:r>
        <w:rPr>
          <w:i/>
        </w:rPr>
        <w:t xml:space="preserve"> RTH </w:t>
      </w:r>
      <w:proofErr w:type="spellStart"/>
      <w:r>
        <w:rPr>
          <w:i/>
        </w:rPr>
        <w:t>dienst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erkend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100 </w:t>
      </w:r>
      <w:proofErr w:type="spellStart"/>
      <w:r>
        <w:rPr>
          <w:i/>
        </w:rPr>
        <w:t>punten</w:t>
      </w:r>
      <w:proofErr w:type="spellEnd"/>
    </w:p>
    <w:p w:rsidR="00FC675B" w:rsidRDefault="00D77A03">
      <w:pPr>
        <w:widowControl w:val="0"/>
        <w:numPr>
          <w:ilvl w:val="0"/>
          <w:numId w:val="2"/>
        </w:numPr>
        <w:spacing w:line="360" w:lineRule="auto"/>
        <w:rPr>
          <w:i/>
        </w:rPr>
      </w:pPr>
      <w:proofErr w:type="spellStart"/>
      <w:r>
        <w:rPr>
          <w:i/>
        </w:rPr>
        <w:t>Voor</w:t>
      </w:r>
      <w:proofErr w:type="spellEnd"/>
      <w:r>
        <w:rPr>
          <w:i/>
        </w:rPr>
        <w:t xml:space="preserve"> 2021 </w:t>
      </w:r>
      <w:proofErr w:type="spellStart"/>
      <w:r>
        <w:rPr>
          <w:i/>
        </w:rPr>
        <w:t>zal</w:t>
      </w:r>
      <w:proofErr w:type="spellEnd"/>
      <w:r>
        <w:rPr>
          <w:i/>
        </w:rPr>
        <w:t xml:space="preserve"> de output </w:t>
      </w:r>
      <w:proofErr w:type="spellStart"/>
      <w:r>
        <w:rPr>
          <w:i/>
        </w:rPr>
        <w:t>getoetst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67,5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erkenning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verminderd</w:t>
      </w:r>
      <w:proofErr w:type="spellEnd"/>
      <w:r>
        <w:rPr>
          <w:i/>
        </w:rPr>
        <w:t xml:space="preserve"> met 32,5%)</w:t>
      </w:r>
    </w:p>
    <w:p w:rsidR="00FC675B" w:rsidRDefault="00D77A03">
      <w:pPr>
        <w:widowControl w:val="0"/>
        <w:numPr>
          <w:ilvl w:val="0"/>
          <w:numId w:val="2"/>
        </w:numPr>
        <w:spacing w:line="360" w:lineRule="auto"/>
        <w:rPr>
          <w:i/>
        </w:rPr>
      </w:pPr>
      <w:proofErr w:type="spellStart"/>
      <w:r>
        <w:rPr>
          <w:i/>
        </w:rPr>
        <w:t>Indien</w:t>
      </w:r>
      <w:proofErr w:type="spellEnd"/>
      <w:r>
        <w:rPr>
          <w:i/>
        </w:rPr>
        <w:t xml:space="preserve"> de RTH </w:t>
      </w:r>
      <w:proofErr w:type="spellStart"/>
      <w:r>
        <w:rPr>
          <w:i/>
        </w:rPr>
        <w:t>dienst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62,1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(92% van 67,5) </w:t>
      </w:r>
      <w:proofErr w:type="spellStart"/>
      <w:r>
        <w:rPr>
          <w:i/>
        </w:rPr>
        <w:t>prestaties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geregistreerd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kunnen</w:t>
      </w:r>
      <w:proofErr w:type="spellEnd"/>
      <w:r>
        <w:rPr>
          <w:i/>
        </w:rPr>
        <w:t xml:space="preserve"> 100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gesubsidieerd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afhankelijk</w:t>
      </w:r>
      <w:proofErr w:type="spellEnd"/>
      <w:r>
        <w:rPr>
          <w:i/>
        </w:rPr>
        <w:t xml:space="preserve"> van de </w:t>
      </w:r>
      <w:proofErr w:type="spellStart"/>
      <w:r>
        <w:rPr>
          <w:i/>
        </w:rPr>
        <w:t>personeelsinzet</w:t>
      </w:r>
      <w:proofErr w:type="spellEnd"/>
    </w:p>
    <w:p w:rsidR="00FC675B" w:rsidRDefault="00FC675B">
      <w:pPr>
        <w:widowControl w:val="0"/>
        <w:spacing w:line="360" w:lineRule="auto"/>
      </w:pPr>
    </w:p>
    <w:p w:rsidR="00FC675B" w:rsidRDefault="00D77A03">
      <w:pPr>
        <w:widowControl w:val="0"/>
        <w:spacing w:line="360" w:lineRule="auto"/>
      </w:pPr>
      <w:r>
        <w:t xml:space="preserve">De </w:t>
      </w:r>
      <w:proofErr w:type="spellStart"/>
      <w:r>
        <w:t>voorwaarde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20 </w:t>
      </w:r>
      <w:proofErr w:type="spellStart"/>
      <w:r>
        <w:t>punten</w:t>
      </w:r>
      <w:proofErr w:type="spellEnd"/>
      <w:r>
        <w:t xml:space="preserve"> minder </w:t>
      </w:r>
      <w:proofErr w:type="spellStart"/>
      <w:r>
        <w:t>gepresteerd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is </w:t>
      </w:r>
      <w:proofErr w:type="spellStart"/>
      <w:r>
        <w:t>niet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2021. </w:t>
      </w:r>
      <w:proofErr w:type="spellStart"/>
      <w:r>
        <w:t>Voor</w:t>
      </w:r>
      <w:proofErr w:type="spellEnd"/>
      <w:r>
        <w:t xml:space="preserve"> 2022 </w:t>
      </w:r>
      <w:proofErr w:type="spellStart"/>
      <w:r>
        <w:t>blijft</w:t>
      </w:r>
      <w:proofErr w:type="spellEnd"/>
      <w:r>
        <w:t xml:space="preserve"> het maximum van 20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van </w:t>
      </w:r>
      <w:proofErr w:type="spellStart"/>
      <w:r>
        <w:t>kracht</w:t>
      </w:r>
      <w:proofErr w:type="spellEnd"/>
      <w:r>
        <w:t>.</w:t>
      </w:r>
    </w:p>
    <w:p w:rsidR="00FC675B" w:rsidRDefault="00FC675B">
      <w:pPr>
        <w:widowControl w:val="0"/>
        <w:spacing w:line="360" w:lineRule="auto"/>
      </w:pPr>
    </w:p>
    <w:p w:rsidR="00FC675B" w:rsidRDefault="00D77A03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(GIO)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de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"https://www.vaph.be/documenten/infonota-inf2160-ministerieel-besluit-over-de-vermindering-van-de-outputnormen-en" \h </w:instrText>
      </w:r>
      <w:r>
        <w:fldChar w:fldCharType="separate"/>
      </w:r>
      <w:r>
        <w:rPr>
          <w:color w:val="1155CC"/>
          <w:u w:val="single"/>
        </w:rPr>
        <w:t>Infonota</w:t>
      </w:r>
      <w:proofErr w:type="spellEnd"/>
      <w:r>
        <w:rPr>
          <w:color w:val="1155CC"/>
          <w:u w:val="single"/>
        </w:rPr>
        <w:t xml:space="preserve"> INF/21/60</w:t>
      </w:r>
      <w:r>
        <w:rPr>
          <w:color w:val="1155CC"/>
          <w:u w:val="single"/>
        </w:rPr>
        <w:fldChar w:fldCharType="end"/>
      </w:r>
      <w:r>
        <w:t xml:space="preserve">)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jaarhelft</w:t>
      </w:r>
      <w:proofErr w:type="spellEnd"/>
      <w:r>
        <w:t xml:space="preserve"> het </w:t>
      </w:r>
      <w:proofErr w:type="spellStart"/>
      <w:r>
        <w:t>aan</w:t>
      </w:r>
      <w:r>
        <w:t>tal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behalen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met 50%.</w:t>
      </w:r>
    </w:p>
    <w:p w:rsidR="00FC675B" w:rsidRDefault="00FC675B">
      <w:pPr>
        <w:widowControl w:val="0"/>
        <w:spacing w:line="360" w:lineRule="auto"/>
      </w:pPr>
    </w:p>
    <w:p w:rsidR="00FC675B" w:rsidRDefault="00D77A03">
      <w:pPr>
        <w:widowControl w:val="0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624E2">
        <w:rPr>
          <w:b/>
          <w:sz w:val="28"/>
          <w:szCs w:val="28"/>
        </w:rPr>
        <w:t xml:space="preserve">Output, </w:t>
      </w:r>
      <w:proofErr w:type="spellStart"/>
      <w:r w:rsidRPr="009624E2">
        <w:rPr>
          <w:b/>
          <w:sz w:val="28"/>
          <w:szCs w:val="28"/>
        </w:rPr>
        <w:t>begeleidingen</w:t>
      </w:r>
      <w:proofErr w:type="spellEnd"/>
      <w:r w:rsidRPr="009624E2">
        <w:rPr>
          <w:b/>
          <w:sz w:val="28"/>
          <w:szCs w:val="28"/>
        </w:rPr>
        <w:t xml:space="preserve"> en </w:t>
      </w:r>
      <w:proofErr w:type="spellStart"/>
      <w:r w:rsidRPr="009624E2">
        <w:rPr>
          <w:b/>
          <w:sz w:val="28"/>
          <w:szCs w:val="28"/>
        </w:rPr>
        <w:t>duur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begeleidingen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diensten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ondersteuningsplan</w:t>
      </w:r>
      <w:proofErr w:type="spellEnd"/>
      <w:r w:rsidRPr="009624E2">
        <w:rPr>
          <w:b/>
          <w:sz w:val="28"/>
          <w:szCs w:val="28"/>
        </w:rPr>
        <w:t xml:space="preserve"> (DOP) </w:t>
      </w:r>
    </w:p>
    <w:p w:rsidR="009624E2" w:rsidRPr="009624E2" w:rsidRDefault="009624E2" w:rsidP="009624E2">
      <w:pPr>
        <w:widowControl w:val="0"/>
        <w:spacing w:line="360" w:lineRule="auto"/>
        <w:ind w:left="720"/>
        <w:rPr>
          <w:b/>
          <w:sz w:val="28"/>
          <w:szCs w:val="28"/>
        </w:rPr>
      </w:pPr>
    </w:p>
    <w:p w:rsidR="00FC675B" w:rsidRDefault="00D77A03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maart</w:t>
      </w:r>
      <w:proofErr w:type="spellEnd"/>
      <w:r>
        <w:t xml:space="preserve"> 2022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overeenstemt</w:t>
      </w:r>
      <w:proofErr w:type="spellEnd"/>
      <w:r>
        <w:t xml:space="preserve"> met het </w:t>
      </w:r>
      <w:proofErr w:type="spellStart"/>
      <w:r>
        <w:t>aa</w:t>
      </w:r>
      <w:r>
        <w:t>ntal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erkend</w:t>
      </w:r>
      <w:proofErr w:type="spellEnd"/>
      <w:r>
        <w:t xml:space="preserve"> is, </w:t>
      </w:r>
      <w:proofErr w:type="spellStart"/>
      <w:r>
        <w:t>verminderd</w:t>
      </w:r>
      <w:proofErr w:type="spellEnd"/>
      <w:r>
        <w:t xml:space="preserve"> met 30%. De output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getoetst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.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al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januari</w:t>
      </w:r>
      <w:proofErr w:type="spellEnd"/>
      <w:r>
        <w:t xml:space="preserve"> 2021 </w:t>
      </w:r>
      <w:proofErr w:type="spellStart"/>
      <w:r>
        <w:t>tot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2021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verminderen</w:t>
      </w:r>
      <w:proofErr w:type="spellEnd"/>
      <w:r>
        <w:t xml:space="preserve"> met 50%. (</w:t>
      </w:r>
      <w:proofErr w:type="spellStart"/>
      <w:r>
        <w:fldChar w:fldCharType="begin"/>
      </w:r>
      <w:r>
        <w:instrText xml:space="preserve"> HYPERLINK "https://www.vaph.be/documenten/infonota-inf2160-ministerieel-besluit-over-de-vermindering-van-de-outputnormen-en" \h </w:instrText>
      </w:r>
      <w:r>
        <w:fldChar w:fldCharType="separate"/>
      </w:r>
      <w:r>
        <w:rPr>
          <w:color w:val="1155CC"/>
          <w:u w:val="single"/>
        </w:rPr>
        <w:t>Infonota</w:t>
      </w:r>
      <w:proofErr w:type="spellEnd"/>
      <w:r>
        <w:rPr>
          <w:color w:val="1155CC"/>
          <w:u w:val="single"/>
        </w:rPr>
        <w:t xml:space="preserve"> INF/21/60</w:t>
      </w:r>
      <w:r>
        <w:rPr>
          <w:color w:val="1155CC"/>
          <w:u w:val="single"/>
        </w:rPr>
        <w:fldChar w:fldCharType="end"/>
      </w:r>
      <w:r>
        <w:t xml:space="preserve">) </w:t>
      </w:r>
      <w:proofErr w:type="spellStart"/>
      <w:r>
        <w:t>Voor</w:t>
      </w:r>
      <w:proofErr w:type="spellEnd"/>
      <w:r>
        <w:t xml:space="preserve"> 2021 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globaal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vermindering</w:t>
      </w:r>
      <w:proofErr w:type="spellEnd"/>
      <w:r>
        <w:t xml:space="preserve"> met 32,5 % .</w:t>
      </w:r>
    </w:p>
    <w:p w:rsidR="00FC675B" w:rsidRDefault="00FC675B">
      <w:pPr>
        <w:widowControl w:val="0"/>
        <w:spacing w:line="360" w:lineRule="auto"/>
      </w:pPr>
    </w:p>
    <w:p w:rsidR="00FC675B" w:rsidRDefault="00D77A03">
      <w:pPr>
        <w:widowControl w:val="0"/>
        <w:spacing w:line="360" w:lineRule="auto"/>
        <w:ind w:left="720"/>
        <w:rPr>
          <w:i/>
        </w:rPr>
      </w:pPr>
      <w:proofErr w:type="spellStart"/>
      <w:r>
        <w:rPr>
          <w:i/>
        </w:rPr>
        <w:t>Voorbeeld</w:t>
      </w:r>
      <w:proofErr w:type="spellEnd"/>
      <w:r>
        <w:rPr>
          <w:i/>
        </w:rPr>
        <w:t xml:space="preserve">: </w:t>
      </w:r>
    </w:p>
    <w:p w:rsidR="00FC675B" w:rsidRDefault="00D77A03">
      <w:pPr>
        <w:widowControl w:val="0"/>
        <w:numPr>
          <w:ilvl w:val="0"/>
          <w:numId w:val="2"/>
        </w:numPr>
        <w:spacing w:line="360" w:lineRule="auto"/>
        <w:rPr>
          <w:i/>
        </w:rPr>
      </w:pPr>
      <w:proofErr w:type="spellStart"/>
      <w:r>
        <w:rPr>
          <w:i/>
        </w:rPr>
        <w:t>Een</w:t>
      </w:r>
      <w:proofErr w:type="spellEnd"/>
      <w:r>
        <w:rPr>
          <w:i/>
        </w:rPr>
        <w:t xml:space="preserve"> DOP is </w:t>
      </w:r>
      <w:proofErr w:type="spellStart"/>
      <w:r>
        <w:rPr>
          <w:i/>
        </w:rPr>
        <w:t>erkend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begeleidingen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resulteert</w:t>
      </w:r>
      <w:proofErr w:type="spellEnd"/>
      <w:r>
        <w:rPr>
          <w:i/>
        </w:rPr>
        <w:t xml:space="preserve"> in 100 </w:t>
      </w:r>
      <w:proofErr w:type="spellStart"/>
      <w:r>
        <w:rPr>
          <w:i/>
        </w:rPr>
        <w:t>personeelpunten</w:t>
      </w:r>
      <w:proofErr w:type="spellEnd"/>
    </w:p>
    <w:p w:rsidR="00FC675B" w:rsidRDefault="00D77A03">
      <w:pPr>
        <w:widowControl w:val="0"/>
        <w:numPr>
          <w:ilvl w:val="0"/>
          <w:numId w:val="2"/>
        </w:numPr>
        <w:spacing w:line="360" w:lineRule="auto"/>
        <w:rPr>
          <w:i/>
        </w:rPr>
      </w:pPr>
      <w:proofErr w:type="spellStart"/>
      <w:r>
        <w:rPr>
          <w:i/>
        </w:rPr>
        <w:t>Voor</w:t>
      </w:r>
      <w:proofErr w:type="spellEnd"/>
      <w:r>
        <w:rPr>
          <w:i/>
        </w:rPr>
        <w:t xml:space="preserve"> 2021 </w:t>
      </w:r>
      <w:proofErr w:type="spellStart"/>
      <w:r>
        <w:rPr>
          <w:i/>
        </w:rPr>
        <w:t>zal</w:t>
      </w:r>
      <w:proofErr w:type="spellEnd"/>
      <w:r>
        <w:rPr>
          <w:i/>
        </w:rPr>
        <w:t xml:space="preserve"> de output </w:t>
      </w:r>
      <w:proofErr w:type="spellStart"/>
      <w:r>
        <w:rPr>
          <w:i/>
        </w:rPr>
        <w:t>getoetst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67,5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erkenning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verminderd</w:t>
      </w:r>
      <w:proofErr w:type="spellEnd"/>
      <w:r>
        <w:rPr>
          <w:i/>
        </w:rPr>
        <w:t xml:space="preserve"> met 32,5%)</w:t>
      </w:r>
    </w:p>
    <w:p w:rsidR="00FC675B" w:rsidRDefault="00D77A03">
      <w:pPr>
        <w:widowControl w:val="0"/>
        <w:numPr>
          <w:ilvl w:val="0"/>
          <w:numId w:val="2"/>
        </w:numPr>
        <w:spacing w:line="360" w:lineRule="auto"/>
        <w:rPr>
          <w:i/>
        </w:rPr>
      </w:pPr>
      <w:proofErr w:type="spellStart"/>
      <w:r>
        <w:rPr>
          <w:i/>
        </w:rPr>
        <w:t>Indien</w:t>
      </w:r>
      <w:proofErr w:type="spellEnd"/>
      <w:r>
        <w:rPr>
          <w:i/>
        </w:rPr>
        <w:t xml:space="preserve"> de DOP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62,1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(92% van 67,5) </w:t>
      </w:r>
      <w:proofErr w:type="spellStart"/>
      <w:r>
        <w:rPr>
          <w:i/>
        </w:rPr>
        <w:t>prestaties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geregistreerd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k</w:t>
      </w:r>
      <w:r>
        <w:rPr>
          <w:i/>
        </w:rPr>
        <w:t>unnen</w:t>
      </w:r>
      <w:proofErr w:type="spellEnd"/>
      <w:r>
        <w:rPr>
          <w:i/>
        </w:rPr>
        <w:t xml:space="preserve"> 100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gesubsidieerd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afhankelijk</w:t>
      </w:r>
      <w:proofErr w:type="spellEnd"/>
      <w:r>
        <w:rPr>
          <w:i/>
        </w:rPr>
        <w:t xml:space="preserve"> van de </w:t>
      </w:r>
      <w:proofErr w:type="spellStart"/>
      <w:r>
        <w:rPr>
          <w:i/>
        </w:rPr>
        <w:t>personeelsinzet</w:t>
      </w:r>
      <w:proofErr w:type="spellEnd"/>
    </w:p>
    <w:p w:rsidR="00FC675B" w:rsidRDefault="00FC675B">
      <w:pPr>
        <w:widowControl w:val="0"/>
        <w:spacing w:line="360" w:lineRule="auto"/>
      </w:pPr>
    </w:p>
    <w:p w:rsidR="009624E2" w:rsidRDefault="009624E2">
      <w:pPr>
        <w:widowControl w:val="0"/>
        <w:spacing w:line="360" w:lineRule="auto"/>
      </w:pPr>
    </w:p>
    <w:p w:rsidR="00FC675B" w:rsidRDefault="00D77A03">
      <w:pPr>
        <w:widowControl w:val="0"/>
        <w:spacing w:line="360" w:lineRule="auto"/>
      </w:pPr>
      <w:r>
        <w:t xml:space="preserve">De </w:t>
      </w:r>
      <w:proofErr w:type="spellStart"/>
      <w:r>
        <w:t>bepaling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20 </w:t>
      </w:r>
      <w:proofErr w:type="spellStart"/>
      <w:r>
        <w:t>personeelspunten</w:t>
      </w:r>
      <w:proofErr w:type="spellEnd"/>
      <w:r>
        <w:t xml:space="preserve"> minder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gepresteerd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van de </w:t>
      </w:r>
      <w:proofErr w:type="spellStart"/>
      <w:r>
        <w:t>verlaagde</w:t>
      </w:r>
      <w:proofErr w:type="spellEnd"/>
      <w:r>
        <w:t xml:space="preserve"> </w:t>
      </w:r>
      <w:proofErr w:type="spellStart"/>
      <w:r>
        <w:t>outputnorm</w:t>
      </w:r>
      <w:proofErr w:type="spellEnd"/>
      <w:r>
        <w:t xml:space="preserve">,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evenwel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>.</w:t>
      </w:r>
    </w:p>
    <w:p w:rsidR="00FC675B" w:rsidRDefault="00FC675B">
      <w:pPr>
        <w:widowControl w:val="0"/>
        <w:spacing w:line="360" w:lineRule="auto"/>
      </w:pPr>
    </w:p>
    <w:p w:rsidR="00FC675B" w:rsidRDefault="00D77A03">
      <w:pPr>
        <w:widowControl w:val="0"/>
        <w:spacing w:line="360" w:lineRule="auto"/>
      </w:pPr>
      <w:r>
        <w:t xml:space="preserve">Het </w:t>
      </w:r>
      <w:proofErr w:type="spellStart"/>
      <w:r>
        <w:t>gemiddeld</w:t>
      </w:r>
      <w:proofErr w:type="spellEnd"/>
      <w:r>
        <w:t xml:space="preserve"> </w:t>
      </w:r>
      <w:proofErr w:type="spellStart"/>
      <w:r>
        <w:t>aan</w:t>
      </w:r>
      <w:r>
        <w:t>tal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per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in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maart</w:t>
      </w:r>
      <w:proofErr w:type="spellEnd"/>
      <w:r>
        <w:t xml:space="preserve"> 2022 </w:t>
      </w:r>
      <w:proofErr w:type="spellStart"/>
      <w:r>
        <w:t>overschreden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door COVID-19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:rsidR="00FC675B" w:rsidRDefault="00FC675B">
      <w:pPr>
        <w:widowControl w:val="0"/>
        <w:spacing w:line="360" w:lineRule="auto"/>
      </w:pPr>
    </w:p>
    <w:p w:rsidR="00FC675B" w:rsidRDefault="00D77A03">
      <w:pPr>
        <w:widowControl w:val="0"/>
        <w:spacing w:line="360" w:lineRule="auto"/>
      </w:pPr>
      <w:r>
        <w:t xml:space="preserve">De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duur</w:t>
      </w:r>
      <w:proofErr w:type="spellEnd"/>
      <w:r>
        <w:t xml:space="preserve"> van de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zorgvrager</w:t>
      </w:r>
      <w:proofErr w:type="spellEnd"/>
      <w:r>
        <w:t xml:space="preserve"> op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in de 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maart</w:t>
      </w:r>
      <w:proofErr w:type="spellEnd"/>
      <w:r>
        <w:t xml:space="preserve"> 2022, 18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>.</w:t>
      </w:r>
    </w:p>
    <w:p w:rsidR="00FC675B" w:rsidRDefault="00FC675B">
      <w:pPr>
        <w:widowControl w:val="0"/>
        <w:spacing w:line="360" w:lineRule="auto"/>
        <w:rPr>
          <w:b/>
        </w:rPr>
      </w:pPr>
    </w:p>
    <w:p w:rsidR="00FC675B" w:rsidRDefault="00D77A03">
      <w:pPr>
        <w:widowControl w:val="0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9624E2">
        <w:rPr>
          <w:b/>
          <w:sz w:val="28"/>
          <w:szCs w:val="28"/>
        </w:rPr>
        <w:t>Organisaties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voor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vrijetijdszorg</w:t>
      </w:r>
      <w:proofErr w:type="spellEnd"/>
    </w:p>
    <w:p w:rsidR="009624E2" w:rsidRPr="009624E2" w:rsidRDefault="009624E2" w:rsidP="009624E2">
      <w:pPr>
        <w:widowControl w:val="0"/>
        <w:spacing w:line="360" w:lineRule="auto"/>
        <w:ind w:left="720"/>
        <w:rPr>
          <w:b/>
          <w:sz w:val="28"/>
          <w:szCs w:val="28"/>
        </w:rPr>
      </w:pPr>
    </w:p>
    <w:p w:rsidR="00FC675B" w:rsidRDefault="00D77A03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vrijetijdszorg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maart</w:t>
      </w:r>
      <w:proofErr w:type="spellEnd"/>
      <w:r>
        <w:t xml:space="preserve"> 2022,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geleverd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januari</w:t>
      </w:r>
      <w:proofErr w:type="spellEnd"/>
      <w:r>
        <w:t xml:space="preserve"> 2021 </w:t>
      </w:r>
      <w:proofErr w:type="spellStart"/>
      <w:r>
        <w:t>tot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2021,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al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b</w:t>
      </w:r>
      <w:r>
        <w:t>eslissing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Het </w:t>
      </w:r>
      <w:proofErr w:type="spellStart"/>
      <w:r>
        <w:t>minimaal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proportioneel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houdend</w:t>
      </w:r>
      <w:proofErr w:type="spellEnd"/>
      <w:r>
        <w:t xml:space="preserve"> met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vermelde</w:t>
      </w:r>
      <w:proofErr w:type="spellEnd"/>
      <w:r>
        <w:t xml:space="preserve"> </w:t>
      </w:r>
      <w:proofErr w:type="spellStart"/>
      <w:r>
        <w:t>periodes</w:t>
      </w:r>
      <w:proofErr w:type="spellEnd"/>
      <w:r>
        <w:t>.</w:t>
      </w:r>
    </w:p>
    <w:p w:rsidR="009624E2" w:rsidRDefault="009624E2">
      <w:pPr>
        <w:widowControl w:val="0"/>
        <w:spacing w:line="360" w:lineRule="auto"/>
      </w:pPr>
    </w:p>
    <w:p w:rsidR="00FC675B" w:rsidRDefault="00D77A03">
      <w:pPr>
        <w:widowControl w:val="0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9624E2">
        <w:rPr>
          <w:b/>
          <w:sz w:val="28"/>
          <w:szCs w:val="28"/>
        </w:rPr>
        <w:t>Financiële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tegemoetkoming</w:t>
      </w:r>
      <w:proofErr w:type="spellEnd"/>
      <w:r w:rsidRPr="009624E2">
        <w:rPr>
          <w:b/>
          <w:sz w:val="28"/>
          <w:szCs w:val="28"/>
        </w:rPr>
        <w:t xml:space="preserve"> </w:t>
      </w:r>
      <w:proofErr w:type="spellStart"/>
      <w:r w:rsidRPr="009624E2">
        <w:rPr>
          <w:b/>
          <w:sz w:val="28"/>
          <w:szCs w:val="28"/>
        </w:rPr>
        <w:t>multidisciplinaire</w:t>
      </w:r>
      <w:proofErr w:type="spellEnd"/>
      <w:r w:rsidRPr="009624E2">
        <w:rPr>
          <w:b/>
          <w:sz w:val="28"/>
          <w:szCs w:val="28"/>
        </w:rPr>
        <w:t xml:space="preserve"> teams (MDT’s) </w:t>
      </w:r>
    </w:p>
    <w:p w:rsidR="009624E2" w:rsidRPr="009624E2" w:rsidRDefault="009624E2" w:rsidP="009624E2">
      <w:pPr>
        <w:widowControl w:val="0"/>
        <w:spacing w:line="360" w:lineRule="auto"/>
        <w:ind w:left="720"/>
        <w:rPr>
          <w:b/>
          <w:sz w:val="28"/>
          <w:szCs w:val="28"/>
        </w:rPr>
      </w:pPr>
    </w:p>
    <w:p w:rsidR="00FC675B" w:rsidRDefault="00D77A0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VAPH </w:t>
      </w:r>
      <w:proofErr w:type="spellStart"/>
      <w:r>
        <w:t>kent</w:t>
      </w:r>
      <w:proofErr w:type="spellEnd"/>
      <w:r>
        <w:t xml:space="preserve">  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van 1 </w:t>
      </w:r>
      <w:proofErr w:type="spellStart"/>
      <w:r>
        <w:t>miljoen</w:t>
      </w:r>
      <w:proofErr w:type="spellEnd"/>
      <w:r>
        <w:t xml:space="preserve"> euro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compenserende</w:t>
      </w:r>
      <w:proofErr w:type="spellEnd"/>
      <w:r>
        <w:t xml:space="preserve"> </w:t>
      </w:r>
      <w:proofErr w:type="spellStart"/>
      <w:r>
        <w:t>ma</w:t>
      </w:r>
      <w:r>
        <w:t>atregelen</w:t>
      </w:r>
      <w:proofErr w:type="spellEnd"/>
      <w:r>
        <w:t xml:space="preserve">  toe </w:t>
      </w:r>
      <w:proofErr w:type="spellStart"/>
      <w:r>
        <w:t>aan</w:t>
      </w:r>
      <w:proofErr w:type="spellEnd"/>
      <w:r>
        <w:t xml:space="preserve"> de MDT’s die door </w:t>
      </w:r>
      <w:proofErr w:type="spellStart"/>
      <w:r>
        <w:t>periodes</w:t>
      </w:r>
      <w:proofErr w:type="spellEnd"/>
      <w:r>
        <w:t xml:space="preserve"> van </w:t>
      </w:r>
      <w:proofErr w:type="spellStart"/>
      <w:r>
        <w:t>heropflakkering</w:t>
      </w:r>
      <w:proofErr w:type="spellEnd"/>
      <w:r>
        <w:t xml:space="preserve"> van COVID-19  in het </w:t>
      </w:r>
      <w:proofErr w:type="spellStart"/>
      <w:r>
        <w:t>prestatiejaar</w:t>
      </w:r>
      <w:proofErr w:type="spellEnd"/>
      <w:r>
        <w:t xml:space="preserve"> 2021 (in </w:t>
      </w:r>
      <w:proofErr w:type="spellStart"/>
      <w:r>
        <w:t>vergelijking</w:t>
      </w:r>
      <w:proofErr w:type="spellEnd"/>
      <w:r>
        <w:t xml:space="preserve"> met het </w:t>
      </w:r>
      <w:proofErr w:type="spellStart"/>
      <w:r>
        <w:t>prestatiejaar</w:t>
      </w:r>
      <w:proofErr w:type="spellEnd"/>
      <w:r>
        <w:t xml:space="preserve"> 2019) minder </w:t>
      </w:r>
      <w:proofErr w:type="spellStart"/>
      <w:r>
        <w:t>multidisciplinaire</w:t>
      </w:r>
      <w:proofErr w:type="spellEnd"/>
      <w:r>
        <w:t xml:space="preserve"> </w:t>
      </w:r>
      <w:proofErr w:type="spellStart"/>
      <w:r>
        <w:t>verslagen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afleveren</w:t>
      </w:r>
      <w:proofErr w:type="spellEnd"/>
      <w:r>
        <w:t xml:space="preserve">. Het </w:t>
      </w:r>
      <w:proofErr w:type="spellStart"/>
      <w:r>
        <w:t>bedrag</w:t>
      </w:r>
      <w:proofErr w:type="spellEnd"/>
      <w:r>
        <w:t xml:space="preserve"> van 1 </w:t>
      </w:r>
      <w:proofErr w:type="spellStart"/>
      <w:r>
        <w:t>miljoen</w:t>
      </w:r>
      <w:proofErr w:type="spellEnd"/>
      <w:r>
        <w:t xml:space="preserve"> euro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MDT’s die </w:t>
      </w:r>
      <w:proofErr w:type="spellStart"/>
      <w:r>
        <w:t>effectief</w:t>
      </w:r>
      <w:proofErr w:type="spellEnd"/>
      <w:r>
        <w:t xml:space="preserve"> </w:t>
      </w:r>
      <w:proofErr w:type="spellStart"/>
      <w:r>
        <w:t>inkomensverlies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,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verdeelsleutel</w:t>
      </w:r>
      <w:proofErr w:type="spellEnd"/>
      <w:r>
        <w:t xml:space="preserve"> conform de </w:t>
      </w:r>
      <w:proofErr w:type="spellStart"/>
      <w:r>
        <w:t>geleverde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in 2021. </w:t>
      </w:r>
    </w:p>
    <w:p w:rsidR="00FC675B" w:rsidRDefault="00FC67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675B" w:rsidRDefault="00FC67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675B" w:rsidRDefault="00FC67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675B" w:rsidRDefault="00FC67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675B" w:rsidRDefault="00FC67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675B" w:rsidRDefault="00FC675B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FC675B" w:rsidRDefault="00FC67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675B" w:rsidRDefault="00D77A0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FC675B" w:rsidRDefault="00D77A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FC675B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03" w:rsidRDefault="00D77A03">
      <w:pPr>
        <w:spacing w:line="240" w:lineRule="auto"/>
      </w:pPr>
      <w:r>
        <w:separator/>
      </w:r>
    </w:p>
  </w:endnote>
  <w:endnote w:type="continuationSeparator" w:id="0">
    <w:p w:rsidR="00D77A03" w:rsidRDefault="00D77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5B" w:rsidRDefault="00FC675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5B" w:rsidRDefault="00FC675B">
    <w:pPr>
      <w:pBdr>
        <w:top w:val="nil"/>
        <w:left w:val="nil"/>
        <w:bottom w:val="nil"/>
        <w:right w:val="nil"/>
        <w:between w:val="nil"/>
      </w:pBdr>
    </w:pPr>
  </w:p>
  <w:p w:rsidR="00FC675B" w:rsidRDefault="00D77A0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624E2" w:rsidRDefault="009624E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03" w:rsidRDefault="00D77A03">
      <w:pPr>
        <w:spacing w:line="240" w:lineRule="auto"/>
      </w:pPr>
      <w:r>
        <w:separator/>
      </w:r>
    </w:p>
  </w:footnote>
  <w:footnote w:type="continuationSeparator" w:id="0">
    <w:p w:rsidR="00D77A03" w:rsidRDefault="00D77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5B" w:rsidRDefault="00FC675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8DF"/>
    <w:multiLevelType w:val="multilevel"/>
    <w:tmpl w:val="BA98C83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75045DE3"/>
    <w:multiLevelType w:val="multilevel"/>
    <w:tmpl w:val="14ECF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675B"/>
    <w:rsid w:val="009624E2"/>
    <w:rsid w:val="00D77A03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2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4E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624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4E2"/>
  </w:style>
  <w:style w:type="paragraph" w:styleId="Voettekst">
    <w:name w:val="footer"/>
    <w:basedOn w:val="Standaard"/>
    <w:link w:val="VoettekstChar"/>
    <w:uiPriority w:val="99"/>
    <w:unhideWhenUsed/>
    <w:rsid w:val="009624E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2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4E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624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4E2"/>
  </w:style>
  <w:style w:type="paragraph" w:styleId="Voettekst">
    <w:name w:val="footer"/>
    <w:basedOn w:val="Standaard"/>
    <w:link w:val="VoettekstChar"/>
    <w:uiPriority w:val="99"/>
    <w:unhideWhenUsed/>
    <w:rsid w:val="009624E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dcterms:created xsi:type="dcterms:W3CDTF">2022-05-10T12:07:00Z</dcterms:created>
  <dcterms:modified xsi:type="dcterms:W3CDTF">2022-05-10T12:07:00Z</dcterms:modified>
</cp:coreProperties>
</file>