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070912">
            <w:pPr>
              <w:pStyle w:val="VerslagNotaOmzendbrief-2Gerichtaan"/>
            </w:pPr>
            <w:r w:rsidRPr="00746C3B">
              <w:t xml:space="preserve">Gericht aan: </w:t>
            </w:r>
            <w:r w:rsidR="00070912">
              <w:t xml:space="preserve">aanbieders van rechtstreeks toegankelijk hulp (RTH-diensten) </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7BE25D55B6904BECB176DA80FC323E8B"/>
            </w:placeholder>
            <w:date w:fullDate="2019-06-04T00:00:00Z">
              <w:dateFormat w:val="d MMMM yyyy"/>
              <w:lid w:val="nl-BE"/>
              <w:storeMappedDataAs w:val="dateTime"/>
              <w:calendar w:val="gregorian"/>
            </w:date>
          </w:sdtPr>
          <w:sdtEndPr/>
          <w:sdtContent>
            <w:tc>
              <w:tcPr>
                <w:tcW w:w="6365" w:type="dxa"/>
              </w:tcPr>
              <w:p w:rsidR="00E52FBB" w:rsidRPr="002F0ED6" w:rsidRDefault="00B66DE5" w:rsidP="00F10F66">
                <w:pPr>
                  <w:pStyle w:val="VerslagNotaOmzendbrief-3Tekst"/>
                </w:pPr>
                <w:r>
                  <w:t>4 juni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B66DE5" w:rsidP="00B66DE5">
            <w:pPr>
              <w:pStyle w:val="VerslagNotaOmzendbrief-3Tekst"/>
            </w:pPr>
            <w:r>
              <w:t>INF/19/41</w:t>
            </w:r>
            <w:bookmarkStart w:id="0" w:name="_GoBack"/>
            <w:bookmarkEnd w:id="0"/>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070912" w:rsidP="00070912">
            <w:pPr>
              <w:pStyle w:val="VerslagNotaOmzendbrief-Kenmerk-Tekst"/>
            </w:pPr>
            <w:proofErr w:type="spellStart"/>
            <w:r>
              <w:t>Berbe</w:t>
            </w:r>
            <w:proofErr w:type="spellEnd"/>
            <w:r>
              <w:t xml:space="preserve"> </w:t>
            </w:r>
            <w:proofErr w:type="spellStart"/>
            <w:r>
              <w:t>Luyckx</w:t>
            </w:r>
            <w:proofErr w:type="spellEnd"/>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070912" w:rsidP="00070912">
            <w:pPr>
              <w:pStyle w:val="VerslagNotaOmzendbrief-Kenmerk-Tekst"/>
            </w:pPr>
            <w:r>
              <w:t>Berbe.luyckx@vaph.be</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070912" w:rsidP="00F50C45">
            <w:pPr>
              <w:pStyle w:val="VerslagNotaOmzendbrief-4OnderwerpTitel"/>
            </w:pPr>
            <w:r w:rsidRPr="00070912">
              <w:rPr>
                <w:color w:val="000000"/>
                <w:szCs w:val="34"/>
              </w:rPr>
              <w:t>Wijzigingen RTH-besluit definitief goedgekeurd - nieuwe interpretaties RTH-besluit</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070912" w:rsidRDefault="00070912" w:rsidP="00070912">
      <w:pPr>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Op 26 april keurde de Vlaamse Regering een aantal wijzigingen aan het RTH-besluit definitief goed. Hiermee worden 2 belangrijke wijzigingen doorgevoerd: </w:t>
      </w:r>
    </w:p>
    <w:p w:rsidR="00070912" w:rsidRPr="00070912" w:rsidRDefault="00070912" w:rsidP="00070912">
      <w:pPr>
        <w:pStyle w:val="Lijstalinea"/>
        <w:numPr>
          <w:ilvl w:val="0"/>
          <w:numId w:val="24"/>
        </w:numPr>
        <w:spacing w:after="0" w:line="280" w:lineRule="atLeast"/>
        <w:rPr>
          <w:rFonts w:eastAsia="Times New Roman"/>
          <w:color w:val="000000"/>
          <w:lang w:eastAsia="nl-BE"/>
        </w:rPr>
      </w:pPr>
      <w:r w:rsidRPr="00070912">
        <w:rPr>
          <w:rFonts w:eastAsia="Times New Roman"/>
          <w:color w:val="000000"/>
          <w:lang w:eastAsia="nl-BE"/>
        </w:rPr>
        <w:t>Bijkomende RTH-middelen voor minderjarigen in functie van het realiseren van inclusieve trajecten in de kinderopvang en het gewoon onderwijs.</w:t>
      </w:r>
    </w:p>
    <w:p w:rsidR="00070912" w:rsidRPr="00070912" w:rsidRDefault="00070912" w:rsidP="00070912">
      <w:pPr>
        <w:pStyle w:val="Lijstalinea"/>
        <w:numPr>
          <w:ilvl w:val="0"/>
          <w:numId w:val="24"/>
        </w:numPr>
        <w:spacing w:after="0" w:line="280" w:lineRule="atLeast"/>
        <w:rPr>
          <w:rFonts w:eastAsia="Times New Roman"/>
          <w:color w:val="000000"/>
          <w:lang w:eastAsia="nl-BE"/>
        </w:rPr>
      </w:pPr>
      <w:r w:rsidRPr="00070912">
        <w:rPr>
          <w:rFonts w:eastAsia="Times New Roman"/>
          <w:color w:val="000000"/>
          <w:lang w:eastAsia="nl-BE"/>
        </w:rPr>
        <w:t xml:space="preserve">Voor de begeleiding via RTH kunnen diensten ook werken met vrijwilligers, en voor het vergoeden van die vrijwilligers een hoger aandeel personeelspunten omzetten in werkingskosten.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Recent nam het VAPH ook een aantal standpunten in over de toepassing van het RTH-besluit waarover we de sector willen informeren. Het gaat dan over:</w:t>
      </w:r>
    </w:p>
    <w:p w:rsidR="00070912" w:rsidRPr="00070912" w:rsidRDefault="00070912" w:rsidP="00070912">
      <w:pPr>
        <w:pStyle w:val="Lijstalinea"/>
        <w:numPr>
          <w:ilvl w:val="0"/>
          <w:numId w:val="25"/>
        </w:numPr>
        <w:spacing w:after="0" w:line="280" w:lineRule="atLeast"/>
        <w:rPr>
          <w:rFonts w:eastAsia="Times New Roman"/>
          <w:color w:val="000000"/>
          <w:lang w:eastAsia="nl-BE"/>
        </w:rPr>
      </w:pPr>
      <w:r w:rsidRPr="00070912">
        <w:rPr>
          <w:rFonts w:eastAsia="Times New Roman"/>
          <w:color w:val="000000"/>
          <w:lang w:eastAsia="nl-BE"/>
        </w:rPr>
        <w:t>De combinatie RTH en een terbeschikkingstelling van een PVB</w:t>
      </w:r>
    </w:p>
    <w:p w:rsidR="00070912" w:rsidRPr="00070912" w:rsidRDefault="00070912" w:rsidP="00070912">
      <w:pPr>
        <w:pStyle w:val="Lijstalinea"/>
        <w:numPr>
          <w:ilvl w:val="0"/>
          <w:numId w:val="25"/>
        </w:numPr>
        <w:spacing w:after="0" w:line="280" w:lineRule="atLeast"/>
        <w:rPr>
          <w:rFonts w:eastAsia="Times New Roman"/>
          <w:color w:val="000000"/>
          <w:lang w:eastAsia="nl-BE"/>
        </w:rPr>
      </w:pPr>
      <w:r w:rsidRPr="00070912">
        <w:rPr>
          <w:rFonts w:eastAsia="Times New Roman"/>
          <w:color w:val="000000"/>
          <w:lang w:eastAsia="nl-BE"/>
        </w:rPr>
        <w:t xml:space="preserve">Het aanrekenen van een bijdrage voor </w:t>
      </w:r>
      <w:proofErr w:type="spellStart"/>
      <w:r w:rsidRPr="00070912">
        <w:rPr>
          <w:rFonts w:eastAsia="Times New Roman"/>
          <w:color w:val="000000"/>
          <w:lang w:eastAsia="nl-BE"/>
        </w:rPr>
        <w:t>outreach</w:t>
      </w:r>
      <w:proofErr w:type="spellEnd"/>
    </w:p>
    <w:p w:rsidR="00070912" w:rsidRPr="00070912" w:rsidRDefault="00070912" w:rsidP="00070912">
      <w:pPr>
        <w:pStyle w:val="Kop1"/>
        <w:spacing w:line="280" w:lineRule="atLeast"/>
        <w:rPr>
          <w:rFonts w:eastAsia="Times New Roman"/>
          <w:lang w:eastAsia="nl-BE"/>
        </w:rPr>
      </w:pPr>
      <w:r w:rsidRPr="00070912">
        <w:rPr>
          <w:rFonts w:eastAsia="Times New Roman"/>
          <w:lang w:eastAsia="nl-BE"/>
        </w:rPr>
        <w:t>Inclusieve trajecten voor minderjarigen</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Diensten die erkend zijn voor de uitbouw van RTH, kunnen een erkenning krijgen om globale individuele ondersteuning te bieden aan minderjarigen tot in het eerste leerjaar van het lager onderwijs. Hierdoor kunnen transitiemomenten bij opgroeiende kinderen beter ondersteund worden. Voorwaarde om erkend te kunnen worden, is dat de RTH-dienst aantoont dat ze samenwerkt actoren in de kinderopvang en het onderwijs.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Een uur globale individuele ondersteuning staat gelijk met 0,13 personeelspunten. Personen met een handicap kunnen jaarlijks voor maximaal 4 punten gebruik maken van de globale individuele ondersteuning, naast de reeds bestaande 8 punten voor de andere RTH-vormen. Voor deze ondersteuning mag geen eigen bijdrage gevraagd worden.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lastRenderedPageBreak/>
        <w:t xml:space="preserve">Voor de concrete projecten, lanceerde het VAPH nog een oproep via het Intersectoraal Regionaal Overleg Jeugdhulp (IROJ) waarin de modaliteiten verder verduidelijkt worden. Meer informatie vindt u in </w:t>
      </w:r>
      <w:hyperlink r:id="rId9" w:history="1">
        <w:r w:rsidRPr="00070912">
          <w:rPr>
            <w:rStyle w:val="Hyperlink"/>
            <w:rFonts w:eastAsia="Times New Roman"/>
            <w:lang w:eastAsia="nl-BE"/>
          </w:rPr>
          <w:t>infonota INF/19/38</w:t>
        </w:r>
      </w:hyperlink>
      <w:r w:rsidRPr="00070912">
        <w:rPr>
          <w:rFonts w:eastAsia="Times New Roman"/>
          <w:color w:val="000000"/>
          <w:lang w:eastAsia="nl-BE"/>
        </w:rPr>
        <w:t>.  De regeling treedt in werking op 1 september 2019.</w:t>
      </w:r>
    </w:p>
    <w:p w:rsidR="00070912" w:rsidRPr="00070912" w:rsidRDefault="00070912" w:rsidP="00070912">
      <w:pPr>
        <w:pStyle w:val="Kop1"/>
        <w:rPr>
          <w:rFonts w:eastAsia="Times New Roman"/>
          <w:lang w:eastAsia="nl-BE"/>
        </w:rPr>
      </w:pPr>
      <w:r w:rsidRPr="00070912">
        <w:rPr>
          <w:rFonts w:eastAsia="Times New Roman"/>
          <w:lang w:eastAsia="nl-BE"/>
        </w:rPr>
        <w:t>Vrijwilligers binnen RTH</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Organisaties die voor begeleiding en praktische ondersteuning van personen met een (vermoeden van) handicap een beroep doen op de structurele inzet van  vrijwilligers bij een individuele begeleiding, kunnen hiervoor maximaal 7% van hun </w:t>
      </w:r>
      <w:proofErr w:type="spellStart"/>
      <w:r w:rsidRPr="00070912">
        <w:rPr>
          <w:rFonts w:eastAsia="Times New Roman"/>
          <w:color w:val="000000"/>
          <w:lang w:eastAsia="nl-BE"/>
        </w:rPr>
        <w:t>zorggebonden</w:t>
      </w:r>
      <w:proofErr w:type="spellEnd"/>
      <w:r w:rsidRPr="00070912">
        <w:rPr>
          <w:rFonts w:eastAsia="Times New Roman"/>
          <w:color w:val="000000"/>
          <w:lang w:eastAsia="nl-BE"/>
        </w:rPr>
        <w:t xml:space="preserve"> personeelspunten omzetten in werkingskosten om zo de betrokken vrijwilligers te kunnen vergoeden. Dit komt bovenop de 3% personeelspunten die elke RTH-dienst kan omzetten.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Het VAPH subsidieert die werkingsmiddelen alleen als aan alle voorwaarden, opgesomd in het BVR, is voldaan: </w:t>
      </w:r>
    </w:p>
    <w:p w:rsidR="00070912" w:rsidRPr="00070912" w:rsidRDefault="00070912" w:rsidP="00070912">
      <w:pPr>
        <w:pStyle w:val="Lijstalinea"/>
        <w:numPr>
          <w:ilvl w:val="0"/>
          <w:numId w:val="26"/>
        </w:numPr>
        <w:spacing w:after="0" w:line="280" w:lineRule="atLeast"/>
        <w:rPr>
          <w:rFonts w:eastAsia="Times New Roman"/>
          <w:color w:val="000000"/>
          <w:lang w:eastAsia="nl-BE"/>
        </w:rPr>
      </w:pPr>
      <w:r w:rsidRPr="00070912">
        <w:rPr>
          <w:rFonts w:eastAsia="Times New Roman"/>
          <w:color w:val="000000"/>
          <w:lang w:eastAsia="nl-BE"/>
        </w:rPr>
        <w:t>Er moet overleg geweest zijn met het collectieve overlegorgaan over het omzetten van de punten in werkingsmiddelen</w:t>
      </w:r>
    </w:p>
    <w:p w:rsidR="00070912" w:rsidRPr="00070912" w:rsidRDefault="00070912" w:rsidP="00070912">
      <w:pPr>
        <w:pStyle w:val="Lijstalinea"/>
        <w:numPr>
          <w:ilvl w:val="0"/>
          <w:numId w:val="26"/>
        </w:numPr>
        <w:spacing w:after="0" w:line="280" w:lineRule="atLeast"/>
        <w:rPr>
          <w:rFonts w:eastAsia="Times New Roman"/>
          <w:color w:val="000000"/>
          <w:lang w:eastAsia="nl-BE"/>
        </w:rPr>
      </w:pPr>
      <w:r w:rsidRPr="00070912">
        <w:rPr>
          <w:rFonts w:eastAsia="Times New Roman"/>
          <w:color w:val="000000"/>
          <w:lang w:eastAsia="nl-BE"/>
        </w:rPr>
        <w:t>Vrijwilligers worden ingezet om begeleiding en praktische ondersteuning te bieden aan  personen met een handicap, hierover sloot de voorziening een vrijwilligersovereenkomst met de vrijwilliger en betaalde ook een vrijwilligersvergoeding.</w:t>
      </w:r>
    </w:p>
    <w:p w:rsidR="00070912" w:rsidRPr="00070912" w:rsidRDefault="00070912" w:rsidP="00070912">
      <w:pPr>
        <w:pStyle w:val="Lijstalinea"/>
        <w:numPr>
          <w:ilvl w:val="0"/>
          <w:numId w:val="26"/>
        </w:numPr>
        <w:spacing w:after="0" w:line="280" w:lineRule="atLeast"/>
        <w:rPr>
          <w:rFonts w:eastAsia="Times New Roman"/>
          <w:color w:val="000000"/>
          <w:lang w:eastAsia="nl-BE"/>
        </w:rPr>
      </w:pPr>
      <w:r w:rsidRPr="00070912">
        <w:rPr>
          <w:rFonts w:eastAsia="Times New Roman"/>
          <w:color w:val="000000"/>
          <w:lang w:eastAsia="nl-BE"/>
        </w:rPr>
        <w:t xml:space="preserve">De voorziening rapporteert aan het VAPH over de inzet van vrijwilligers </w:t>
      </w: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Als een voorziening een beroep doet op vrijwilligers voor de begeleiding van gebruikers, kunnen die slechts 7 RTH-punten per jaar inzetten in plaats van de gebruikelijke 8.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Deze bepalingen treden in werking vanaf 1 januari 2019.</w:t>
      </w:r>
    </w:p>
    <w:p w:rsidR="00070912" w:rsidRPr="00070912" w:rsidRDefault="00070912" w:rsidP="00070912">
      <w:pPr>
        <w:pStyle w:val="Kop1"/>
        <w:rPr>
          <w:rFonts w:eastAsia="Times New Roman"/>
          <w:lang w:eastAsia="nl-BE"/>
        </w:rPr>
      </w:pPr>
      <w:r w:rsidRPr="00070912">
        <w:rPr>
          <w:rFonts w:eastAsia="Times New Roman"/>
          <w:lang w:eastAsia="nl-BE"/>
        </w:rPr>
        <w:t>Combinatie RTH - PVB</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De regelgeving voorziet duidelijk dat een persoonsvolgend budget niet kan gecombineerd worden met RTH. (met uitzondering voor de gebruikers die een budget kregen in transitie </w:t>
      </w:r>
      <w:proofErr w:type="spellStart"/>
      <w:r w:rsidRPr="00070912">
        <w:rPr>
          <w:rFonts w:eastAsia="Times New Roman"/>
          <w:color w:val="000000"/>
          <w:lang w:eastAsia="nl-BE"/>
        </w:rPr>
        <w:t>ZiN</w:t>
      </w:r>
      <w:proofErr w:type="spellEnd"/>
      <w:r w:rsidRPr="00070912">
        <w:rPr>
          <w:rFonts w:eastAsia="Times New Roman"/>
          <w:color w:val="000000"/>
          <w:lang w:eastAsia="nl-BE"/>
        </w:rPr>
        <w:t xml:space="preserve"> die gebruik eventueel kunnen maken van respijtzorg)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Tot nu toe kon een RTH-dienst bij een nieuwe terbeschikkingstelling echter nog registraties doen voor ondersteuning zolang de gebruiker nog niet was begonnen met besteden. Die mogelijkheid zal in de toekomst geblokkeerd worden. Van zodra een gebruiker een PVB ter beschikking gesteld heeft gekregen, kan hij géén gebruik meer maken van RTH. In principe voorziet de regelgeving een opzegperiode van 3 maanden. Die kan echter in onderling overleg ingekort worden. De gebruiker kan eventueel de voorziene ondersteuning betalen met zijn PVB. </w:t>
      </w:r>
    </w:p>
    <w:p w:rsidR="00070912" w:rsidRPr="00070912" w:rsidRDefault="00070912" w:rsidP="00070912">
      <w:pPr>
        <w:pStyle w:val="Kop1"/>
        <w:rPr>
          <w:rFonts w:eastAsia="Times New Roman"/>
          <w:lang w:eastAsia="nl-BE"/>
        </w:rPr>
      </w:pPr>
      <w:r w:rsidRPr="00070912">
        <w:rPr>
          <w:rFonts w:eastAsia="Times New Roman"/>
          <w:lang w:eastAsia="nl-BE"/>
        </w:rPr>
        <w:t xml:space="preserve">Bijdrage voor </w:t>
      </w:r>
      <w:proofErr w:type="spellStart"/>
      <w:r w:rsidRPr="00070912">
        <w:rPr>
          <w:rFonts w:eastAsia="Times New Roman"/>
          <w:lang w:eastAsia="nl-BE"/>
        </w:rPr>
        <w:t>outreach</w:t>
      </w:r>
      <w:proofErr w:type="spellEnd"/>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Voor </w:t>
      </w:r>
      <w:proofErr w:type="spellStart"/>
      <w:r w:rsidRPr="00070912">
        <w:rPr>
          <w:rFonts w:eastAsia="Times New Roman"/>
          <w:color w:val="000000"/>
          <w:lang w:eastAsia="nl-BE"/>
        </w:rPr>
        <w:t>outreach</w:t>
      </w:r>
      <w:proofErr w:type="spellEnd"/>
      <w:r w:rsidRPr="00070912">
        <w:rPr>
          <w:rFonts w:eastAsia="Times New Roman"/>
          <w:color w:val="000000"/>
          <w:lang w:eastAsia="nl-BE"/>
        </w:rPr>
        <w:t xml:space="preserve"> - ambulant of mobiel - is er geen “eigen” bijdrage vastgesteld in het BVR. Daardoor kan er voor </w:t>
      </w:r>
      <w:proofErr w:type="spellStart"/>
      <w:r w:rsidRPr="00070912">
        <w:rPr>
          <w:rFonts w:eastAsia="Times New Roman"/>
          <w:color w:val="000000"/>
          <w:lang w:eastAsia="nl-BE"/>
        </w:rPr>
        <w:t>outreach</w:t>
      </w:r>
      <w:proofErr w:type="spellEnd"/>
      <w:r w:rsidRPr="00070912">
        <w:rPr>
          <w:rFonts w:eastAsia="Times New Roman"/>
          <w:color w:val="000000"/>
          <w:lang w:eastAsia="nl-BE"/>
        </w:rPr>
        <w:t xml:space="preserve"> géén bijdrage gevraagd worden aan de deelnemers. In het BVR staat immers dat de persoon met een handicap een financiële bijdrage betaalt. Bij </w:t>
      </w:r>
      <w:proofErr w:type="spellStart"/>
      <w:r w:rsidRPr="00070912">
        <w:rPr>
          <w:rFonts w:eastAsia="Times New Roman"/>
          <w:color w:val="000000"/>
          <w:lang w:eastAsia="nl-BE"/>
        </w:rPr>
        <w:t>outreach</w:t>
      </w:r>
      <w:proofErr w:type="spellEnd"/>
      <w:r w:rsidRPr="00070912">
        <w:rPr>
          <w:rFonts w:eastAsia="Times New Roman"/>
          <w:color w:val="000000"/>
          <w:lang w:eastAsia="nl-BE"/>
        </w:rPr>
        <w:t xml:space="preserve"> is er geen sprake van een specifieke persoon met een handicap, dus kan die ook geen bijdrage betalen.</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Als de </w:t>
      </w:r>
      <w:proofErr w:type="spellStart"/>
      <w:r w:rsidRPr="00070912">
        <w:rPr>
          <w:rFonts w:eastAsia="Times New Roman"/>
          <w:color w:val="000000"/>
          <w:lang w:eastAsia="nl-BE"/>
        </w:rPr>
        <w:t>outreach</w:t>
      </w:r>
      <w:proofErr w:type="spellEnd"/>
      <w:r w:rsidRPr="00070912">
        <w:rPr>
          <w:rFonts w:eastAsia="Times New Roman"/>
          <w:color w:val="000000"/>
          <w:lang w:eastAsia="nl-BE"/>
        </w:rPr>
        <w:t xml:space="preserve"> gegeven wordt aan professionelen of context van personen met een handicap, dan kan er enkel een bijdrage gevraagd worden als wettelijk bepaald is wie een bijdrage moet betalen en hoeveel er dan betaald moet worden. Dat is nu niet het geval, in het RTH-besluit is zulke financiële bijdrage niet voorzien.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lastRenderedPageBreak/>
        <w:t>Enige uitzondering is als het gaat over "</w:t>
      </w:r>
      <w:proofErr w:type="spellStart"/>
      <w:r w:rsidRPr="00070912">
        <w:rPr>
          <w:rFonts w:eastAsia="Times New Roman"/>
          <w:color w:val="000000"/>
          <w:lang w:eastAsia="nl-BE"/>
        </w:rPr>
        <w:t>outreach</w:t>
      </w:r>
      <w:proofErr w:type="spellEnd"/>
      <w:r w:rsidRPr="00070912">
        <w:rPr>
          <w:rFonts w:eastAsia="Times New Roman"/>
          <w:color w:val="000000"/>
          <w:lang w:eastAsia="nl-BE"/>
        </w:rPr>
        <w:t xml:space="preserve">" </w:t>
      </w:r>
      <w:proofErr w:type="spellStart"/>
      <w:r w:rsidRPr="00070912">
        <w:rPr>
          <w:rFonts w:eastAsia="Times New Roman"/>
          <w:color w:val="000000"/>
          <w:lang w:eastAsia="nl-BE"/>
        </w:rPr>
        <w:t>i.f.v</w:t>
      </w:r>
      <w:proofErr w:type="spellEnd"/>
      <w:r w:rsidRPr="00070912">
        <w:rPr>
          <w:rFonts w:eastAsia="Times New Roman"/>
          <w:color w:val="000000"/>
          <w:lang w:eastAsia="nl-BE"/>
        </w:rPr>
        <w:t xml:space="preserve">. één specifieke persoon met een handicap. Dan wordt dit niet beschouwd als "algemene kennisoverdracht" maar als een vorm van begeleiding. In dat geval kan er wel een eigen bijdrage gevraagd worden, aan de betrokken persoon met een handicap. U registreert de ondersteuning dan ook niet als </w:t>
      </w:r>
      <w:proofErr w:type="spellStart"/>
      <w:r w:rsidRPr="00070912">
        <w:rPr>
          <w:rFonts w:eastAsia="Times New Roman"/>
          <w:color w:val="000000"/>
          <w:lang w:eastAsia="nl-BE"/>
        </w:rPr>
        <w:t>outreach</w:t>
      </w:r>
      <w:proofErr w:type="spellEnd"/>
      <w:r w:rsidRPr="00070912">
        <w:rPr>
          <w:rFonts w:eastAsia="Times New Roman"/>
          <w:color w:val="000000"/>
          <w:lang w:eastAsia="nl-BE"/>
        </w:rPr>
        <w:t xml:space="preserve">, maar als individuele begeleiding. </w:t>
      </w:r>
    </w:p>
    <w:p w:rsidR="00070912" w:rsidRPr="00070912" w:rsidRDefault="00070912" w:rsidP="005F3E92">
      <w:pPr>
        <w:pStyle w:val="Kop1"/>
        <w:rPr>
          <w:rFonts w:eastAsia="Times New Roman"/>
          <w:lang w:eastAsia="nl-BE"/>
        </w:rPr>
      </w:pPr>
      <w:r w:rsidRPr="00070912">
        <w:rPr>
          <w:rFonts w:eastAsia="Times New Roman"/>
          <w:lang w:eastAsia="nl-BE"/>
        </w:rPr>
        <w:t>Wijzigingen GIR</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In de GIR zullen de nodige aanpassingen gebeuren zodat </w:t>
      </w:r>
    </w:p>
    <w:p w:rsidR="00070912" w:rsidRPr="005F3E92" w:rsidRDefault="00070912" w:rsidP="005F3E92">
      <w:pPr>
        <w:pStyle w:val="Lijstalinea"/>
        <w:numPr>
          <w:ilvl w:val="0"/>
          <w:numId w:val="27"/>
        </w:numPr>
        <w:spacing w:after="0" w:line="280" w:lineRule="atLeast"/>
        <w:rPr>
          <w:rFonts w:eastAsia="Times New Roman"/>
          <w:color w:val="000000"/>
          <w:lang w:eastAsia="nl-BE"/>
        </w:rPr>
      </w:pPr>
      <w:r w:rsidRPr="005F3E92">
        <w:rPr>
          <w:rFonts w:eastAsia="Times New Roman"/>
          <w:color w:val="000000"/>
          <w:lang w:eastAsia="nl-BE"/>
        </w:rPr>
        <w:t>De RTH-aanbieders die globale individuele ondersteuning kunnen aanbieden, dit ook kunnen registreren in de GIR</w:t>
      </w:r>
    </w:p>
    <w:p w:rsidR="00070912" w:rsidRPr="005F3E92" w:rsidRDefault="00070912" w:rsidP="005F3E92">
      <w:pPr>
        <w:pStyle w:val="Lijstalinea"/>
        <w:numPr>
          <w:ilvl w:val="0"/>
          <w:numId w:val="27"/>
        </w:numPr>
        <w:spacing w:after="0" w:line="280" w:lineRule="atLeast"/>
        <w:rPr>
          <w:rFonts w:eastAsia="Times New Roman"/>
          <w:color w:val="000000"/>
          <w:lang w:eastAsia="nl-BE"/>
        </w:rPr>
      </w:pPr>
      <w:r w:rsidRPr="005F3E92">
        <w:rPr>
          <w:rFonts w:eastAsia="Times New Roman"/>
          <w:color w:val="000000"/>
          <w:lang w:eastAsia="nl-BE"/>
        </w:rPr>
        <w:t xml:space="preserve">Alle </w:t>
      </w:r>
      <w:proofErr w:type="spellStart"/>
      <w:r w:rsidRPr="005F3E92">
        <w:rPr>
          <w:rFonts w:eastAsia="Times New Roman"/>
          <w:color w:val="000000"/>
          <w:lang w:eastAsia="nl-BE"/>
        </w:rPr>
        <w:t>VZA’s</w:t>
      </w:r>
      <w:proofErr w:type="spellEnd"/>
      <w:r w:rsidRPr="005F3E92">
        <w:rPr>
          <w:rFonts w:eastAsia="Times New Roman"/>
          <w:color w:val="000000"/>
          <w:lang w:eastAsia="nl-BE"/>
        </w:rPr>
        <w:t xml:space="preserve"> de nodige registraties kunnen doen als ze werken met vrijwilligers</w:t>
      </w:r>
    </w:p>
    <w:p w:rsidR="00070912" w:rsidRPr="005F3E92" w:rsidRDefault="00070912" w:rsidP="005F3E92">
      <w:pPr>
        <w:pStyle w:val="Lijstalinea"/>
        <w:numPr>
          <w:ilvl w:val="0"/>
          <w:numId w:val="27"/>
        </w:numPr>
        <w:spacing w:after="0" w:line="280" w:lineRule="atLeast"/>
        <w:rPr>
          <w:rFonts w:eastAsia="Times New Roman"/>
          <w:color w:val="000000"/>
          <w:lang w:eastAsia="nl-BE"/>
        </w:rPr>
      </w:pPr>
      <w:r w:rsidRPr="005F3E92">
        <w:rPr>
          <w:rFonts w:eastAsia="Times New Roman"/>
          <w:color w:val="000000"/>
          <w:lang w:eastAsia="nl-BE"/>
        </w:rPr>
        <w:t xml:space="preserve">Er bij een terbeschikkingstelling PVB niet langer RTH-prestaties kunnen geregistreerd worden.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De aanpassingen om de combinatie van RTH en een terbeschikkingstelling PVB uit te sluiten zullen het eerst geïmplementeerd worden. Vanaf 20 juni 2019 zullen er geen RTH-prestaties meer kunnen geregistreerd worden als een gebruiker een PVB ter beschikking heeft gekregen. </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De andere aanpassingen vergen meer tijd, we mikken hiervoor op eind 2019. </w:t>
      </w:r>
    </w:p>
    <w:p w:rsidR="00070912" w:rsidRPr="00070912" w:rsidRDefault="00070912" w:rsidP="005F3E92">
      <w:pPr>
        <w:pStyle w:val="Kop1"/>
        <w:rPr>
          <w:rFonts w:eastAsia="Times New Roman"/>
          <w:lang w:eastAsia="nl-BE"/>
        </w:rPr>
      </w:pPr>
      <w:r w:rsidRPr="00070912">
        <w:rPr>
          <w:rFonts w:eastAsia="Times New Roman"/>
          <w:lang w:eastAsia="nl-BE"/>
        </w:rPr>
        <w:t>Aanpassing website</w:t>
      </w: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 xml:space="preserve">Naar aanleiding van deze wijzigingen, houden we de informatie over RTH op de (professionele) website ook nog eens tegen het licht. Die wordt ook verder aangevuld en aangepast. </w:t>
      </w: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p>
    <w:p w:rsidR="00070912" w:rsidRP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James Van Casteren</w:t>
      </w:r>
    </w:p>
    <w:p w:rsidR="00070912" w:rsidRDefault="00070912" w:rsidP="00070912">
      <w:pPr>
        <w:spacing w:after="0" w:line="280" w:lineRule="atLeast"/>
        <w:rPr>
          <w:rFonts w:eastAsia="Times New Roman"/>
          <w:color w:val="000000"/>
          <w:lang w:eastAsia="nl-BE"/>
        </w:rPr>
      </w:pPr>
      <w:r w:rsidRPr="00070912">
        <w:rPr>
          <w:rFonts w:eastAsia="Times New Roman"/>
          <w:color w:val="000000"/>
          <w:lang w:eastAsia="nl-BE"/>
        </w:rPr>
        <w:t>Administrateur-generaal</w:t>
      </w:r>
    </w:p>
    <w:sectPr w:rsidR="00070912"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1F" w:rsidRDefault="008B7C1F" w:rsidP="00A13B42">
      <w:r>
        <w:separator/>
      </w:r>
    </w:p>
    <w:p w:rsidR="008B7C1F" w:rsidRDefault="008B7C1F"/>
  </w:endnote>
  <w:endnote w:type="continuationSeparator" w:id="0">
    <w:p w:rsidR="008B7C1F" w:rsidRDefault="008B7C1F" w:rsidP="00A13B42">
      <w:r>
        <w:continuationSeparator/>
      </w:r>
    </w:p>
    <w:p w:rsidR="008B7C1F" w:rsidRDefault="008B7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133BC6">
      <w:rPr>
        <w:noProof/>
      </w:rPr>
      <w:t>2</w:t>
    </w:r>
    <w:r w:rsidRPr="00516E9E">
      <w:fldChar w:fldCharType="end"/>
    </w:r>
    <w:r w:rsidRPr="00516E9E">
      <w:t xml:space="preserve"> van </w:t>
    </w:r>
    <w:r w:rsidR="008B7C1F">
      <w:fldChar w:fldCharType="begin"/>
    </w:r>
    <w:r w:rsidR="008B7C1F">
      <w:instrText xml:space="preserve"> NUMPAGES   \* MERGEFORMAT </w:instrText>
    </w:r>
    <w:r w:rsidR="008B7C1F">
      <w:fldChar w:fldCharType="separate"/>
    </w:r>
    <w:r w:rsidR="00133BC6">
      <w:rPr>
        <w:noProof/>
      </w:rPr>
      <w:t>3</w:t>
    </w:r>
    <w:r w:rsidR="008B7C1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133BC6">
      <w:rPr>
        <w:noProof/>
      </w:rPr>
      <w:t>1</w:t>
    </w:r>
    <w:r w:rsidRPr="00516E9E">
      <w:fldChar w:fldCharType="end"/>
    </w:r>
    <w:r w:rsidRPr="00516E9E">
      <w:t xml:space="preserve"> van </w:t>
    </w:r>
    <w:r w:rsidR="008B7C1F">
      <w:fldChar w:fldCharType="begin"/>
    </w:r>
    <w:r w:rsidR="008B7C1F">
      <w:instrText xml:space="preserve"> NUMPAGES   \* MERGEFORMAT </w:instrText>
    </w:r>
    <w:r w:rsidR="008B7C1F">
      <w:fldChar w:fldCharType="separate"/>
    </w:r>
    <w:r w:rsidR="00133BC6">
      <w:rPr>
        <w:noProof/>
      </w:rPr>
      <w:t>3</w:t>
    </w:r>
    <w:r w:rsidR="008B7C1F">
      <w:rPr>
        <w:noProof/>
      </w:rPr>
      <w:fldChar w:fldCharType="end"/>
    </w:r>
    <w:r w:rsidRPr="00516E9E">
      <w:rPr>
        <w:noProof/>
        <w:lang w:eastAsia="nl-BE"/>
      </w:rPr>
      <w:drawing>
        <wp:anchor distT="0" distB="0" distL="114300" distR="114300" simplePos="0" relativeHeight="251679744" behindDoc="0" locked="0" layoutInCell="1" allowOverlap="1" wp14:anchorId="62D1EF6F" wp14:editId="2ADB7108">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1F" w:rsidRDefault="008B7C1F" w:rsidP="00692334">
      <w:pPr>
        <w:spacing w:after="0"/>
      </w:pPr>
      <w:r>
        <w:separator/>
      </w:r>
    </w:p>
  </w:footnote>
  <w:footnote w:type="continuationSeparator" w:id="0">
    <w:p w:rsidR="008B7C1F" w:rsidRDefault="008B7C1F" w:rsidP="00A13B42">
      <w:r>
        <w:continuationSeparator/>
      </w:r>
    </w:p>
    <w:p w:rsidR="008B7C1F" w:rsidRDefault="008B7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D324C54"/>
    <w:multiLevelType w:val="hybridMultilevel"/>
    <w:tmpl w:val="C92AE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18F5636"/>
    <w:multiLevelType w:val="hybridMultilevel"/>
    <w:tmpl w:val="FA2CF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1D45F5"/>
    <w:multiLevelType w:val="hybridMultilevel"/>
    <w:tmpl w:val="6C64B3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DA017AF"/>
    <w:multiLevelType w:val="hybridMultilevel"/>
    <w:tmpl w:val="22D82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3"/>
  </w:num>
  <w:num w:numId="25">
    <w:abstractNumId w:val="10"/>
  </w:num>
  <w:num w:numId="26">
    <w:abstractNumId w:val="16"/>
  </w:num>
  <w:num w:numId="2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2"/>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0912"/>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3BC6"/>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4399"/>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3E92"/>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B7C1F"/>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6DE5"/>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070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070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762606449">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ph.be/documenten/inf1938-oproep-versterking-rth-kader-van-het-uitbreidingsbeleid-2019"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E25D55B6904BECB176DA80FC323E8B"/>
        <w:category>
          <w:name w:val="Algemeen"/>
          <w:gallery w:val="placeholder"/>
        </w:category>
        <w:types>
          <w:type w:val="bbPlcHdr"/>
        </w:types>
        <w:behaviors>
          <w:behavior w:val="content"/>
        </w:behaviors>
        <w:guid w:val="{432D85F2-881A-45A1-9EE3-10ABE4E8ED5D}"/>
      </w:docPartPr>
      <w:docPartBody>
        <w:p w:rsidR="004148E0" w:rsidRDefault="00486323">
          <w:pPr>
            <w:pStyle w:val="7BE25D55B6904BECB176DA80FC323E8B"/>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23"/>
    <w:rsid w:val="004148E0"/>
    <w:rsid w:val="00486323"/>
    <w:rsid w:val="00AA78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922CD744E6844CA9A530190DF3B1AA1">
    <w:name w:val="F922CD744E6844CA9A530190DF3B1AA1"/>
  </w:style>
  <w:style w:type="character" w:styleId="Tekstvantijdelijkeaanduiding">
    <w:name w:val="Placeholder Text"/>
    <w:basedOn w:val="Standaardalinea-lettertype"/>
    <w:uiPriority w:val="99"/>
    <w:semiHidden/>
    <w:rPr>
      <w:color w:val="808080"/>
    </w:rPr>
  </w:style>
  <w:style w:type="paragraph" w:customStyle="1" w:styleId="7BE25D55B6904BECB176DA80FC323E8B">
    <w:name w:val="7BE25D55B6904BECB176DA80FC323E8B"/>
  </w:style>
  <w:style w:type="paragraph" w:customStyle="1" w:styleId="C63216E167E64E59BB8F0365567EBC66">
    <w:name w:val="C63216E167E64E59BB8F0365567EBC66"/>
  </w:style>
  <w:style w:type="paragraph" w:customStyle="1" w:styleId="0B818273C45E48CBA19D89DA119D3396">
    <w:name w:val="0B818273C45E48CBA19D89DA119D3396"/>
  </w:style>
  <w:style w:type="paragraph" w:customStyle="1" w:styleId="28B370F146874ED7A617857747A80EBD">
    <w:name w:val="28B370F146874ED7A617857747A80EBD"/>
  </w:style>
  <w:style w:type="paragraph" w:customStyle="1" w:styleId="521E8F75544840E08CB1B9F67C583D5F">
    <w:name w:val="521E8F75544840E08CB1B9F67C583D5F"/>
  </w:style>
  <w:style w:type="paragraph" w:customStyle="1" w:styleId="2204ED0BB5754B2CAC2146DDEBE4E083">
    <w:name w:val="2204ED0BB5754B2CAC2146DDEBE4E083"/>
  </w:style>
  <w:style w:type="paragraph" w:customStyle="1" w:styleId="B6D52CB5B740447E9CBDD38CAAC062F9">
    <w:name w:val="B6D52CB5B740447E9CBDD38CAAC062F9"/>
  </w:style>
  <w:style w:type="paragraph" w:customStyle="1" w:styleId="CA73394633F0466087EF3747A3374CCF">
    <w:name w:val="CA73394633F0466087EF3747A3374C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922CD744E6844CA9A530190DF3B1AA1">
    <w:name w:val="F922CD744E6844CA9A530190DF3B1AA1"/>
  </w:style>
  <w:style w:type="character" w:styleId="Tekstvantijdelijkeaanduiding">
    <w:name w:val="Placeholder Text"/>
    <w:basedOn w:val="Standaardalinea-lettertype"/>
    <w:uiPriority w:val="99"/>
    <w:semiHidden/>
    <w:rPr>
      <w:color w:val="808080"/>
    </w:rPr>
  </w:style>
  <w:style w:type="paragraph" w:customStyle="1" w:styleId="7BE25D55B6904BECB176DA80FC323E8B">
    <w:name w:val="7BE25D55B6904BECB176DA80FC323E8B"/>
  </w:style>
  <w:style w:type="paragraph" w:customStyle="1" w:styleId="C63216E167E64E59BB8F0365567EBC66">
    <w:name w:val="C63216E167E64E59BB8F0365567EBC66"/>
  </w:style>
  <w:style w:type="paragraph" w:customStyle="1" w:styleId="0B818273C45E48CBA19D89DA119D3396">
    <w:name w:val="0B818273C45E48CBA19D89DA119D3396"/>
  </w:style>
  <w:style w:type="paragraph" w:customStyle="1" w:styleId="28B370F146874ED7A617857747A80EBD">
    <w:name w:val="28B370F146874ED7A617857747A80EBD"/>
  </w:style>
  <w:style w:type="paragraph" w:customStyle="1" w:styleId="521E8F75544840E08CB1B9F67C583D5F">
    <w:name w:val="521E8F75544840E08CB1B9F67C583D5F"/>
  </w:style>
  <w:style w:type="paragraph" w:customStyle="1" w:styleId="2204ED0BB5754B2CAC2146DDEBE4E083">
    <w:name w:val="2204ED0BB5754B2CAC2146DDEBE4E083"/>
  </w:style>
  <w:style w:type="paragraph" w:customStyle="1" w:styleId="B6D52CB5B740447E9CBDD38CAAC062F9">
    <w:name w:val="B6D52CB5B740447E9CBDD38CAAC062F9"/>
  </w:style>
  <w:style w:type="paragraph" w:customStyle="1" w:styleId="CA73394633F0466087EF3747A3374CCF">
    <w:name w:val="CA73394633F0466087EF3747A3374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B0D9-6CB5-4604-9079-19C4D5BE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0</TotalTime>
  <Pages>3</Pages>
  <Words>968</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 luyckx</dc:creator>
  <cp:lastModifiedBy>Ann Allemant</cp:lastModifiedBy>
  <cp:revision>2</cp:revision>
  <cp:lastPrinted>2019-06-04T12:30:00Z</cp:lastPrinted>
  <dcterms:created xsi:type="dcterms:W3CDTF">2019-06-04T12:30:00Z</dcterms:created>
  <dcterms:modified xsi:type="dcterms:W3CDTF">2019-06-04T12:30:00Z</dcterms:modified>
</cp:coreProperties>
</file>