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504"/>
      </w:tblGrid>
      <w:tr w:rsidR="00E52FBB" w:rsidRPr="000F66B6" w:rsidTr="00017D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504" w:type="dxa"/>
          </w:tcPr>
          <w:p w:rsidR="00E52FBB" w:rsidRPr="002F0ED6" w:rsidRDefault="00E52FBB" w:rsidP="00414D8E">
            <w:pPr>
              <w:pStyle w:val="VerslagNotaOmzendbrief-1Type"/>
            </w:pPr>
            <w:r>
              <w:t>INFONOTA</w:t>
            </w:r>
          </w:p>
        </w:tc>
      </w:tr>
      <w:tr w:rsidR="00E52FBB" w:rsidRPr="000F66B6" w:rsidTr="00017DB7">
        <w:trPr>
          <w:trHeight w:val="270"/>
        </w:trPr>
        <w:tc>
          <w:tcPr>
            <w:tcW w:w="2676" w:type="dxa"/>
            <w:vMerge/>
          </w:tcPr>
          <w:p w:rsidR="00E52FBB" w:rsidRPr="003A5274" w:rsidRDefault="00E52FBB" w:rsidP="000B63B7">
            <w:pPr>
              <w:spacing w:after="100"/>
              <w:rPr>
                <w:color w:val="808080"/>
              </w:rPr>
            </w:pPr>
          </w:p>
        </w:tc>
        <w:tc>
          <w:tcPr>
            <w:tcW w:w="6504" w:type="dxa"/>
          </w:tcPr>
          <w:p w:rsidR="00E52FBB" w:rsidRPr="00746C3B" w:rsidRDefault="00E52FBB" w:rsidP="00017DB7">
            <w:pPr>
              <w:pStyle w:val="Normaalweb"/>
              <w:spacing w:before="0" w:beforeAutospacing="0" w:after="0" w:afterAutospacing="0"/>
              <w:jc w:val="right"/>
            </w:pPr>
            <w:r w:rsidRPr="00746C3B">
              <w:t xml:space="preserve">Gericht aan: </w:t>
            </w:r>
            <w:r w:rsidR="00017DB7">
              <w:rPr>
                <w:rFonts w:ascii="Calibri" w:hAnsi="Calibri"/>
                <w:color w:val="000000"/>
                <w:sz w:val="26"/>
                <w:szCs w:val="26"/>
              </w:rPr>
              <w:t>observatie-/ diagnose- en behandelingsunits (ODB), vergunde zorgaanbieders (VZA)</w:t>
            </w:r>
          </w:p>
        </w:tc>
      </w:tr>
      <w:tr w:rsidR="00E52FBB" w:rsidRPr="000F66B6" w:rsidTr="00017D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6C551DB9ECCF43BFB13C9EFB867E0C2F"/>
            </w:placeholder>
            <w:date w:fullDate="2019-09-03T00:00:00Z">
              <w:dateFormat w:val="d MMMM yyyy"/>
              <w:lid w:val="nl-BE"/>
              <w:storeMappedDataAs w:val="dateTime"/>
              <w:calendar w:val="gregorian"/>
            </w:date>
          </w:sdtPr>
          <w:sdtEndPr/>
          <w:sdtContent>
            <w:tc>
              <w:tcPr>
                <w:tcW w:w="6504" w:type="dxa"/>
              </w:tcPr>
              <w:p w:rsidR="00E52FBB" w:rsidRPr="002F0ED6" w:rsidRDefault="00D06EBA" w:rsidP="00F10F66">
                <w:pPr>
                  <w:pStyle w:val="VerslagNotaOmzendbrief-3Tekst"/>
                </w:pPr>
                <w:r>
                  <w:t>3 september 2019</w:t>
                </w:r>
              </w:p>
            </w:tc>
          </w:sdtContent>
        </w:sdt>
      </w:tr>
      <w:tr w:rsidR="00E52FBB" w:rsidRPr="000F66B6" w:rsidTr="00017DB7">
        <w:trPr>
          <w:trHeight w:val="270"/>
        </w:trPr>
        <w:tc>
          <w:tcPr>
            <w:tcW w:w="2676" w:type="dxa"/>
            <w:vMerge/>
          </w:tcPr>
          <w:p w:rsidR="00E52FBB" w:rsidRPr="003A5274" w:rsidRDefault="00E52FBB" w:rsidP="000B63B7">
            <w:pPr>
              <w:spacing w:after="100"/>
              <w:rPr>
                <w:color w:val="808080"/>
              </w:rPr>
            </w:pPr>
          </w:p>
        </w:tc>
        <w:tc>
          <w:tcPr>
            <w:tcW w:w="6504" w:type="dxa"/>
          </w:tcPr>
          <w:p w:rsidR="00E52FBB" w:rsidRDefault="00017DB7" w:rsidP="00017DB7">
            <w:pPr>
              <w:pStyle w:val="VerslagNotaOmzendbrief-3Tekst"/>
            </w:pPr>
            <w:r>
              <w:rPr>
                <w:rFonts w:ascii="Times New Roman" w:eastAsia="Times New Roman" w:hAnsi="Times New Roman"/>
                <w:color w:val="auto"/>
                <w:sz w:val="24"/>
                <w:szCs w:val="24"/>
                <w:lang w:eastAsia="nl-BE"/>
              </w:rPr>
              <w:t>INF/19/49</w:t>
            </w:r>
            <w:r>
              <w:rPr>
                <w:rFonts w:ascii="Times New Roman" w:eastAsia="Times New Roman" w:hAnsi="Times New Roman"/>
                <w:color w:val="auto"/>
                <w:sz w:val="24"/>
                <w:szCs w:val="24"/>
                <w:lang w:eastAsia="nl-BE"/>
              </w:rPr>
              <w:br/>
            </w:r>
          </w:p>
        </w:tc>
      </w:tr>
      <w:tr w:rsidR="00E52FBB" w:rsidRPr="000F66B6" w:rsidTr="00017DB7">
        <w:trPr>
          <w:trHeight w:val="270"/>
        </w:trPr>
        <w:tc>
          <w:tcPr>
            <w:tcW w:w="2676" w:type="dxa"/>
            <w:vMerge/>
          </w:tcPr>
          <w:p w:rsidR="00E52FBB" w:rsidRPr="003A5274" w:rsidRDefault="00E52FBB" w:rsidP="000B63B7">
            <w:pPr>
              <w:spacing w:after="100"/>
              <w:rPr>
                <w:color w:val="808080"/>
              </w:rPr>
            </w:pPr>
          </w:p>
        </w:tc>
        <w:tc>
          <w:tcPr>
            <w:tcW w:w="6504" w:type="dxa"/>
          </w:tcPr>
          <w:p w:rsidR="00E52FBB" w:rsidRDefault="00E52FBB" w:rsidP="000B63B7">
            <w:pPr>
              <w:jc w:val="right"/>
            </w:pPr>
          </w:p>
        </w:tc>
      </w:tr>
      <w:tr w:rsidR="00166BD1" w:rsidRPr="00BF74A3" w:rsidTr="00017DB7">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504" w:type="dxa"/>
            <w:tcMar>
              <w:top w:w="28" w:type="dxa"/>
              <w:bottom w:w="28" w:type="dxa"/>
            </w:tcMar>
            <w:vAlign w:val="bottom"/>
          </w:tcPr>
          <w:p w:rsidR="00166BD1" w:rsidRPr="001C4916" w:rsidRDefault="00D06EBA" w:rsidP="00D06EBA">
            <w:pPr>
              <w:pStyle w:val="VerslagNotaOmzendbrief-Kenmerk-Tekst"/>
            </w:pPr>
            <w:proofErr w:type="spellStart"/>
            <w:r>
              <w:rPr>
                <w:color w:val="000000"/>
                <w:sz w:val="22"/>
                <w:szCs w:val="22"/>
              </w:rPr>
              <w:t>Berbe</w:t>
            </w:r>
            <w:proofErr w:type="spellEnd"/>
            <w:r>
              <w:rPr>
                <w:color w:val="000000"/>
                <w:sz w:val="22"/>
                <w:szCs w:val="22"/>
              </w:rPr>
              <w:t xml:space="preserve"> </w:t>
            </w:r>
            <w:proofErr w:type="spellStart"/>
            <w:r>
              <w:rPr>
                <w:color w:val="000000"/>
                <w:sz w:val="22"/>
                <w:szCs w:val="22"/>
              </w:rPr>
              <w:t>Luyckx</w:t>
            </w:r>
            <w:proofErr w:type="spellEnd"/>
          </w:p>
        </w:tc>
      </w:tr>
      <w:tr w:rsidR="00166BD1" w:rsidRPr="00BF74A3" w:rsidTr="00017DB7">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504" w:type="dxa"/>
            <w:tcMar>
              <w:top w:w="28" w:type="dxa"/>
              <w:bottom w:w="28" w:type="dxa"/>
            </w:tcMar>
            <w:vAlign w:val="bottom"/>
          </w:tcPr>
          <w:p w:rsidR="00166BD1" w:rsidRPr="001C4916" w:rsidRDefault="00D06EBA" w:rsidP="00F84640">
            <w:pPr>
              <w:pStyle w:val="VerslagNotaOmzendbrief-Kenmerk-Tekst"/>
            </w:pPr>
            <w:r w:rsidRPr="00D06EBA">
              <w:rPr>
                <w:color w:val="000000"/>
              </w:rPr>
              <w:t>afz@vaph.be</w:t>
            </w:r>
          </w:p>
        </w:tc>
      </w:tr>
      <w:tr w:rsidR="00166BD1" w:rsidRPr="00BF74A3" w:rsidTr="00017DB7">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504" w:type="dxa"/>
            <w:tcMar>
              <w:top w:w="28" w:type="dxa"/>
              <w:bottom w:w="28" w:type="dxa"/>
            </w:tcMar>
            <w:vAlign w:val="bottom"/>
          </w:tcPr>
          <w:p w:rsidR="00166BD1" w:rsidRPr="001C4916" w:rsidRDefault="00D06EBA" w:rsidP="00D06EBA">
            <w:pPr>
              <w:pStyle w:val="VerslagNotaOmzendbrief-Kenmerk-Tekst"/>
            </w:pPr>
            <w:r>
              <w:t>02 249 30 00</w:t>
            </w:r>
          </w:p>
        </w:tc>
      </w:tr>
      <w:tr w:rsidR="00166BD1" w:rsidRPr="00BF74A3" w:rsidTr="00017DB7">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504" w:type="dxa"/>
            <w:tcMar>
              <w:top w:w="28" w:type="dxa"/>
              <w:bottom w:w="28" w:type="dxa"/>
            </w:tcMar>
            <w:vAlign w:val="bottom"/>
          </w:tcPr>
          <w:p w:rsidR="00166BD1" w:rsidRPr="001C4916" w:rsidRDefault="00166BD1" w:rsidP="00D06EBA">
            <w:pPr>
              <w:pStyle w:val="VerslagNotaOmzendbrief-Kenmerk-Tekst"/>
            </w:pPr>
          </w:p>
        </w:tc>
      </w:tr>
      <w:tr w:rsidR="00166BD1" w:rsidRPr="00924A23" w:rsidTr="00017DB7">
        <w:trPr>
          <w:trHeight w:hRule="exact" w:val="340"/>
        </w:trPr>
        <w:tc>
          <w:tcPr>
            <w:tcW w:w="9180" w:type="dxa"/>
            <w:gridSpan w:val="2"/>
          </w:tcPr>
          <w:p w:rsidR="00166BD1" w:rsidRPr="00924A23" w:rsidRDefault="00166BD1" w:rsidP="000B63B7">
            <w:pPr>
              <w:rPr>
                <w:sz w:val="20"/>
                <w:szCs w:val="20"/>
              </w:rPr>
            </w:pPr>
          </w:p>
        </w:tc>
      </w:tr>
      <w:tr w:rsidR="00166BD1" w:rsidRPr="00924A23" w:rsidTr="00017DB7">
        <w:tc>
          <w:tcPr>
            <w:tcW w:w="9180" w:type="dxa"/>
            <w:gridSpan w:val="2"/>
          </w:tcPr>
          <w:p w:rsidR="00166BD1" w:rsidRPr="00D06EBA" w:rsidRDefault="00D06EBA" w:rsidP="00D06EBA">
            <w:pPr>
              <w:pStyle w:val="VerslagNotaOmzendbrief-4OnderwerpTitel"/>
              <w:rPr>
                <w:szCs w:val="34"/>
              </w:rPr>
            </w:pPr>
            <w:r w:rsidRPr="00D06EBA">
              <w:rPr>
                <w:rFonts w:eastAsia="Times New Roman"/>
                <w:b w:val="0"/>
                <w:color w:val="auto"/>
                <w:szCs w:val="34"/>
                <w:lang w:eastAsia="nl-BE"/>
              </w:rPr>
              <w:t>Combinatie verblijf in ODB-unit en gebruik PVB</w:t>
            </w:r>
          </w:p>
        </w:tc>
      </w:tr>
      <w:tr w:rsidR="006506BC" w:rsidRPr="00924A23" w:rsidTr="00017DB7">
        <w:trPr>
          <w:trHeight w:hRule="exact" w:val="340"/>
        </w:trPr>
        <w:tc>
          <w:tcPr>
            <w:tcW w:w="9180" w:type="dxa"/>
            <w:gridSpan w:val="2"/>
          </w:tcPr>
          <w:p w:rsidR="006506BC" w:rsidRPr="00924A23" w:rsidRDefault="006506BC" w:rsidP="008B2A1B">
            <w:pPr>
              <w:rPr>
                <w:sz w:val="20"/>
                <w:szCs w:val="20"/>
              </w:rPr>
            </w:pPr>
          </w:p>
        </w:tc>
      </w:tr>
    </w:tbl>
    <w:p w:rsidR="00D06EBA" w:rsidRDefault="00D06EBA" w:rsidP="006506BC">
      <w:pPr>
        <w:rPr>
          <w:rFonts w:eastAsia="Times New Roman"/>
          <w:sz w:val="38"/>
          <w:szCs w:val="38"/>
          <w:lang w:eastAsia="nl-BE"/>
        </w:rPr>
      </w:pPr>
      <w:r w:rsidRPr="00D06EBA">
        <w:rPr>
          <w:rFonts w:eastAsia="Times New Roman"/>
          <w:sz w:val="38"/>
          <w:szCs w:val="38"/>
          <w:lang w:eastAsia="nl-BE"/>
        </w:rPr>
        <w:t>Situering</w:t>
      </w:r>
    </w:p>
    <w:p w:rsidR="00D06EBA" w:rsidRDefault="00D06EBA" w:rsidP="006506BC">
      <w:pPr>
        <w:rPr>
          <w:rFonts w:eastAsia="Times New Roman"/>
          <w:sz w:val="38"/>
          <w:szCs w:val="38"/>
          <w:lang w:eastAsia="nl-BE"/>
        </w:rPr>
      </w:pPr>
      <w:r w:rsidRPr="00D06EBA">
        <w:rPr>
          <w:rFonts w:eastAsia="Times New Roman"/>
          <w:lang w:eastAsia="nl-BE"/>
        </w:rPr>
        <w:t xml:space="preserve">De oriëntatie-, diagnose- en behandelingsunits (ODB-units) bieden gespecialiseerde diagnostiek en behandeling aan volwassen personen met een handicap waarbij de huidige situatie vastgelopen is omwille van ernstige gedragsproblemen en waarvoor de huidige ondersteuning onvoldoende handvaten heeft om dit terug op het juiste spoor te brengen. Deze personen krijgen vaak al ondersteuning vanuit een VAPH-erkende voorziening. </w:t>
      </w:r>
      <w:r w:rsidRPr="00D06EBA">
        <w:rPr>
          <w:rFonts w:eastAsia="Times New Roman"/>
          <w:lang w:eastAsia="nl-BE"/>
        </w:rPr>
        <w:br/>
      </w:r>
      <w:r w:rsidRPr="00D06EBA">
        <w:rPr>
          <w:rFonts w:eastAsia="Times New Roman"/>
          <w:lang w:eastAsia="nl-BE"/>
        </w:rPr>
        <w:br/>
        <w:t xml:space="preserve">De ODB-units zijn enkel toegankelijk voor meerderjarige personen met een handicap die een toewijzing hebben voor een persoonsvolgend budget. De ODB-units bieden kortlopende trajecten aan (max. 9 maanden), die indien nodig maximaal 2 maal kunnen verlengd worden mits motivatie. Deze ondersteuning kan zeer intensief zijn en is van bij aanvang voornamelijk residentieel.  Mobiele ondersteuning vanuit een ODB-unit is echter ook mogelijk. </w:t>
      </w:r>
      <w:r w:rsidRPr="00D06EBA">
        <w:rPr>
          <w:rFonts w:eastAsia="Times New Roman"/>
          <w:lang w:eastAsia="nl-BE"/>
        </w:rPr>
        <w:br/>
      </w:r>
      <w:r>
        <w:rPr>
          <w:rFonts w:ascii="Times New Roman" w:eastAsia="Times New Roman" w:hAnsi="Times New Roman"/>
          <w:sz w:val="24"/>
          <w:szCs w:val="24"/>
          <w:lang w:eastAsia="nl-BE"/>
        </w:rPr>
        <w:br/>
      </w:r>
      <w:r w:rsidRPr="00D06EBA">
        <w:rPr>
          <w:rFonts w:eastAsia="Times New Roman"/>
          <w:sz w:val="38"/>
          <w:szCs w:val="38"/>
          <w:lang w:eastAsia="nl-BE"/>
        </w:rPr>
        <w:t>Overstap naar een ODB-unit</w:t>
      </w:r>
    </w:p>
    <w:p w:rsidR="00D06EBA" w:rsidRDefault="00D06EBA" w:rsidP="006506BC">
      <w:pPr>
        <w:rPr>
          <w:rFonts w:eastAsia="Times New Roman"/>
          <w:sz w:val="38"/>
          <w:szCs w:val="38"/>
          <w:lang w:eastAsia="nl-BE"/>
        </w:rPr>
      </w:pPr>
      <w:r w:rsidRPr="00D06EBA">
        <w:rPr>
          <w:rFonts w:eastAsia="Times New Roman"/>
          <w:lang w:eastAsia="nl-BE"/>
        </w:rPr>
        <w:t xml:space="preserve">Als een gebruiker de overstap maakt naar residentieel verblijf in een ODB-unit, is dit altijd een tijdelijke situatie. Aangezien het erg belangrijk is dat de persoon met een handicap nadien terug kan keren naar de vroegere woon- en leefsituatie dient de continuïteit van de oorspronkelijke ondersteuning zoveel als mogelijk te worden gegarandeerd. </w:t>
      </w:r>
      <w:r w:rsidRPr="00D06EBA">
        <w:rPr>
          <w:rFonts w:eastAsia="Times New Roman"/>
          <w:lang w:eastAsia="nl-BE"/>
        </w:rPr>
        <w:br/>
        <w:t xml:space="preserve">Anderzijds dient de individuele dienstverleningsovereenkomst (IDO) de reële ondersteuning te weerspiegelen. Een gebruiker die tijdelijk opgenomen wordt in een ODB-unit en daar dag- en/of woonondersteuning krijgt, gebruikt die ondersteuning niet meer bij zijn oorspronkelijke vergunde zorgaanbieder (VZA). </w:t>
      </w:r>
      <w:r w:rsidRPr="00D06EBA">
        <w:rPr>
          <w:rFonts w:eastAsia="Times New Roman"/>
          <w:lang w:eastAsia="nl-BE"/>
        </w:rPr>
        <w:br/>
      </w:r>
      <w:r w:rsidRPr="00D06EBA">
        <w:rPr>
          <w:rFonts w:eastAsia="Times New Roman"/>
          <w:lang w:eastAsia="nl-BE"/>
        </w:rPr>
        <w:lastRenderedPageBreak/>
        <w:t xml:space="preserve">Indien het gaat om residentiële opnames die beperkt zijn tot max. 3 maanden, kunnen beide </w:t>
      </w:r>
      <w:proofErr w:type="spellStart"/>
      <w:r w:rsidRPr="00D06EBA">
        <w:rPr>
          <w:rFonts w:eastAsia="Times New Roman"/>
          <w:lang w:eastAsia="nl-BE"/>
        </w:rPr>
        <w:t>IDO’s</w:t>
      </w:r>
      <w:proofErr w:type="spellEnd"/>
      <w:r w:rsidRPr="00D06EBA">
        <w:rPr>
          <w:rFonts w:eastAsia="Times New Roman"/>
          <w:lang w:eastAsia="nl-BE"/>
        </w:rPr>
        <w:t xml:space="preserve"> naast elkaar blijven doorlopen, evenals de subsidiëring vanuit het VAPH. Als de opname in de ODB langer duurt dan drie maanden, dient de voorziening de IDO tijdelijk op te schorten en/ of (tijdelijk) aan te passen aan de reëel geboden ondersteuning. Ook de registratie van de IDO in de GIR dient aangepast. De IDO moet immers een weergave zijn van de ondersteuning die in de realiteit wordt geboden. Het is dus wel mogelijk dat de oorspronkelijke voorziening mee blijft instaan voor de ondersteuning van de gebruiker, bijvoorbeeld onder de vorm van individuele begeleiding. Die kan wel gehonoreerd worden, op voorwaarde dat die begeleiding wordt gevat door een aangepaste IDO. </w:t>
      </w:r>
      <w:r w:rsidRPr="00D06EBA">
        <w:rPr>
          <w:rFonts w:eastAsia="Times New Roman"/>
          <w:lang w:eastAsia="nl-BE"/>
        </w:rPr>
        <w:br/>
      </w:r>
      <w:r>
        <w:rPr>
          <w:rFonts w:ascii="Times New Roman" w:eastAsia="Times New Roman" w:hAnsi="Times New Roman"/>
          <w:sz w:val="24"/>
          <w:szCs w:val="24"/>
          <w:lang w:eastAsia="nl-BE"/>
        </w:rPr>
        <w:br/>
      </w:r>
      <w:r w:rsidRPr="00D06EBA">
        <w:rPr>
          <w:rFonts w:eastAsia="Times New Roman"/>
          <w:sz w:val="38"/>
          <w:szCs w:val="38"/>
          <w:lang w:eastAsia="nl-BE"/>
        </w:rPr>
        <w:t>Terugkeer uit de ODB-unit</w:t>
      </w:r>
    </w:p>
    <w:p w:rsidR="00D06EBA" w:rsidRDefault="00D06EBA" w:rsidP="006506BC">
      <w:pPr>
        <w:rPr>
          <w:rFonts w:eastAsia="Times New Roman"/>
          <w:sz w:val="38"/>
          <w:szCs w:val="38"/>
          <w:lang w:eastAsia="nl-BE"/>
        </w:rPr>
      </w:pPr>
      <w:r w:rsidRPr="00D06EBA">
        <w:rPr>
          <w:rFonts w:eastAsia="Times New Roman"/>
          <w:lang w:eastAsia="nl-BE"/>
        </w:rPr>
        <w:t xml:space="preserve">De opname in een ODB-unit is per definitie tijdelijk. Ook al wordt de oorspronkelijke IDO tijdelijk aangepast of stopgezet, het VAPH verwacht nog steeds een engagement van de oorspronkelijke zorgaanbieder dat de gebruiker kan terugkeren. Daarom is het aangewezen dat  de oorspronkelijke voorziening de IDO niet effectief stopzet, maar opschort, in afwachting van de terugkeer van de gebruiker. </w:t>
      </w:r>
      <w:r w:rsidRPr="00D06EBA">
        <w:rPr>
          <w:rFonts w:eastAsia="Times New Roman"/>
          <w:lang w:eastAsia="nl-BE"/>
        </w:rPr>
        <w:br/>
      </w:r>
      <w:r>
        <w:rPr>
          <w:rFonts w:ascii="Times New Roman" w:eastAsia="Times New Roman" w:hAnsi="Times New Roman"/>
          <w:sz w:val="24"/>
          <w:szCs w:val="24"/>
          <w:lang w:eastAsia="nl-BE"/>
        </w:rPr>
        <w:br/>
      </w:r>
      <w:r w:rsidRPr="00D06EBA">
        <w:rPr>
          <w:rFonts w:eastAsia="Times New Roman"/>
          <w:sz w:val="38"/>
          <w:szCs w:val="38"/>
          <w:lang w:eastAsia="nl-BE"/>
        </w:rPr>
        <w:t>Rapportering</w:t>
      </w:r>
    </w:p>
    <w:p w:rsidR="00D06EBA" w:rsidRDefault="00D06EBA" w:rsidP="006506BC">
      <w:pPr>
        <w:rPr>
          <w:rFonts w:eastAsia="Times New Roman"/>
          <w:sz w:val="38"/>
          <w:szCs w:val="38"/>
          <w:lang w:eastAsia="nl-BE"/>
        </w:rPr>
      </w:pPr>
      <w:r w:rsidRPr="00D06EBA">
        <w:rPr>
          <w:rFonts w:eastAsia="Times New Roman"/>
          <w:lang w:eastAsia="nl-BE"/>
        </w:rPr>
        <w:t xml:space="preserve">In de toekomst zal het VAPH periodiek controleren welke ondersteuning zorgaanbieders registreren voor gebruikers die in een ODB-unit verblijven. Als een gebruiker dag- en/of woonondersteuning krijgt in een ODB-unit, zal de oorspronkelijke voorziening nog maximaal 3 maanden ‘dubbele’ ondersteuning mogen registreren. </w:t>
      </w:r>
      <w:r w:rsidRPr="00D06EBA">
        <w:rPr>
          <w:rFonts w:eastAsia="Times New Roman"/>
          <w:lang w:eastAsia="nl-BE"/>
        </w:rPr>
        <w:br/>
      </w:r>
      <w:r>
        <w:rPr>
          <w:rFonts w:ascii="Times New Roman" w:eastAsia="Times New Roman" w:hAnsi="Times New Roman"/>
          <w:sz w:val="24"/>
          <w:szCs w:val="24"/>
          <w:lang w:eastAsia="nl-BE"/>
        </w:rPr>
        <w:br/>
      </w:r>
      <w:r w:rsidRPr="00D06EBA">
        <w:rPr>
          <w:rFonts w:eastAsia="Times New Roman"/>
          <w:sz w:val="38"/>
          <w:szCs w:val="38"/>
          <w:lang w:eastAsia="nl-BE"/>
        </w:rPr>
        <w:t xml:space="preserve">Woon- en </w:t>
      </w:r>
      <w:proofErr w:type="spellStart"/>
      <w:r w:rsidRPr="00D06EBA">
        <w:rPr>
          <w:rFonts w:eastAsia="Times New Roman"/>
          <w:sz w:val="38"/>
          <w:szCs w:val="38"/>
          <w:lang w:eastAsia="nl-BE"/>
        </w:rPr>
        <w:t>leefkosten</w:t>
      </w:r>
      <w:proofErr w:type="spellEnd"/>
    </w:p>
    <w:p w:rsidR="00D06EBA" w:rsidRDefault="00D06EBA" w:rsidP="006506BC">
      <w:pPr>
        <w:rPr>
          <w:rFonts w:eastAsia="Times New Roman"/>
          <w:lang w:eastAsia="nl-BE"/>
        </w:rPr>
      </w:pPr>
      <w:r w:rsidRPr="00D06EBA">
        <w:rPr>
          <w:rFonts w:eastAsia="Times New Roman"/>
          <w:lang w:eastAsia="nl-BE"/>
        </w:rPr>
        <w:t xml:space="preserve">In een ODB-unit dient de persoon met een handicap in te staan voor zijn woon- en </w:t>
      </w:r>
      <w:proofErr w:type="spellStart"/>
      <w:r w:rsidRPr="00D06EBA">
        <w:rPr>
          <w:rFonts w:eastAsia="Times New Roman"/>
          <w:lang w:eastAsia="nl-BE"/>
        </w:rPr>
        <w:t>leefkosten</w:t>
      </w:r>
      <w:proofErr w:type="spellEnd"/>
      <w:r w:rsidRPr="00D06EBA">
        <w:rPr>
          <w:rFonts w:eastAsia="Times New Roman"/>
          <w:lang w:eastAsia="nl-BE"/>
        </w:rPr>
        <w:t xml:space="preserve">. Wat de dagdagelijkse </w:t>
      </w:r>
      <w:proofErr w:type="spellStart"/>
      <w:r w:rsidRPr="00D06EBA">
        <w:rPr>
          <w:rFonts w:eastAsia="Times New Roman"/>
          <w:lang w:eastAsia="nl-BE"/>
        </w:rPr>
        <w:t>leefkosten</w:t>
      </w:r>
      <w:proofErr w:type="spellEnd"/>
      <w:r w:rsidRPr="00D06EBA">
        <w:rPr>
          <w:rFonts w:eastAsia="Times New Roman"/>
          <w:lang w:eastAsia="nl-BE"/>
        </w:rPr>
        <w:t xml:space="preserve"> betreft (voeding, energieverbruik,...) is het logisch dat de voorziening die voorheen instond voor de opvang, tijdens de opschorting van de IDO deze kosten ook niet meer aanrekent. Dat kan voor de woonkost wel moeilijker liggen</w:t>
      </w:r>
      <w:r w:rsidR="00B02E62">
        <w:rPr>
          <w:rFonts w:eastAsia="Times New Roman"/>
          <w:lang w:eastAsia="nl-BE"/>
        </w:rPr>
        <w:t>.</w:t>
      </w:r>
      <w:r w:rsidRPr="00D06EBA">
        <w:rPr>
          <w:rFonts w:eastAsia="Times New Roman"/>
          <w:lang w:eastAsia="nl-BE"/>
        </w:rPr>
        <w:t xml:space="preserve"> Beide partijen moeten zoeken naar een voor hen zo optimaal mogelijke oplossing. Indien de kamer tijdens het verblijf in de ODB unit niet ter beschikking kan of mag gesteld worden aan een andere gebruiker, kan een billijke vergoeding overeengekomen worden voor het ter beschikking houden van de woongelegenheid voor de gebruiker die tijdelijk in een ODB unit verblijft.</w:t>
      </w:r>
      <w:r w:rsidRPr="00D06EBA">
        <w:rPr>
          <w:rFonts w:eastAsia="Times New Roman"/>
          <w:lang w:eastAsia="nl-BE"/>
        </w:rPr>
        <w:br/>
      </w:r>
    </w:p>
    <w:p w:rsidR="00D06EBA" w:rsidRDefault="00D06EBA" w:rsidP="006506BC">
      <w:pPr>
        <w:rPr>
          <w:rFonts w:eastAsia="Times New Roman"/>
          <w:lang w:eastAsia="nl-BE"/>
        </w:rPr>
      </w:pPr>
      <w:r>
        <w:rPr>
          <w:rFonts w:eastAsia="Times New Roman"/>
          <w:lang w:eastAsia="nl-BE"/>
        </w:rPr>
        <w:t>Met vriendelijke groeten</w:t>
      </w:r>
    </w:p>
    <w:p w:rsidR="00D06EBA" w:rsidRDefault="00D06EBA" w:rsidP="006506BC">
      <w:pPr>
        <w:rPr>
          <w:rFonts w:eastAsia="Times New Roman"/>
          <w:lang w:eastAsia="nl-BE"/>
        </w:rPr>
      </w:pPr>
    </w:p>
    <w:p w:rsidR="00D06EBA" w:rsidRDefault="00D06EBA" w:rsidP="006506BC">
      <w:pPr>
        <w:rPr>
          <w:rFonts w:eastAsia="Times New Roman"/>
          <w:lang w:eastAsia="nl-BE"/>
        </w:rPr>
      </w:pPr>
    </w:p>
    <w:p w:rsidR="00D06EBA" w:rsidRDefault="00D06EBA" w:rsidP="006506BC">
      <w:pPr>
        <w:rPr>
          <w:rFonts w:eastAsia="Times New Roman"/>
          <w:lang w:eastAsia="nl-BE"/>
        </w:rPr>
      </w:pPr>
      <w:r>
        <w:rPr>
          <w:rFonts w:eastAsia="Times New Roman"/>
          <w:lang w:eastAsia="nl-BE"/>
        </w:rPr>
        <w:t>James Van Casteren</w:t>
      </w:r>
    </w:p>
    <w:p w:rsidR="00EF373E" w:rsidRPr="00D06EBA" w:rsidRDefault="00D06EBA" w:rsidP="006506BC">
      <w:r>
        <w:rPr>
          <w:rFonts w:eastAsia="Times New Roman"/>
          <w:lang w:eastAsia="nl-BE"/>
        </w:rPr>
        <w:t>Administrateur-generaal</w:t>
      </w:r>
      <w:r w:rsidRPr="00D06EBA">
        <w:rPr>
          <w:rFonts w:eastAsia="Times New Roman"/>
          <w:lang w:eastAsia="nl-BE"/>
        </w:rPr>
        <w:br/>
      </w:r>
      <w:r>
        <w:rPr>
          <w:rFonts w:ascii="Times New Roman" w:eastAsia="Times New Roman" w:hAnsi="Times New Roman"/>
          <w:sz w:val="24"/>
          <w:szCs w:val="24"/>
          <w:lang w:eastAsia="nl-BE"/>
        </w:rPr>
        <w:br/>
      </w:r>
    </w:p>
    <w:sectPr w:rsidR="00EF373E" w:rsidRPr="00D06EBA" w:rsidSect="0085716F">
      <w:footerReference w:type="default" r:id="rId9"/>
      <w:headerReference w:type="first" r:id="rId10"/>
      <w:footerReference w:type="first" r:id="rId11"/>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70" w:rsidRDefault="00470A70" w:rsidP="00A13B42">
      <w:r>
        <w:separator/>
      </w:r>
    </w:p>
    <w:p w:rsidR="00470A70" w:rsidRDefault="00470A70"/>
  </w:endnote>
  <w:endnote w:type="continuationSeparator" w:id="0">
    <w:p w:rsidR="00470A70" w:rsidRDefault="00470A70" w:rsidP="00A13B42">
      <w:r>
        <w:continuationSeparator/>
      </w:r>
    </w:p>
    <w:p w:rsidR="00470A70" w:rsidRDefault="00470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262F35">
      <w:rPr>
        <w:noProof/>
      </w:rPr>
      <w:t>2</w:t>
    </w:r>
    <w:r w:rsidRPr="00516E9E">
      <w:fldChar w:fldCharType="end"/>
    </w:r>
    <w:r w:rsidRPr="00516E9E">
      <w:t xml:space="preserve"> van </w:t>
    </w:r>
    <w:fldSimple w:instr=" NUMPAGES   \* MERGEFORMAT ">
      <w:r w:rsidR="00262F35">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262F35">
      <w:rPr>
        <w:noProof/>
      </w:rPr>
      <w:t>1</w:t>
    </w:r>
    <w:r w:rsidRPr="00516E9E">
      <w:fldChar w:fldCharType="end"/>
    </w:r>
    <w:r w:rsidRPr="00516E9E">
      <w:t xml:space="preserve"> van </w:t>
    </w:r>
    <w:fldSimple w:instr=" NUMPAGES   \* MERGEFORMAT ">
      <w:r w:rsidR="00262F35">
        <w:rPr>
          <w:noProof/>
        </w:rPr>
        <w:t>2</w:t>
      </w:r>
    </w:fldSimple>
    <w:r w:rsidRPr="00516E9E">
      <w:rPr>
        <w:noProof/>
        <w:lang w:eastAsia="nl-BE"/>
      </w:rPr>
      <w:drawing>
        <wp:anchor distT="0" distB="0" distL="114300" distR="114300" simplePos="0" relativeHeight="251679744" behindDoc="0" locked="0" layoutInCell="1" allowOverlap="1" wp14:anchorId="43A22A86" wp14:editId="3F462D5F">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70" w:rsidRDefault="00470A70" w:rsidP="00692334">
      <w:pPr>
        <w:spacing w:after="0"/>
      </w:pPr>
      <w:r>
        <w:separator/>
      </w:r>
    </w:p>
  </w:footnote>
  <w:footnote w:type="continuationSeparator" w:id="0">
    <w:p w:rsidR="00470A70" w:rsidRDefault="00470A70" w:rsidP="00A13B42">
      <w:r>
        <w:continuationSeparator/>
      </w:r>
    </w:p>
    <w:p w:rsidR="00470A70" w:rsidRDefault="00470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BA"/>
    <w:rsid w:val="00001D1B"/>
    <w:rsid w:val="00011108"/>
    <w:rsid w:val="00011992"/>
    <w:rsid w:val="000128DC"/>
    <w:rsid w:val="00017DB7"/>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52CF"/>
    <w:rsid w:val="001E76D1"/>
    <w:rsid w:val="001F43A8"/>
    <w:rsid w:val="001F7445"/>
    <w:rsid w:val="00205E7A"/>
    <w:rsid w:val="00207634"/>
    <w:rsid w:val="00210107"/>
    <w:rsid w:val="002115E9"/>
    <w:rsid w:val="0021282F"/>
    <w:rsid w:val="00215F4C"/>
    <w:rsid w:val="00224CDD"/>
    <w:rsid w:val="00227F82"/>
    <w:rsid w:val="00235779"/>
    <w:rsid w:val="002366E8"/>
    <w:rsid w:val="00246248"/>
    <w:rsid w:val="00247F74"/>
    <w:rsid w:val="00252D5E"/>
    <w:rsid w:val="002544EF"/>
    <w:rsid w:val="00262F35"/>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70A70"/>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585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2E62"/>
    <w:rsid w:val="00B052D1"/>
    <w:rsid w:val="00B0689B"/>
    <w:rsid w:val="00B078D4"/>
    <w:rsid w:val="00B07948"/>
    <w:rsid w:val="00B12000"/>
    <w:rsid w:val="00B13AE6"/>
    <w:rsid w:val="00B14FDE"/>
    <w:rsid w:val="00B1684F"/>
    <w:rsid w:val="00B200B5"/>
    <w:rsid w:val="00B2051E"/>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2DCE"/>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6EBA"/>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D06EBA"/>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unhideWhenUsed/>
    <w:rsid w:val="00017DB7"/>
    <w:pPr>
      <w:spacing w:before="100" w:beforeAutospacing="1" w:after="100" w:afterAutospacing="1" w:line="240" w:lineRule="auto"/>
    </w:pPr>
    <w:rPr>
      <w:rFonts w:ascii="Times New Roman" w:eastAsia="Times New Roman" w:hAnsi="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D06EBA"/>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unhideWhenUsed/>
    <w:rsid w:val="00017DB7"/>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4748">
      <w:bodyDiv w:val="1"/>
      <w:marLeft w:val="0"/>
      <w:marRight w:val="0"/>
      <w:marTop w:val="0"/>
      <w:marBottom w:val="0"/>
      <w:divBdr>
        <w:top w:val="none" w:sz="0" w:space="0" w:color="auto"/>
        <w:left w:val="none" w:sz="0" w:space="0" w:color="auto"/>
        <w:bottom w:val="none" w:sz="0" w:space="0" w:color="auto"/>
        <w:right w:val="none" w:sz="0" w:space="0" w:color="auto"/>
      </w:divBdr>
    </w:div>
    <w:div w:id="1212763473">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600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551DB9ECCF43BFB13C9EFB867E0C2F"/>
        <w:category>
          <w:name w:val="Algemeen"/>
          <w:gallery w:val="placeholder"/>
        </w:category>
        <w:types>
          <w:type w:val="bbPlcHdr"/>
        </w:types>
        <w:behaviors>
          <w:behavior w:val="content"/>
        </w:behaviors>
        <w:guid w:val="{F421ACF9-3C5F-47A1-9179-2E003AC92D98}"/>
      </w:docPartPr>
      <w:docPartBody>
        <w:p w:rsidR="00A24CCA" w:rsidRDefault="000B1350">
          <w:pPr>
            <w:pStyle w:val="6C551DB9ECCF43BFB13C9EFB867E0C2F"/>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50"/>
    <w:rsid w:val="000B1350"/>
    <w:rsid w:val="008D3AE3"/>
    <w:rsid w:val="00A24CCA"/>
    <w:rsid w:val="00F61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148B63297FC407AAA1B288245E4CC01">
    <w:name w:val="8148B63297FC407AAA1B288245E4CC01"/>
  </w:style>
  <w:style w:type="character" w:styleId="Tekstvantijdelijkeaanduiding">
    <w:name w:val="Placeholder Text"/>
    <w:basedOn w:val="Standaardalinea-lettertype"/>
    <w:uiPriority w:val="99"/>
    <w:semiHidden/>
    <w:rPr>
      <w:color w:val="808080"/>
    </w:rPr>
  </w:style>
  <w:style w:type="paragraph" w:customStyle="1" w:styleId="6C551DB9ECCF43BFB13C9EFB867E0C2F">
    <w:name w:val="6C551DB9ECCF43BFB13C9EFB867E0C2F"/>
  </w:style>
  <w:style w:type="paragraph" w:customStyle="1" w:styleId="5007F9A3F08645F8B8FC17FEFE4B1B68">
    <w:name w:val="5007F9A3F08645F8B8FC17FEFE4B1B68"/>
  </w:style>
  <w:style w:type="paragraph" w:customStyle="1" w:styleId="7EBF2B7C7D6941608F70C41FDB53A430">
    <w:name w:val="7EBF2B7C7D6941608F70C41FDB53A430"/>
  </w:style>
  <w:style w:type="paragraph" w:customStyle="1" w:styleId="2EFF78F77BE648D3935736CD9154DCF1">
    <w:name w:val="2EFF78F77BE648D3935736CD9154DCF1"/>
  </w:style>
  <w:style w:type="paragraph" w:customStyle="1" w:styleId="F8F295689EC54276994B54CEA34BBC4D">
    <w:name w:val="F8F295689EC54276994B54CEA34BBC4D"/>
  </w:style>
  <w:style w:type="paragraph" w:customStyle="1" w:styleId="B8C39E32373B4D51886D86183B9A5616">
    <w:name w:val="B8C39E32373B4D51886D86183B9A5616"/>
  </w:style>
  <w:style w:type="paragraph" w:customStyle="1" w:styleId="E81D013FF8794AD483A503A7494AAA17">
    <w:name w:val="E81D013FF8794AD483A503A7494AAA17"/>
  </w:style>
  <w:style w:type="paragraph" w:customStyle="1" w:styleId="225E8ED54EE14AAD9DBE88FF07928CED">
    <w:name w:val="225E8ED54EE14AAD9DBE88FF07928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148B63297FC407AAA1B288245E4CC01">
    <w:name w:val="8148B63297FC407AAA1B288245E4CC01"/>
  </w:style>
  <w:style w:type="character" w:styleId="Tekstvantijdelijkeaanduiding">
    <w:name w:val="Placeholder Text"/>
    <w:basedOn w:val="Standaardalinea-lettertype"/>
    <w:uiPriority w:val="99"/>
    <w:semiHidden/>
    <w:rPr>
      <w:color w:val="808080"/>
    </w:rPr>
  </w:style>
  <w:style w:type="paragraph" w:customStyle="1" w:styleId="6C551DB9ECCF43BFB13C9EFB867E0C2F">
    <w:name w:val="6C551DB9ECCF43BFB13C9EFB867E0C2F"/>
  </w:style>
  <w:style w:type="paragraph" w:customStyle="1" w:styleId="5007F9A3F08645F8B8FC17FEFE4B1B68">
    <w:name w:val="5007F9A3F08645F8B8FC17FEFE4B1B68"/>
  </w:style>
  <w:style w:type="paragraph" w:customStyle="1" w:styleId="7EBF2B7C7D6941608F70C41FDB53A430">
    <w:name w:val="7EBF2B7C7D6941608F70C41FDB53A430"/>
  </w:style>
  <w:style w:type="paragraph" w:customStyle="1" w:styleId="2EFF78F77BE648D3935736CD9154DCF1">
    <w:name w:val="2EFF78F77BE648D3935736CD9154DCF1"/>
  </w:style>
  <w:style w:type="paragraph" w:customStyle="1" w:styleId="F8F295689EC54276994B54CEA34BBC4D">
    <w:name w:val="F8F295689EC54276994B54CEA34BBC4D"/>
  </w:style>
  <w:style w:type="paragraph" w:customStyle="1" w:styleId="B8C39E32373B4D51886D86183B9A5616">
    <w:name w:val="B8C39E32373B4D51886D86183B9A5616"/>
  </w:style>
  <w:style w:type="paragraph" w:customStyle="1" w:styleId="E81D013FF8794AD483A503A7494AAA17">
    <w:name w:val="E81D013FF8794AD483A503A7494AAA17"/>
  </w:style>
  <w:style w:type="paragraph" w:customStyle="1" w:styleId="225E8ED54EE14AAD9DBE88FF07928CED">
    <w:name w:val="225E8ED54EE14AAD9DBE88FF07928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F570-9E02-4D6D-8B52-F3BFF1DBE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35</TotalTime>
  <Pages>2</Pages>
  <Words>652</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3</cp:revision>
  <cp:lastPrinted>2019-09-03T07:53:00Z</cp:lastPrinted>
  <dcterms:created xsi:type="dcterms:W3CDTF">2019-09-02T08:11:00Z</dcterms:created>
  <dcterms:modified xsi:type="dcterms:W3CDTF">2019-09-03T07:53:00Z</dcterms:modified>
</cp:coreProperties>
</file>