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312F" w:rsidRDefault="0042312F">
      <w:pPr>
        <w:rPr>
          <w:rFonts w:ascii="Arial" w:eastAsia="Arial" w:hAnsi="Arial" w:cs="Arial"/>
          <w:b/>
          <w:sz w:val="12"/>
          <w:szCs w:val="12"/>
        </w:rPr>
      </w:pPr>
      <w:bookmarkStart w:id="0" w:name="_GoBack"/>
      <w:bookmarkEnd w:id="0"/>
    </w:p>
    <w:p w:rsidR="0042312F" w:rsidRDefault="0042312F">
      <w:pPr>
        <w:rPr>
          <w:rFonts w:ascii="Arial" w:eastAsia="Arial" w:hAnsi="Arial" w:cs="Arial"/>
          <w:sz w:val="34"/>
          <w:szCs w:val="34"/>
        </w:rPr>
      </w:pPr>
    </w:p>
    <w:tbl>
      <w:tblPr>
        <w:tblStyle w:val="a1"/>
        <w:tblW w:w="8880" w:type="dxa"/>
        <w:tblInd w:w="0" w:type="dxa"/>
        <w:tblLayout w:type="fixed"/>
        <w:tblLook w:val="0600" w:firstRow="0" w:lastRow="0" w:firstColumn="0" w:lastColumn="0" w:noHBand="1" w:noVBand="1"/>
      </w:tblPr>
      <w:tblGrid>
        <w:gridCol w:w="2490"/>
        <w:gridCol w:w="6390"/>
      </w:tblGrid>
      <w:tr w:rsidR="0042312F">
        <w:tc>
          <w:tcPr>
            <w:tcW w:w="2490" w:type="dxa"/>
            <w:vMerge w:val="restart"/>
            <w:shd w:val="clear" w:color="auto" w:fill="auto"/>
            <w:tcMar>
              <w:top w:w="60" w:type="dxa"/>
              <w:left w:w="100" w:type="dxa"/>
              <w:bottom w:w="60" w:type="dxa"/>
              <w:right w:w="100" w:type="dxa"/>
            </w:tcMar>
          </w:tcPr>
          <w:p w:rsidR="0042312F" w:rsidRDefault="00373ABA">
            <w:pPr>
              <w:widowControl w:val="0"/>
              <w:spacing w:line="240" w:lineRule="auto"/>
            </w:pPr>
            <w:r>
              <w:rPr>
                <w:noProof/>
                <w:lang w:val="nl-BE"/>
              </w:rPr>
              <w:drawing>
                <wp:inline distT="114300" distB="114300" distL="114300" distR="114300" wp14:anchorId="4E45F631" wp14:editId="6D0282E6">
                  <wp:extent cx="1405278" cy="642938"/>
                  <wp:effectExtent l="0" t="0" r="0" b="0"/>
                  <wp:docPr id="1" name="image1.png" descr="logo_vaph_word_300dpi.png"/>
                  <wp:cNvGraphicFramePr/>
                  <a:graphic xmlns:a="http://schemas.openxmlformats.org/drawingml/2006/main">
                    <a:graphicData uri="http://schemas.openxmlformats.org/drawingml/2006/picture">
                      <pic:pic xmlns:pic="http://schemas.openxmlformats.org/drawingml/2006/picture">
                        <pic:nvPicPr>
                          <pic:cNvPr id="0" name="image1.png" descr="logo_vaph_word_300dpi.png"/>
                          <pic:cNvPicPr preferRelativeResize="0"/>
                        </pic:nvPicPr>
                        <pic:blipFill>
                          <a:blip r:embed="rId7"/>
                          <a:srcRect/>
                          <a:stretch>
                            <a:fillRect/>
                          </a:stretch>
                        </pic:blipFill>
                        <pic:spPr>
                          <a:xfrm>
                            <a:off x="0" y="0"/>
                            <a:ext cx="1405278" cy="642938"/>
                          </a:xfrm>
                          <a:prstGeom prst="rect">
                            <a:avLst/>
                          </a:prstGeom>
                          <a:ln/>
                        </pic:spPr>
                      </pic:pic>
                    </a:graphicData>
                  </a:graphic>
                </wp:inline>
              </w:drawing>
            </w:r>
          </w:p>
          <w:p w:rsidR="0042312F" w:rsidRDefault="0042312F">
            <w:pPr>
              <w:widowControl w:val="0"/>
              <w:spacing w:line="240" w:lineRule="auto"/>
            </w:pPr>
          </w:p>
          <w:p w:rsidR="0042312F" w:rsidRDefault="00373ABA">
            <w:pPr>
              <w:widowControl w:val="0"/>
              <w:spacing w:line="240" w:lineRule="auto"/>
              <w:rPr>
                <w:color w:val="666666"/>
              </w:rPr>
            </w:pPr>
            <w:r>
              <w:rPr>
                <w:color w:val="666666"/>
              </w:rPr>
              <w:t>Zenithgebouw</w:t>
            </w:r>
          </w:p>
          <w:p w:rsidR="0042312F" w:rsidRDefault="00373ABA">
            <w:pPr>
              <w:widowControl w:val="0"/>
              <w:spacing w:line="240" w:lineRule="auto"/>
              <w:rPr>
                <w:color w:val="666666"/>
              </w:rPr>
            </w:pPr>
            <w:r>
              <w:rPr>
                <w:color w:val="666666"/>
              </w:rPr>
              <w:t>Koning Albert II-laan 37</w:t>
            </w:r>
            <w:r>
              <w:rPr>
                <w:color w:val="666666"/>
              </w:rPr>
              <w:br/>
              <w:t>1030 BRUSSEL</w:t>
            </w:r>
          </w:p>
          <w:p w:rsidR="0042312F" w:rsidRDefault="00373ABA">
            <w:pPr>
              <w:widowControl w:val="0"/>
              <w:spacing w:line="240" w:lineRule="auto"/>
            </w:pPr>
            <w:r>
              <w:t>www.vaph.be</w:t>
            </w:r>
          </w:p>
        </w:tc>
        <w:tc>
          <w:tcPr>
            <w:tcW w:w="6390" w:type="dxa"/>
            <w:shd w:val="clear" w:color="auto" w:fill="auto"/>
            <w:tcMar>
              <w:top w:w="60" w:type="dxa"/>
              <w:left w:w="100" w:type="dxa"/>
              <w:bottom w:w="60" w:type="dxa"/>
              <w:right w:w="100" w:type="dxa"/>
            </w:tcMar>
          </w:tcPr>
          <w:p w:rsidR="0042312F" w:rsidRDefault="0042312F">
            <w:pPr>
              <w:widowControl w:val="0"/>
              <w:jc w:val="right"/>
              <w:rPr>
                <w:b/>
                <w:sz w:val="36"/>
                <w:szCs w:val="36"/>
              </w:rPr>
            </w:pPr>
          </w:p>
          <w:p w:rsidR="0042312F" w:rsidRDefault="0042312F">
            <w:pPr>
              <w:widowControl w:val="0"/>
              <w:jc w:val="right"/>
              <w:rPr>
                <w:b/>
                <w:sz w:val="36"/>
                <w:szCs w:val="36"/>
              </w:rPr>
            </w:pPr>
          </w:p>
          <w:p w:rsidR="0042312F" w:rsidRDefault="00373ABA">
            <w:pPr>
              <w:widowControl w:val="0"/>
              <w:jc w:val="right"/>
              <w:rPr>
                <w:b/>
                <w:sz w:val="36"/>
                <w:szCs w:val="36"/>
              </w:rPr>
            </w:pPr>
            <w:r>
              <w:rPr>
                <w:b/>
                <w:sz w:val="36"/>
                <w:szCs w:val="36"/>
              </w:rPr>
              <w:t>INFONOTA</w:t>
            </w:r>
          </w:p>
        </w:tc>
      </w:tr>
      <w:tr w:rsidR="0042312F">
        <w:tc>
          <w:tcPr>
            <w:tcW w:w="2490" w:type="dxa"/>
            <w:vMerge/>
            <w:shd w:val="clear" w:color="auto" w:fill="auto"/>
            <w:tcMar>
              <w:top w:w="100" w:type="dxa"/>
              <w:left w:w="100" w:type="dxa"/>
              <w:bottom w:w="100" w:type="dxa"/>
              <w:right w:w="100" w:type="dxa"/>
            </w:tcMar>
          </w:tcPr>
          <w:p w:rsidR="0042312F" w:rsidRDefault="0042312F">
            <w:pPr>
              <w:widowControl w:val="0"/>
            </w:pPr>
          </w:p>
        </w:tc>
        <w:tc>
          <w:tcPr>
            <w:tcW w:w="6390" w:type="dxa"/>
            <w:shd w:val="clear" w:color="auto" w:fill="auto"/>
            <w:tcMar>
              <w:top w:w="60" w:type="dxa"/>
              <w:left w:w="100" w:type="dxa"/>
              <w:bottom w:w="60" w:type="dxa"/>
              <w:right w:w="100" w:type="dxa"/>
            </w:tcMar>
          </w:tcPr>
          <w:p w:rsidR="0042312F" w:rsidRDefault="00373ABA">
            <w:pPr>
              <w:widowControl w:val="0"/>
              <w:jc w:val="right"/>
              <w:rPr>
                <w:b/>
                <w:sz w:val="26"/>
                <w:szCs w:val="26"/>
              </w:rPr>
            </w:pPr>
            <w:r>
              <w:rPr>
                <w:sz w:val="26"/>
                <w:szCs w:val="26"/>
              </w:rPr>
              <w:t>Aan: aanbieders van rechtstreeks toegankelijke hulp (RTH-diensten), bijstandsorganisaties, multifunctionele centra (MFC), vergunde zorgaanbieders (VZA), gebruikersverenigingen met informatieloket</w:t>
            </w:r>
          </w:p>
        </w:tc>
      </w:tr>
      <w:tr w:rsidR="0042312F">
        <w:tc>
          <w:tcPr>
            <w:tcW w:w="2490" w:type="dxa"/>
            <w:vMerge/>
            <w:shd w:val="clear" w:color="auto" w:fill="auto"/>
            <w:tcMar>
              <w:top w:w="100" w:type="dxa"/>
              <w:left w:w="100" w:type="dxa"/>
              <w:bottom w:w="100" w:type="dxa"/>
              <w:right w:w="100" w:type="dxa"/>
            </w:tcMar>
          </w:tcPr>
          <w:p w:rsidR="0042312F" w:rsidRDefault="0042312F">
            <w:pPr>
              <w:widowControl w:val="0"/>
            </w:pPr>
          </w:p>
        </w:tc>
        <w:tc>
          <w:tcPr>
            <w:tcW w:w="6390" w:type="dxa"/>
            <w:shd w:val="clear" w:color="auto" w:fill="auto"/>
            <w:tcMar>
              <w:top w:w="60" w:type="dxa"/>
              <w:left w:w="100" w:type="dxa"/>
              <w:bottom w:w="60" w:type="dxa"/>
              <w:right w:w="100" w:type="dxa"/>
            </w:tcMar>
          </w:tcPr>
          <w:p w:rsidR="0042312F" w:rsidRDefault="00373ABA">
            <w:pPr>
              <w:widowControl w:val="0"/>
              <w:jc w:val="right"/>
              <w:rPr>
                <w:color w:val="666666"/>
              </w:rPr>
            </w:pPr>
            <w:r>
              <w:rPr>
                <w:color w:val="666666"/>
              </w:rPr>
              <w:t>21/10/2021</w:t>
            </w:r>
          </w:p>
        </w:tc>
      </w:tr>
      <w:tr w:rsidR="0042312F">
        <w:tc>
          <w:tcPr>
            <w:tcW w:w="2490" w:type="dxa"/>
            <w:vMerge/>
            <w:shd w:val="clear" w:color="auto" w:fill="auto"/>
            <w:tcMar>
              <w:top w:w="100" w:type="dxa"/>
              <w:left w:w="100" w:type="dxa"/>
              <w:bottom w:w="100" w:type="dxa"/>
              <w:right w:w="100" w:type="dxa"/>
            </w:tcMar>
          </w:tcPr>
          <w:p w:rsidR="0042312F" w:rsidRDefault="0042312F">
            <w:pPr>
              <w:widowControl w:val="0"/>
            </w:pPr>
          </w:p>
        </w:tc>
        <w:tc>
          <w:tcPr>
            <w:tcW w:w="6390" w:type="dxa"/>
            <w:shd w:val="clear" w:color="auto" w:fill="auto"/>
            <w:tcMar>
              <w:top w:w="60" w:type="dxa"/>
              <w:left w:w="100" w:type="dxa"/>
              <w:bottom w:w="60" w:type="dxa"/>
              <w:right w:w="100" w:type="dxa"/>
            </w:tcMar>
          </w:tcPr>
          <w:p w:rsidR="0042312F" w:rsidRDefault="00373ABA">
            <w:pPr>
              <w:widowControl w:val="0"/>
              <w:jc w:val="right"/>
              <w:rPr>
                <w:color w:val="666666"/>
              </w:rPr>
            </w:pPr>
            <w:r>
              <w:rPr>
                <w:color w:val="666666"/>
              </w:rPr>
              <w:t>INF/21/96</w:t>
            </w:r>
          </w:p>
        </w:tc>
      </w:tr>
      <w:tr w:rsidR="0042312F">
        <w:tc>
          <w:tcPr>
            <w:tcW w:w="2490" w:type="dxa"/>
            <w:shd w:val="clear" w:color="auto" w:fill="auto"/>
            <w:tcMar>
              <w:top w:w="20" w:type="dxa"/>
              <w:left w:w="100" w:type="dxa"/>
              <w:bottom w:w="20" w:type="dxa"/>
              <w:right w:w="100" w:type="dxa"/>
            </w:tcMar>
          </w:tcPr>
          <w:p w:rsidR="0042312F" w:rsidRDefault="00373ABA">
            <w:pPr>
              <w:widowControl w:val="0"/>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42312F" w:rsidRDefault="00373ABA">
            <w:pPr>
              <w:widowControl w:val="0"/>
            </w:pPr>
            <w:r>
              <w:t>Ellen De Visscher</w:t>
            </w:r>
          </w:p>
        </w:tc>
      </w:tr>
      <w:tr w:rsidR="0042312F">
        <w:tc>
          <w:tcPr>
            <w:tcW w:w="2490" w:type="dxa"/>
            <w:shd w:val="clear" w:color="auto" w:fill="auto"/>
            <w:tcMar>
              <w:top w:w="20" w:type="dxa"/>
              <w:left w:w="100" w:type="dxa"/>
              <w:bottom w:w="20" w:type="dxa"/>
              <w:right w:w="100" w:type="dxa"/>
            </w:tcMar>
          </w:tcPr>
          <w:p w:rsidR="0042312F" w:rsidRDefault="00373ABA">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42312F" w:rsidRDefault="00373ABA">
            <w:pPr>
              <w:widowControl w:val="0"/>
              <w:rPr>
                <w:sz w:val="20"/>
                <w:szCs w:val="20"/>
              </w:rPr>
            </w:pPr>
            <w:r>
              <w:rPr>
                <w:sz w:val="20"/>
                <w:szCs w:val="20"/>
              </w:rPr>
              <w:t>avf@vaph.be</w:t>
            </w:r>
          </w:p>
        </w:tc>
      </w:tr>
      <w:tr w:rsidR="0042312F">
        <w:tc>
          <w:tcPr>
            <w:tcW w:w="2490" w:type="dxa"/>
            <w:shd w:val="clear" w:color="auto" w:fill="auto"/>
            <w:tcMar>
              <w:top w:w="20" w:type="dxa"/>
              <w:left w:w="100" w:type="dxa"/>
              <w:bottom w:w="20" w:type="dxa"/>
              <w:right w:w="100" w:type="dxa"/>
            </w:tcMar>
          </w:tcPr>
          <w:p w:rsidR="0042312F" w:rsidRDefault="00373ABA">
            <w:pPr>
              <w:widowControl w:val="0"/>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42312F" w:rsidRDefault="0042312F">
            <w:pPr>
              <w:widowControl w:val="0"/>
              <w:rPr>
                <w:sz w:val="20"/>
                <w:szCs w:val="20"/>
              </w:rPr>
            </w:pPr>
          </w:p>
        </w:tc>
      </w:tr>
      <w:tr w:rsidR="0042312F">
        <w:tc>
          <w:tcPr>
            <w:tcW w:w="2490" w:type="dxa"/>
            <w:shd w:val="clear" w:color="auto" w:fill="auto"/>
            <w:tcMar>
              <w:top w:w="20" w:type="dxa"/>
              <w:left w:w="100" w:type="dxa"/>
              <w:bottom w:w="20" w:type="dxa"/>
              <w:right w:w="100" w:type="dxa"/>
            </w:tcMar>
          </w:tcPr>
          <w:p w:rsidR="0042312F" w:rsidRDefault="00373ABA">
            <w:pPr>
              <w:widowControl w:val="0"/>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42312F" w:rsidRDefault="0042312F">
            <w:pPr>
              <w:widowControl w:val="0"/>
              <w:rPr>
                <w:sz w:val="20"/>
                <w:szCs w:val="20"/>
              </w:rPr>
            </w:pPr>
          </w:p>
        </w:tc>
      </w:tr>
      <w:tr w:rsidR="0042312F">
        <w:tc>
          <w:tcPr>
            <w:tcW w:w="8880" w:type="dxa"/>
            <w:gridSpan w:val="2"/>
            <w:shd w:val="clear" w:color="auto" w:fill="auto"/>
            <w:tcMar>
              <w:top w:w="60" w:type="dxa"/>
              <w:left w:w="100" w:type="dxa"/>
              <w:bottom w:w="60" w:type="dxa"/>
              <w:right w:w="100" w:type="dxa"/>
            </w:tcMar>
          </w:tcPr>
          <w:p w:rsidR="0042312F" w:rsidRDefault="0042312F">
            <w:pPr>
              <w:widowControl w:val="0"/>
              <w:rPr>
                <w:sz w:val="34"/>
                <w:szCs w:val="34"/>
              </w:rPr>
            </w:pPr>
          </w:p>
        </w:tc>
      </w:tr>
      <w:tr w:rsidR="0042312F">
        <w:tc>
          <w:tcPr>
            <w:tcW w:w="8880" w:type="dxa"/>
            <w:gridSpan w:val="2"/>
            <w:shd w:val="clear" w:color="auto" w:fill="auto"/>
            <w:tcMar>
              <w:top w:w="60" w:type="dxa"/>
              <w:left w:w="100" w:type="dxa"/>
              <w:bottom w:w="60" w:type="dxa"/>
              <w:right w:w="100" w:type="dxa"/>
            </w:tcMar>
          </w:tcPr>
          <w:p w:rsidR="0042312F" w:rsidRDefault="00373ABA">
            <w:pPr>
              <w:widowControl w:val="0"/>
              <w:rPr>
                <w:sz w:val="34"/>
                <w:szCs w:val="34"/>
              </w:rPr>
            </w:pPr>
            <w:r>
              <w:rPr>
                <w:sz w:val="34"/>
                <w:szCs w:val="34"/>
              </w:rPr>
              <w:t>Tewerkstelling ouders via een dienst persoonlijke assistenten</w:t>
            </w:r>
          </w:p>
        </w:tc>
      </w:tr>
      <w:tr w:rsidR="0042312F">
        <w:tc>
          <w:tcPr>
            <w:tcW w:w="8880" w:type="dxa"/>
            <w:gridSpan w:val="2"/>
            <w:shd w:val="clear" w:color="auto" w:fill="auto"/>
            <w:tcMar>
              <w:top w:w="60" w:type="dxa"/>
              <w:left w:w="100" w:type="dxa"/>
              <w:bottom w:w="60" w:type="dxa"/>
              <w:right w:w="100" w:type="dxa"/>
            </w:tcMar>
          </w:tcPr>
          <w:p w:rsidR="0042312F" w:rsidRDefault="00373ABA">
            <w:pPr>
              <w:widowControl w:val="0"/>
              <w:jc w:val="right"/>
              <w:rPr>
                <w:sz w:val="20"/>
                <w:szCs w:val="20"/>
              </w:rPr>
            </w:pPr>
            <w:r>
              <w:rPr>
                <w:sz w:val="20"/>
                <w:szCs w:val="20"/>
              </w:rPr>
              <w:t xml:space="preserve"> </w:t>
            </w:r>
          </w:p>
        </w:tc>
      </w:tr>
    </w:tbl>
    <w:p w:rsidR="0042312F" w:rsidRDefault="00373ABA" w:rsidP="005F1A8D">
      <w:pPr>
        <w:widowControl w:val="0"/>
        <w:pBdr>
          <w:top w:val="nil"/>
          <w:left w:val="nil"/>
          <w:bottom w:val="nil"/>
          <w:right w:val="nil"/>
          <w:between w:val="nil"/>
        </w:pBdr>
      </w:pPr>
      <w:r w:rsidRPr="005F1A8D">
        <w:t>Een houder van een persoonlijk budget (PAB of PVB) heeft de mogelijkheid om zijn zorg en ondersteuning of die van de persoon voor wie hij budgethouder is, te organiseren zoals hij dat zelf wilt. Hij kan daartoe verschillende overeenkomsten sluiten, gaande van overeenkomsten met individuele begeleiders tot overeenkomsten met organisaties of diensten voor personen met een handicap.</w:t>
      </w:r>
    </w:p>
    <w:p w:rsidR="005F1A8D" w:rsidRPr="005F1A8D" w:rsidRDefault="005F1A8D" w:rsidP="005F1A8D">
      <w:pPr>
        <w:widowControl w:val="0"/>
        <w:pBdr>
          <w:top w:val="nil"/>
          <w:left w:val="nil"/>
          <w:bottom w:val="nil"/>
          <w:right w:val="nil"/>
          <w:between w:val="nil"/>
        </w:pBdr>
      </w:pPr>
    </w:p>
    <w:p w:rsidR="0042312F" w:rsidRPr="005F1A8D" w:rsidRDefault="00373ABA" w:rsidP="005F1A8D">
      <w:pPr>
        <w:widowControl w:val="0"/>
        <w:pBdr>
          <w:top w:val="nil"/>
          <w:left w:val="nil"/>
          <w:bottom w:val="nil"/>
          <w:right w:val="nil"/>
          <w:between w:val="nil"/>
        </w:pBdr>
      </w:pPr>
      <w:r w:rsidRPr="005F1A8D">
        <w:t xml:space="preserve">Vaak willen budgethouders (ouders en bewindvoerders) ook zelf individuele begeleider of persoonlijke assistent zijn van hun zoon, dochter of familielid en willen zij dus de rol van budgethouder en assistent combineren. Het is echter zo dat niet alle overeenkomsten die in het kader van het persoonlijke budget kunnen gesloten worden, de combinatie van beide rollen toelaten. Zo is het niet mogelijk om in deze situatie een rechtstreekse arbeidsovereenkomst of takenovereenkomst aan te gaan als ouder en budgethouder. </w:t>
      </w:r>
    </w:p>
    <w:p w:rsidR="0042312F" w:rsidRDefault="00373ABA" w:rsidP="005F1A8D">
      <w:pPr>
        <w:widowControl w:val="0"/>
        <w:pBdr>
          <w:top w:val="nil"/>
          <w:left w:val="nil"/>
          <w:bottom w:val="nil"/>
          <w:right w:val="nil"/>
          <w:between w:val="nil"/>
        </w:pBdr>
      </w:pPr>
      <w:r w:rsidRPr="005F1A8D">
        <w:t>De combinatie van beide rollen is wel mogelijk in het kader van een overeenkomst met een vergunde zorgaanbieder over individuele ondersteuning.</w:t>
      </w:r>
    </w:p>
    <w:p w:rsidR="005F1A8D" w:rsidRPr="005F1A8D" w:rsidRDefault="005F1A8D" w:rsidP="005F1A8D">
      <w:pPr>
        <w:widowControl w:val="0"/>
        <w:pBdr>
          <w:top w:val="nil"/>
          <w:left w:val="nil"/>
          <w:bottom w:val="nil"/>
          <w:right w:val="nil"/>
          <w:between w:val="nil"/>
        </w:pBdr>
      </w:pPr>
    </w:p>
    <w:p w:rsidR="005F1A8D" w:rsidRPr="005F1A8D" w:rsidRDefault="00373ABA" w:rsidP="005F1A8D">
      <w:pPr>
        <w:widowControl w:val="0"/>
        <w:pBdr>
          <w:top w:val="nil"/>
          <w:left w:val="nil"/>
          <w:bottom w:val="nil"/>
          <w:right w:val="nil"/>
          <w:between w:val="nil"/>
        </w:pBdr>
      </w:pPr>
      <w:r w:rsidRPr="005F1A8D">
        <w:t xml:space="preserve">We verklaren ons nader. De ouder/bewindvoerder sluit in het kader van de besteding van het PAB of PVB een overeenkomst over individuele ondersteuning met een vergunde zorgaanbieder. </w:t>
      </w:r>
    </w:p>
    <w:p w:rsidR="005F1A8D" w:rsidRPr="005F1A8D" w:rsidRDefault="005F1A8D" w:rsidP="005F1A8D">
      <w:pPr>
        <w:widowControl w:val="0"/>
        <w:pBdr>
          <w:top w:val="nil"/>
          <w:left w:val="nil"/>
          <w:bottom w:val="nil"/>
          <w:right w:val="nil"/>
          <w:between w:val="nil"/>
        </w:pBdr>
      </w:pPr>
    </w:p>
    <w:p w:rsidR="0042312F" w:rsidRDefault="00373ABA" w:rsidP="005F1A8D">
      <w:pPr>
        <w:widowControl w:val="0"/>
        <w:pBdr>
          <w:top w:val="nil"/>
          <w:left w:val="nil"/>
          <w:bottom w:val="nil"/>
          <w:right w:val="nil"/>
          <w:between w:val="nil"/>
        </w:pBdr>
      </w:pPr>
      <w:r w:rsidRPr="005F1A8D">
        <w:t>De ouder/bewindvoerder sluit daarnaast een arbeidsovereenkomst met een vergunde zorgaanbieder met de bedoeling om in de eigen thuissituatie tewerkgesteld te worden.</w:t>
      </w:r>
    </w:p>
    <w:p w:rsidR="005F1A8D" w:rsidRPr="005F1A8D" w:rsidRDefault="005F1A8D" w:rsidP="005F1A8D">
      <w:pPr>
        <w:widowControl w:val="0"/>
        <w:pBdr>
          <w:top w:val="nil"/>
          <w:left w:val="nil"/>
          <w:bottom w:val="nil"/>
          <w:right w:val="nil"/>
          <w:between w:val="nil"/>
        </w:pBdr>
      </w:pPr>
    </w:p>
    <w:p w:rsidR="005F1A8D" w:rsidRDefault="00373ABA" w:rsidP="005F1A8D">
      <w:pPr>
        <w:widowControl w:val="0"/>
        <w:pBdr>
          <w:top w:val="nil"/>
          <w:left w:val="nil"/>
          <w:bottom w:val="nil"/>
          <w:right w:val="nil"/>
          <w:between w:val="nil"/>
        </w:pBdr>
      </w:pPr>
      <w:r w:rsidRPr="005F1A8D">
        <w:lastRenderedPageBreak/>
        <w:t xml:space="preserve">Als VAPH willen we u erop wijzen dat de arbeidsovereenkomst die in die context wordt gesloten met een ouder/bewindvoerder, moet voldoen aan alle voorwaarden en verplichtingen die gelden voor  een arbeidsovereenkomst. De arbeidsovereenkomst heeft drie constitutieve elementen, namelijk prestatie, loon en gezag. Het is voornamelijk het belang van dat laatste element waar we bijzondere aandacht voor vragen zodat de overeenkomst  in regel is met de RSZ, die daarop controle uitoefent. De gezagsrelatie veronderstelt namelijk dat ook ouders die tewerkgesteld zijn bij hun zoon of dochter, door de vergunde zorgaanbieder gecontroleerd en geëvalueerd worden met betrekking tot de geleverde prestaties. Dat veronderstelt eveneens een competentiegesprek bij aanvang van de tewerkstelling, verplichte deelname aan intervisies, het aanvragen van vakantie, het melden en staven van ziekte en dergelijke. </w:t>
      </w:r>
    </w:p>
    <w:p w:rsidR="0042312F" w:rsidRPr="005F1A8D" w:rsidRDefault="00373ABA" w:rsidP="005F1A8D">
      <w:pPr>
        <w:widowControl w:val="0"/>
        <w:pBdr>
          <w:top w:val="nil"/>
          <w:left w:val="nil"/>
          <w:bottom w:val="nil"/>
          <w:right w:val="nil"/>
          <w:between w:val="nil"/>
        </w:pBdr>
      </w:pPr>
      <w:r w:rsidRPr="005F1A8D">
        <w:t xml:space="preserve">Voor het bestaan van een arbeidsovereenkomst is het niet vereist dat het werkgeversgezag permanent wordt uitgevoerd De prestaties kunnen worden geleverd zonder dat er rechtstreeks toezicht of controle van de werkgever is. </w:t>
      </w:r>
    </w:p>
    <w:p w:rsidR="0042312F" w:rsidRDefault="0042312F">
      <w:pPr>
        <w:widowControl w:val="0"/>
        <w:pBdr>
          <w:top w:val="nil"/>
          <w:left w:val="nil"/>
          <w:bottom w:val="nil"/>
          <w:right w:val="nil"/>
          <w:between w:val="nil"/>
        </w:pBdr>
        <w:rPr>
          <w:rFonts w:ascii="Arial" w:eastAsia="Arial" w:hAnsi="Arial" w:cs="Arial"/>
        </w:rPr>
      </w:pPr>
    </w:p>
    <w:p w:rsidR="0042312F" w:rsidRDefault="0042312F">
      <w:pPr>
        <w:widowControl w:val="0"/>
        <w:pBdr>
          <w:top w:val="nil"/>
          <w:left w:val="nil"/>
          <w:bottom w:val="nil"/>
          <w:right w:val="nil"/>
          <w:between w:val="nil"/>
        </w:pBdr>
      </w:pPr>
    </w:p>
    <w:p w:rsidR="005F1A8D" w:rsidRDefault="005F1A8D">
      <w:pPr>
        <w:widowControl w:val="0"/>
        <w:pBdr>
          <w:top w:val="nil"/>
          <w:left w:val="nil"/>
          <w:bottom w:val="nil"/>
          <w:right w:val="nil"/>
          <w:between w:val="nil"/>
        </w:pBdr>
      </w:pPr>
    </w:p>
    <w:p w:rsidR="005F1A8D" w:rsidRDefault="005F1A8D">
      <w:pPr>
        <w:widowControl w:val="0"/>
        <w:pBdr>
          <w:top w:val="nil"/>
          <w:left w:val="nil"/>
          <w:bottom w:val="nil"/>
          <w:right w:val="nil"/>
          <w:between w:val="nil"/>
        </w:pBdr>
      </w:pPr>
    </w:p>
    <w:p w:rsidR="005F1A8D" w:rsidRDefault="005F1A8D">
      <w:pPr>
        <w:widowControl w:val="0"/>
        <w:pBdr>
          <w:top w:val="nil"/>
          <w:left w:val="nil"/>
          <w:bottom w:val="nil"/>
          <w:right w:val="nil"/>
          <w:between w:val="nil"/>
        </w:pBdr>
      </w:pPr>
    </w:p>
    <w:p w:rsidR="005F1A8D" w:rsidRDefault="005F1A8D">
      <w:pPr>
        <w:widowControl w:val="0"/>
        <w:pBdr>
          <w:top w:val="nil"/>
          <w:left w:val="nil"/>
          <w:bottom w:val="nil"/>
          <w:right w:val="nil"/>
          <w:between w:val="nil"/>
        </w:pBdr>
      </w:pPr>
    </w:p>
    <w:p w:rsidR="0042312F" w:rsidRDefault="0042312F">
      <w:pPr>
        <w:widowControl w:val="0"/>
        <w:pBdr>
          <w:top w:val="nil"/>
          <w:left w:val="nil"/>
          <w:bottom w:val="nil"/>
          <w:right w:val="nil"/>
          <w:between w:val="nil"/>
        </w:pBdr>
      </w:pPr>
    </w:p>
    <w:p w:rsidR="0042312F" w:rsidRDefault="00373ABA">
      <w:pPr>
        <w:widowControl w:val="0"/>
        <w:pBdr>
          <w:top w:val="nil"/>
          <w:left w:val="nil"/>
          <w:bottom w:val="nil"/>
          <w:right w:val="nil"/>
          <w:between w:val="nil"/>
        </w:pBdr>
      </w:pPr>
      <w:r>
        <w:t>James Van Casteren</w:t>
      </w:r>
    </w:p>
    <w:p w:rsidR="0042312F" w:rsidRDefault="00373ABA">
      <w:pPr>
        <w:widowControl w:val="0"/>
        <w:pBdr>
          <w:top w:val="nil"/>
          <w:left w:val="nil"/>
          <w:bottom w:val="nil"/>
          <w:right w:val="nil"/>
          <w:between w:val="nil"/>
        </w:pBdr>
        <w:rPr>
          <w:i/>
        </w:rPr>
      </w:pPr>
      <w:r>
        <w:t>Administrateur-generaal</w:t>
      </w:r>
    </w:p>
    <w:sectPr w:rsidR="0042312F">
      <w:footerReference w:type="default" r:id="rId8"/>
      <w:headerReference w:type="first" r:id="rId9"/>
      <w:footerReference w:type="first" r:id="rId10"/>
      <w:pgSz w:w="11906" w:h="16838"/>
      <w:pgMar w:top="1133" w:right="1133" w:bottom="1870" w:left="992" w:header="0" w:footer="720" w:gutter="0"/>
      <w:pgNumType w:start="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CD6" w:rsidRDefault="00107CD6">
      <w:pPr>
        <w:spacing w:line="240" w:lineRule="auto"/>
      </w:pPr>
      <w:r>
        <w:separator/>
      </w:r>
    </w:p>
  </w:endnote>
  <w:endnote w:type="continuationSeparator" w:id="0">
    <w:p w:rsidR="00107CD6" w:rsidRDefault="00107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2F" w:rsidRDefault="00373ABA">
    <w:pPr>
      <w:jc w:val="right"/>
    </w:pPr>
    <w:r>
      <w:fldChar w:fldCharType="begin"/>
    </w:r>
    <w:r>
      <w:instrText>PAGE</w:instrText>
    </w:r>
    <w:r>
      <w:fldChar w:fldCharType="separate"/>
    </w:r>
    <w:r w:rsidR="00227A0D">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2F" w:rsidRDefault="0042312F">
    <w:pPr>
      <w:pBdr>
        <w:top w:val="nil"/>
        <w:left w:val="nil"/>
        <w:bottom w:val="nil"/>
        <w:right w:val="nil"/>
        <w:between w:val="nil"/>
      </w:pBdr>
    </w:pPr>
  </w:p>
  <w:p w:rsidR="0042312F" w:rsidRDefault="00373ABA">
    <w:pPr>
      <w:pBdr>
        <w:top w:val="nil"/>
        <w:left w:val="nil"/>
        <w:bottom w:val="nil"/>
        <w:right w:val="nil"/>
        <w:between w:val="nil"/>
      </w:pBdr>
    </w:pPr>
    <w:r>
      <w:rPr>
        <w:noProof/>
        <w:lang w:val="nl-BE"/>
      </w:rPr>
      <w:drawing>
        <wp:inline distT="114300" distB="114300" distL="114300" distR="114300" wp14:anchorId="4A6AB662" wp14:editId="7AE3996D">
          <wp:extent cx="1364840" cy="566738"/>
          <wp:effectExtent l="0" t="0" r="0" b="0"/>
          <wp:docPr id="2" name="image2.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2.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fldChar w:fldCharType="separate"/>
    </w:r>
    <w:r w:rsidR="00227A0D">
      <w:rPr>
        <w:noProof/>
      </w:rPr>
      <w:t>0</w:t>
    </w:r>
    <w:r>
      <w:fldChar w:fldCharType="end"/>
    </w:r>
    <w:r>
      <w:t xml:space="preserve"> van </w:t>
    </w:r>
    <w:r>
      <w:fldChar w:fldCharType="begin"/>
    </w:r>
    <w:r>
      <w:instrText>NUMPAGES</w:instrText>
    </w:r>
    <w:r>
      <w:fldChar w:fldCharType="separate"/>
    </w:r>
    <w:r w:rsidR="00227A0D">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CD6" w:rsidRDefault="00107CD6">
      <w:pPr>
        <w:spacing w:line="240" w:lineRule="auto"/>
      </w:pPr>
      <w:r>
        <w:separator/>
      </w:r>
    </w:p>
  </w:footnote>
  <w:footnote w:type="continuationSeparator" w:id="0">
    <w:p w:rsidR="00107CD6" w:rsidRDefault="00107C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2F" w:rsidRDefault="0042312F">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2312F"/>
    <w:rsid w:val="00107CD6"/>
    <w:rsid w:val="00227A0D"/>
    <w:rsid w:val="00373ABA"/>
    <w:rsid w:val="0042312F"/>
    <w:rsid w:val="005F1A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F1A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1A8D"/>
    <w:rPr>
      <w:rFonts w:ascii="Tahoma" w:hAnsi="Tahoma" w:cs="Tahoma"/>
      <w:sz w:val="16"/>
      <w:szCs w:val="16"/>
    </w:rPr>
  </w:style>
  <w:style w:type="paragraph" w:styleId="Koptekst">
    <w:name w:val="header"/>
    <w:basedOn w:val="Standaard"/>
    <w:link w:val="KoptekstChar"/>
    <w:uiPriority w:val="99"/>
    <w:unhideWhenUsed/>
    <w:rsid w:val="005F1A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1A8D"/>
  </w:style>
  <w:style w:type="paragraph" w:styleId="Voettekst">
    <w:name w:val="footer"/>
    <w:basedOn w:val="Standaard"/>
    <w:link w:val="VoettekstChar"/>
    <w:uiPriority w:val="99"/>
    <w:unhideWhenUsed/>
    <w:rsid w:val="005F1A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1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5F1A8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1A8D"/>
    <w:rPr>
      <w:rFonts w:ascii="Tahoma" w:hAnsi="Tahoma" w:cs="Tahoma"/>
      <w:sz w:val="16"/>
      <w:szCs w:val="16"/>
    </w:rPr>
  </w:style>
  <w:style w:type="paragraph" w:styleId="Koptekst">
    <w:name w:val="header"/>
    <w:basedOn w:val="Standaard"/>
    <w:link w:val="KoptekstChar"/>
    <w:uiPriority w:val="99"/>
    <w:unhideWhenUsed/>
    <w:rsid w:val="005F1A8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1A8D"/>
  </w:style>
  <w:style w:type="paragraph" w:styleId="Voettekst">
    <w:name w:val="footer"/>
    <w:basedOn w:val="Standaard"/>
    <w:link w:val="VoettekstChar"/>
    <w:uiPriority w:val="99"/>
    <w:unhideWhenUsed/>
    <w:rsid w:val="005F1A8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2550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Allemant</dc:creator>
  <cp:lastModifiedBy>Ann Allemant</cp:lastModifiedBy>
  <cp:revision>4</cp:revision>
  <cp:lastPrinted>2021-10-20T12:29:00Z</cp:lastPrinted>
  <dcterms:created xsi:type="dcterms:W3CDTF">2021-10-20T12:16:00Z</dcterms:created>
  <dcterms:modified xsi:type="dcterms:W3CDTF">2021-10-20T12:29:00Z</dcterms:modified>
</cp:coreProperties>
</file>