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126A" w:rsidRDefault="00F65517">
      <w:pPr>
        <w:widowControl w:val="0"/>
        <w:spacing w:line="240" w:lineRule="auto"/>
      </w:pPr>
      <w:r>
        <w:rPr>
          <w:noProof/>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51126A" w:rsidRDefault="0051126A">
      <w:pPr>
        <w:widowControl w:val="0"/>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51126A">
        <w:tc>
          <w:tcPr>
            <w:tcW w:w="2490" w:type="dxa"/>
            <w:vMerge w:val="restart"/>
            <w:shd w:val="clear" w:color="auto" w:fill="auto"/>
            <w:tcMar>
              <w:top w:w="60" w:type="dxa"/>
              <w:left w:w="100" w:type="dxa"/>
              <w:bottom w:w="60" w:type="dxa"/>
              <w:right w:w="100" w:type="dxa"/>
            </w:tcMar>
          </w:tcPr>
          <w:p w:rsidR="0051126A" w:rsidRDefault="00F65517">
            <w:pPr>
              <w:widowControl w:val="0"/>
              <w:spacing w:line="240" w:lineRule="auto"/>
              <w:rPr>
                <w:color w:val="666666"/>
              </w:rPr>
            </w:pPr>
            <w:proofErr w:type="spellStart"/>
            <w:r>
              <w:rPr>
                <w:color w:val="666666"/>
              </w:rPr>
              <w:t>Zenithgebouw</w:t>
            </w:r>
            <w:proofErr w:type="spellEnd"/>
          </w:p>
          <w:p w:rsidR="0051126A" w:rsidRDefault="00F65517">
            <w:pPr>
              <w:widowControl w:val="0"/>
              <w:spacing w:line="240" w:lineRule="auto"/>
              <w:rPr>
                <w:color w:val="666666"/>
              </w:rPr>
            </w:pPr>
            <w:r>
              <w:rPr>
                <w:color w:val="666666"/>
              </w:rPr>
              <w:t>Koning Albert II-laan 37</w:t>
            </w:r>
            <w:r>
              <w:rPr>
                <w:color w:val="666666"/>
              </w:rPr>
              <w:br/>
              <w:t>1030 BRUSSEL</w:t>
            </w:r>
          </w:p>
          <w:p w:rsidR="0051126A" w:rsidRDefault="00F65517">
            <w:pPr>
              <w:widowControl w:val="0"/>
              <w:spacing w:line="240" w:lineRule="auto"/>
            </w:pPr>
            <w:r>
              <w:t>www.vaph.be</w:t>
            </w:r>
          </w:p>
        </w:tc>
        <w:tc>
          <w:tcPr>
            <w:tcW w:w="6390" w:type="dxa"/>
            <w:shd w:val="clear" w:color="auto" w:fill="auto"/>
            <w:tcMar>
              <w:top w:w="60" w:type="dxa"/>
              <w:left w:w="100" w:type="dxa"/>
              <w:bottom w:w="60" w:type="dxa"/>
              <w:right w:w="100" w:type="dxa"/>
            </w:tcMar>
          </w:tcPr>
          <w:p w:rsidR="0051126A" w:rsidRDefault="00F65517">
            <w:pPr>
              <w:widowControl w:val="0"/>
              <w:jc w:val="right"/>
              <w:rPr>
                <w:b/>
                <w:sz w:val="36"/>
                <w:szCs w:val="36"/>
              </w:rPr>
            </w:pPr>
            <w:r>
              <w:rPr>
                <w:b/>
                <w:sz w:val="36"/>
                <w:szCs w:val="36"/>
              </w:rPr>
              <w:t>INFONOTA</w:t>
            </w:r>
          </w:p>
        </w:tc>
      </w:tr>
      <w:tr w:rsidR="0051126A">
        <w:trPr>
          <w:trHeight w:val="2080"/>
        </w:trPr>
        <w:tc>
          <w:tcPr>
            <w:tcW w:w="2490" w:type="dxa"/>
            <w:vMerge/>
            <w:shd w:val="clear" w:color="auto" w:fill="auto"/>
            <w:tcMar>
              <w:top w:w="60" w:type="dxa"/>
              <w:left w:w="100" w:type="dxa"/>
              <w:bottom w:w="60" w:type="dxa"/>
              <w:right w:w="100" w:type="dxa"/>
            </w:tcMar>
          </w:tcPr>
          <w:p w:rsidR="0051126A" w:rsidRDefault="0051126A">
            <w:pPr>
              <w:widowControl w:val="0"/>
              <w:pBdr>
                <w:top w:val="nil"/>
                <w:left w:val="nil"/>
                <w:bottom w:val="nil"/>
                <w:right w:val="nil"/>
                <w:between w:val="nil"/>
              </w:pBdr>
              <w:rPr>
                <w:b/>
                <w:sz w:val="36"/>
                <w:szCs w:val="36"/>
              </w:rPr>
            </w:pPr>
          </w:p>
        </w:tc>
        <w:tc>
          <w:tcPr>
            <w:tcW w:w="6390" w:type="dxa"/>
            <w:shd w:val="clear" w:color="auto" w:fill="auto"/>
            <w:tcMar>
              <w:top w:w="60" w:type="dxa"/>
              <w:left w:w="100" w:type="dxa"/>
              <w:bottom w:w="60" w:type="dxa"/>
              <w:right w:w="100" w:type="dxa"/>
            </w:tcMar>
          </w:tcPr>
          <w:p w:rsidR="0051126A" w:rsidRDefault="00F65517">
            <w:pPr>
              <w:widowControl w:val="0"/>
              <w:jc w:val="right"/>
              <w:rPr>
                <w:b/>
                <w:sz w:val="26"/>
                <w:szCs w:val="26"/>
              </w:rPr>
            </w:pPr>
            <w:proofErr w:type="spellStart"/>
            <w:r>
              <w:rPr>
                <w:sz w:val="26"/>
                <w:szCs w:val="26"/>
              </w:rPr>
              <w:t>Aan:aanbieders</w:t>
            </w:r>
            <w:proofErr w:type="spellEnd"/>
            <w:r>
              <w:rPr>
                <w:sz w:val="26"/>
                <w:szCs w:val="26"/>
              </w:rPr>
              <w:t xml:space="preserve"> van rechtstreeks toegankelijke hulp (RTH-diensten), multifunctionele centra (MFC), observatie-/ diagnose- en behandelingsunits (ODB), revalidatiecentra (REVA), forensische VAPH-units, vergunde zorgaanbieders (VZA)</w:t>
            </w:r>
          </w:p>
        </w:tc>
      </w:tr>
      <w:tr w:rsidR="0051126A">
        <w:tc>
          <w:tcPr>
            <w:tcW w:w="2490" w:type="dxa"/>
            <w:vMerge/>
            <w:shd w:val="clear" w:color="auto" w:fill="auto"/>
            <w:tcMar>
              <w:top w:w="60" w:type="dxa"/>
              <w:left w:w="100" w:type="dxa"/>
              <w:bottom w:w="60" w:type="dxa"/>
              <w:right w:w="100" w:type="dxa"/>
            </w:tcMar>
          </w:tcPr>
          <w:p w:rsidR="0051126A" w:rsidRDefault="0051126A">
            <w:pPr>
              <w:widowControl w:val="0"/>
              <w:pBdr>
                <w:top w:val="nil"/>
                <w:left w:val="nil"/>
                <w:bottom w:val="nil"/>
                <w:right w:val="nil"/>
                <w:between w:val="nil"/>
              </w:pBdr>
              <w:rPr>
                <w:b/>
                <w:sz w:val="26"/>
                <w:szCs w:val="26"/>
              </w:rPr>
            </w:pPr>
          </w:p>
        </w:tc>
        <w:tc>
          <w:tcPr>
            <w:tcW w:w="6390" w:type="dxa"/>
            <w:shd w:val="clear" w:color="auto" w:fill="auto"/>
            <w:tcMar>
              <w:top w:w="60" w:type="dxa"/>
              <w:left w:w="100" w:type="dxa"/>
              <w:bottom w:w="60" w:type="dxa"/>
              <w:right w:w="100" w:type="dxa"/>
            </w:tcMar>
          </w:tcPr>
          <w:p w:rsidR="0051126A" w:rsidRDefault="00F65517">
            <w:pPr>
              <w:widowControl w:val="0"/>
              <w:jc w:val="right"/>
              <w:rPr>
                <w:color w:val="666666"/>
              </w:rPr>
            </w:pPr>
            <w:r>
              <w:rPr>
                <w:color w:val="666666"/>
              </w:rPr>
              <w:t>5 november 2019</w:t>
            </w:r>
          </w:p>
        </w:tc>
      </w:tr>
      <w:tr w:rsidR="0051126A">
        <w:tc>
          <w:tcPr>
            <w:tcW w:w="2490" w:type="dxa"/>
            <w:vMerge/>
            <w:shd w:val="clear" w:color="auto" w:fill="auto"/>
            <w:tcMar>
              <w:top w:w="60" w:type="dxa"/>
              <w:left w:w="100" w:type="dxa"/>
              <w:bottom w:w="60" w:type="dxa"/>
              <w:right w:w="100" w:type="dxa"/>
            </w:tcMar>
          </w:tcPr>
          <w:p w:rsidR="0051126A" w:rsidRDefault="0051126A">
            <w:pPr>
              <w:widowControl w:val="0"/>
              <w:pBdr>
                <w:top w:val="nil"/>
                <w:left w:val="nil"/>
                <w:bottom w:val="nil"/>
                <w:right w:val="nil"/>
                <w:between w:val="nil"/>
              </w:pBdr>
              <w:rPr>
                <w:color w:val="666666"/>
              </w:rPr>
            </w:pPr>
          </w:p>
        </w:tc>
        <w:tc>
          <w:tcPr>
            <w:tcW w:w="6390" w:type="dxa"/>
            <w:shd w:val="clear" w:color="auto" w:fill="auto"/>
            <w:tcMar>
              <w:top w:w="60" w:type="dxa"/>
              <w:left w:w="100" w:type="dxa"/>
              <w:bottom w:w="60" w:type="dxa"/>
              <w:right w:w="100" w:type="dxa"/>
            </w:tcMar>
          </w:tcPr>
          <w:p w:rsidR="0051126A" w:rsidRDefault="00F65517">
            <w:pPr>
              <w:widowControl w:val="0"/>
              <w:jc w:val="right"/>
              <w:rPr>
                <w:color w:val="666666"/>
              </w:rPr>
            </w:pPr>
            <w:r>
              <w:rPr>
                <w:color w:val="666666"/>
              </w:rPr>
              <w:t>INF/19/67</w:t>
            </w:r>
          </w:p>
        </w:tc>
      </w:tr>
      <w:tr w:rsidR="0051126A">
        <w:tc>
          <w:tcPr>
            <w:tcW w:w="2490" w:type="dxa"/>
            <w:shd w:val="clear" w:color="auto" w:fill="auto"/>
            <w:tcMar>
              <w:top w:w="20" w:type="dxa"/>
              <w:left w:w="100" w:type="dxa"/>
              <w:bottom w:w="20" w:type="dxa"/>
              <w:right w:w="100" w:type="dxa"/>
            </w:tcMar>
          </w:tcPr>
          <w:p w:rsidR="0051126A" w:rsidRDefault="00F65517">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51126A" w:rsidRDefault="00F65517">
            <w:pPr>
              <w:widowControl w:val="0"/>
            </w:pPr>
            <w:proofErr w:type="spellStart"/>
            <w:r>
              <w:t>Berbe</w:t>
            </w:r>
            <w:proofErr w:type="spellEnd"/>
            <w:r>
              <w:t xml:space="preserve"> </w:t>
            </w:r>
            <w:proofErr w:type="spellStart"/>
            <w:r>
              <w:t>Luyckx</w:t>
            </w:r>
            <w:proofErr w:type="spellEnd"/>
            <w:r>
              <w:t xml:space="preserve"> / Johan Smets</w:t>
            </w:r>
          </w:p>
        </w:tc>
      </w:tr>
      <w:tr w:rsidR="0051126A">
        <w:tc>
          <w:tcPr>
            <w:tcW w:w="2490" w:type="dxa"/>
            <w:shd w:val="clear" w:color="auto" w:fill="auto"/>
            <w:tcMar>
              <w:top w:w="20" w:type="dxa"/>
              <w:left w:w="100" w:type="dxa"/>
              <w:bottom w:w="20" w:type="dxa"/>
              <w:right w:w="100" w:type="dxa"/>
            </w:tcMar>
          </w:tcPr>
          <w:p w:rsidR="0051126A" w:rsidRDefault="00F65517">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51126A" w:rsidRDefault="00F65517">
            <w:pPr>
              <w:widowControl w:val="0"/>
              <w:rPr>
                <w:sz w:val="20"/>
                <w:szCs w:val="20"/>
              </w:rPr>
            </w:pPr>
            <w:r>
              <w:rPr>
                <w:sz w:val="20"/>
                <w:szCs w:val="20"/>
              </w:rPr>
              <w:t>avf@vaph.be</w:t>
            </w:r>
          </w:p>
        </w:tc>
      </w:tr>
      <w:tr w:rsidR="0051126A">
        <w:tc>
          <w:tcPr>
            <w:tcW w:w="8880" w:type="dxa"/>
            <w:gridSpan w:val="2"/>
            <w:shd w:val="clear" w:color="auto" w:fill="auto"/>
            <w:tcMar>
              <w:top w:w="60" w:type="dxa"/>
              <w:left w:w="100" w:type="dxa"/>
              <w:bottom w:w="60" w:type="dxa"/>
              <w:right w:w="100" w:type="dxa"/>
            </w:tcMar>
          </w:tcPr>
          <w:p w:rsidR="0051126A" w:rsidRDefault="0051126A">
            <w:pPr>
              <w:widowControl w:val="0"/>
              <w:rPr>
                <w:sz w:val="34"/>
                <w:szCs w:val="34"/>
              </w:rPr>
            </w:pPr>
            <w:bookmarkStart w:id="0" w:name="_gjdgxs" w:colFirst="0" w:colLast="0"/>
            <w:bookmarkEnd w:id="0"/>
          </w:p>
        </w:tc>
      </w:tr>
      <w:tr w:rsidR="0051126A">
        <w:tc>
          <w:tcPr>
            <w:tcW w:w="8880" w:type="dxa"/>
            <w:gridSpan w:val="2"/>
            <w:shd w:val="clear" w:color="auto" w:fill="auto"/>
            <w:tcMar>
              <w:top w:w="60" w:type="dxa"/>
              <w:left w:w="100" w:type="dxa"/>
              <w:bottom w:w="60" w:type="dxa"/>
              <w:right w:w="100" w:type="dxa"/>
            </w:tcMar>
          </w:tcPr>
          <w:p w:rsidR="0051126A" w:rsidRDefault="00F65517">
            <w:pPr>
              <w:widowControl w:val="0"/>
              <w:rPr>
                <w:sz w:val="34"/>
                <w:szCs w:val="34"/>
              </w:rPr>
            </w:pPr>
            <w:r>
              <w:rPr>
                <w:sz w:val="34"/>
                <w:szCs w:val="34"/>
              </w:rPr>
              <w:t>Bewaartermijnen vergunde zorgaanbieders</w:t>
            </w:r>
          </w:p>
        </w:tc>
      </w:tr>
      <w:tr w:rsidR="0051126A">
        <w:tc>
          <w:tcPr>
            <w:tcW w:w="8880" w:type="dxa"/>
            <w:gridSpan w:val="2"/>
            <w:shd w:val="clear" w:color="auto" w:fill="auto"/>
            <w:tcMar>
              <w:top w:w="60" w:type="dxa"/>
              <w:left w:w="100" w:type="dxa"/>
              <w:bottom w:w="60" w:type="dxa"/>
              <w:right w:w="100" w:type="dxa"/>
            </w:tcMar>
          </w:tcPr>
          <w:p w:rsidR="0051126A" w:rsidRDefault="00F65517">
            <w:pPr>
              <w:widowControl w:val="0"/>
              <w:rPr>
                <w:sz w:val="20"/>
                <w:szCs w:val="20"/>
              </w:rPr>
            </w:pPr>
            <w:r>
              <w:rPr>
                <w:sz w:val="20"/>
                <w:szCs w:val="20"/>
              </w:rPr>
              <w:t xml:space="preserve"> </w:t>
            </w:r>
          </w:p>
        </w:tc>
      </w:tr>
    </w:tbl>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Binnen de sector voor personen met een handicap worden heel wat documenten opgemaakt en bewaard. De </w:t>
      </w:r>
      <w:proofErr w:type="spellStart"/>
      <w:r w:rsidRPr="000E5435">
        <w:rPr>
          <w:rFonts w:eastAsia="Arial" w:cs="Arial"/>
          <w:color w:val="222222"/>
        </w:rPr>
        <w:t>privacy-regelgeving</w:t>
      </w:r>
      <w:proofErr w:type="spellEnd"/>
      <w:r w:rsidRPr="000E5435">
        <w:rPr>
          <w:rFonts w:eastAsia="Arial" w:cs="Arial"/>
          <w:color w:val="222222"/>
        </w:rPr>
        <w:t xml:space="preserve"> stelt dat organisaties informatie maar zolang mogen bewaren als noodzakelijk of zolang als de wettelijke bewaartermijnen voorzien. In de besluiten voor de sector zijn er echter geen bewaartermijnen bepaald. De regels van gemeen recht in verband met verjaringstermijnen zijn dus van toepassing, zowel voor papieren als digitale documenten. </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Het VAPH adviseert dus de volgende bewaartermijnen: </w:t>
      </w:r>
    </w:p>
    <w:p w:rsidR="0051126A" w:rsidRDefault="00F65517">
      <w:pPr>
        <w:pStyle w:val="Kop1"/>
        <w:numPr>
          <w:ilvl w:val="0"/>
          <w:numId w:val="1"/>
        </w:numPr>
        <w:shd w:val="clear" w:color="auto" w:fill="FFFFFF"/>
        <w:spacing w:before="120" w:line="360" w:lineRule="auto"/>
      </w:pPr>
      <w:bookmarkStart w:id="1" w:name="_30j0zll" w:colFirst="0" w:colLast="0"/>
      <w:bookmarkEnd w:id="1"/>
      <w:r>
        <w:t>Financiële gegevens</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Over het algemeen moeten financiële gegevens 10 jaar bewaard worden. Dat geldt ook voor de individuele dienstverleningsovereenkomsten (</w:t>
      </w:r>
      <w:proofErr w:type="spellStart"/>
      <w:r w:rsidRPr="000E5435">
        <w:rPr>
          <w:rFonts w:eastAsia="Arial" w:cs="Arial"/>
          <w:color w:val="222222"/>
        </w:rPr>
        <w:t>IDO’s</w:t>
      </w:r>
      <w:proofErr w:type="spellEnd"/>
      <w:r w:rsidRPr="000E5435">
        <w:rPr>
          <w:rFonts w:eastAsia="Arial" w:cs="Arial"/>
          <w:color w:val="222222"/>
        </w:rPr>
        <w:t xml:space="preserve">). </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Hetzelfde geldt voor boekhoudkundige registraties, met uitzondering van de officieel geregistreerde jaarrekening, die moet 30 jaar worden bewaard. </w:t>
      </w:r>
    </w:p>
    <w:p w:rsidR="0051126A" w:rsidRDefault="00F65517">
      <w:pPr>
        <w:pStyle w:val="Kop1"/>
        <w:numPr>
          <w:ilvl w:val="0"/>
          <w:numId w:val="1"/>
        </w:numPr>
        <w:shd w:val="clear" w:color="auto" w:fill="FFFFFF"/>
        <w:spacing w:before="120" w:line="360" w:lineRule="auto"/>
      </w:pPr>
      <w:bookmarkStart w:id="2" w:name="_1fob9te" w:colFirst="0" w:colLast="0"/>
      <w:bookmarkEnd w:id="2"/>
      <w:r>
        <w:lastRenderedPageBreak/>
        <w:t xml:space="preserve"> Personeelsgegevens</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Gegevens van tewerkgesteld personeel moet gedurende de hele loopbaan binnen de organisatie bewaard worden. Na uitdiensttreding moet het personeelsdossier nog 5 jaar bewaard blijven. </w:t>
      </w:r>
    </w:p>
    <w:p w:rsidR="0051126A" w:rsidRDefault="00F65517">
      <w:pPr>
        <w:pStyle w:val="Kop1"/>
        <w:numPr>
          <w:ilvl w:val="0"/>
          <w:numId w:val="1"/>
        </w:numPr>
        <w:shd w:val="clear" w:color="auto" w:fill="FFFFFF"/>
        <w:spacing w:before="120" w:line="360" w:lineRule="auto"/>
      </w:pPr>
      <w:bookmarkStart w:id="3" w:name="_3znysh7" w:colFirst="0" w:colLast="0"/>
      <w:bookmarkEnd w:id="3"/>
      <w:r>
        <w:t>Gegevens van gebruikers</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Medische en paramedische gegevens - van arts, een verpleegkundige, logopedist, kinesitherapeut, ergotherapeut, diëtist - vallen onder meer onder de Wet op de </w:t>
      </w:r>
      <w:proofErr w:type="spellStart"/>
      <w:r w:rsidRPr="000E5435">
        <w:rPr>
          <w:rFonts w:eastAsia="Arial" w:cs="Arial"/>
          <w:color w:val="222222"/>
        </w:rPr>
        <w:t>Patiëntenrechten</w:t>
      </w:r>
      <w:proofErr w:type="spellEnd"/>
      <w:r w:rsidRPr="000E5435">
        <w:rPr>
          <w:rFonts w:eastAsia="Arial" w:cs="Arial"/>
          <w:color w:val="222222"/>
        </w:rPr>
        <w:t>. Die voorziet een bewaartermijn van 30 jaar.</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Niet-medische of niet-paramedische gegevens, zoals verslagen van begeleiders, besprekingen in de leefgroep, onderdelen van handelingsplannen, … moeten minstens bewaard worden zolang de cliënt ondersteund wordt door de zorgaanbieder.  Er zijn evenwel geen termijnen bepaald hoe lang deze gegevens bewaard moeten worden na beëindiging van de ondersteuning. </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Als de gebruiker overstapt naar een andere zorgaanbieder moet deze informatie, indien de gebruiker akkoord is, doorgegeven worden aan de nieuwe zorgaanbieder</w:t>
      </w:r>
      <w:r w:rsidRPr="000E5435">
        <w:rPr>
          <w:rFonts w:eastAsia="Arial" w:cs="Arial"/>
          <w:color w:val="222222"/>
        </w:rPr>
        <w:footnoteReference w:id="1"/>
      </w:r>
      <w:r w:rsidRPr="000E5435">
        <w:rPr>
          <w:rFonts w:eastAsia="Arial" w:cs="Arial"/>
          <w:color w:val="222222"/>
        </w:rPr>
        <w:t>.</w:t>
      </w:r>
    </w:p>
    <w:p w:rsidR="0051126A" w:rsidRDefault="00F65517">
      <w:pPr>
        <w:pStyle w:val="Kop1"/>
        <w:numPr>
          <w:ilvl w:val="0"/>
          <w:numId w:val="1"/>
        </w:numPr>
        <w:shd w:val="clear" w:color="auto" w:fill="FFFFFF"/>
        <w:spacing w:before="120" w:line="360" w:lineRule="auto"/>
      </w:pPr>
      <w:bookmarkStart w:id="5" w:name="_2et92p0" w:colFirst="0" w:colLast="0"/>
      <w:bookmarkEnd w:id="5"/>
      <w:r>
        <w:t>Bijzondere jeugdbijstand</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Specifiek voor de bijzondere jeugdbijstand is bepaald</w:t>
      </w:r>
      <w:r w:rsidRPr="000E5435">
        <w:rPr>
          <w:rFonts w:eastAsia="Arial" w:cs="Arial"/>
          <w:color w:val="222222"/>
        </w:rPr>
        <w:footnoteReference w:id="2"/>
      </w:r>
      <w:r w:rsidRPr="000E5435">
        <w:rPr>
          <w:rFonts w:eastAsia="Arial" w:cs="Arial"/>
          <w:color w:val="222222"/>
        </w:rPr>
        <w:t xml:space="preserve"> dat de voorziening het dossier van de minderjarige bewaart tot hij de volle leeftijd van 35 jaar heeft bereikt. Bij het afsluiten van het dossier wordt hij hiervan op de hoogte gebracht. Dit besluit is niet zomaar van kracht op alle </w:t>
      </w:r>
      <w:proofErr w:type="spellStart"/>
      <w:r w:rsidRPr="000E5435">
        <w:rPr>
          <w:rFonts w:eastAsia="Arial" w:cs="Arial"/>
          <w:color w:val="222222"/>
        </w:rPr>
        <w:t>MFC’s</w:t>
      </w:r>
      <w:proofErr w:type="spellEnd"/>
      <w:r w:rsidRPr="000E5435">
        <w:rPr>
          <w:rFonts w:eastAsia="Arial" w:cs="Arial"/>
          <w:color w:val="222222"/>
        </w:rPr>
        <w:t xml:space="preserve">. Enkel de organisaties die naast een erkenning MFC ook nog erkend zijn door het Agentschap Opgroeien als één van de volgende organisaties vallen onder deze bepaling: </w:t>
      </w:r>
    </w:p>
    <w:p w:rsidR="0051126A" w:rsidRPr="000E5435" w:rsidRDefault="00F65517">
      <w:pPr>
        <w:numPr>
          <w:ilvl w:val="0"/>
          <w:numId w:val="2"/>
        </w:numPr>
        <w:shd w:val="clear" w:color="auto" w:fill="FFFFFF"/>
        <w:spacing w:before="120" w:line="360" w:lineRule="auto"/>
        <w:rPr>
          <w:rFonts w:eastAsia="Arial" w:cs="Arial"/>
          <w:color w:val="222222"/>
        </w:rPr>
      </w:pPr>
      <w:r w:rsidRPr="000E5435">
        <w:rPr>
          <w:rFonts w:eastAsia="Arial" w:cs="Arial"/>
          <w:color w:val="222222"/>
        </w:rPr>
        <w:t>de organisaties voor bijzondere jeugdzorg;</w:t>
      </w:r>
    </w:p>
    <w:p w:rsidR="0051126A" w:rsidRPr="000E5435" w:rsidRDefault="00F65517">
      <w:pPr>
        <w:numPr>
          <w:ilvl w:val="0"/>
          <w:numId w:val="2"/>
        </w:numPr>
        <w:shd w:val="clear" w:color="auto" w:fill="FFFFFF"/>
        <w:spacing w:line="360" w:lineRule="auto"/>
        <w:rPr>
          <w:rFonts w:eastAsia="Arial" w:cs="Arial"/>
          <w:color w:val="222222"/>
        </w:rPr>
      </w:pPr>
      <w:r w:rsidRPr="000E5435">
        <w:rPr>
          <w:rFonts w:eastAsia="Arial" w:cs="Arial"/>
          <w:color w:val="222222"/>
        </w:rPr>
        <w:t>de centra voor integrale gezinszorg;</w:t>
      </w:r>
    </w:p>
    <w:p w:rsidR="0051126A" w:rsidRPr="000E5435" w:rsidRDefault="00F65517">
      <w:pPr>
        <w:numPr>
          <w:ilvl w:val="0"/>
          <w:numId w:val="2"/>
        </w:numPr>
        <w:shd w:val="clear" w:color="auto" w:fill="FFFFFF"/>
        <w:spacing w:line="360" w:lineRule="auto"/>
        <w:rPr>
          <w:rFonts w:eastAsia="Arial" w:cs="Arial"/>
          <w:color w:val="222222"/>
        </w:rPr>
      </w:pPr>
      <w:r w:rsidRPr="000E5435">
        <w:rPr>
          <w:rFonts w:eastAsia="Arial" w:cs="Arial"/>
          <w:color w:val="222222"/>
        </w:rPr>
        <w:t>de onthaal-, oriëntatie- en observatiecentra;</w:t>
      </w:r>
    </w:p>
    <w:p w:rsidR="0051126A" w:rsidRPr="000E5435" w:rsidRDefault="00F65517">
      <w:pPr>
        <w:numPr>
          <w:ilvl w:val="0"/>
          <w:numId w:val="2"/>
        </w:numPr>
        <w:shd w:val="clear" w:color="auto" w:fill="FFFFFF"/>
        <w:spacing w:line="360" w:lineRule="auto"/>
        <w:rPr>
          <w:rFonts w:eastAsia="Arial" w:cs="Arial"/>
          <w:color w:val="222222"/>
        </w:rPr>
      </w:pPr>
      <w:r w:rsidRPr="000E5435">
        <w:rPr>
          <w:rFonts w:eastAsia="Arial" w:cs="Arial"/>
          <w:color w:val="222222"/>
        </w:rPr>
        <w:t>de diensten voor crisishulp aan huis;</w:t>
      </w:r>
    </w:p>
    <w:p w:rsidR="0051126A" w:rsidRPr="000E5435" w:rsidRDefault="00F65517">
      <w:pPr>
        <w:numPr>
          <w:ilvl w:val="0"/>
          <w:numId w:val="2"/>
        </w:numPr>
        <w:shd w:val="clear" w:color="auto" w:fill="FFFFFF"/>
        <w:spacing w:line="360" w:lineRule="auto"/>
        <w:rPr>
          <w:rFonts w:eastAsia="Arial" w:cs="Arial"/>
          <w:color w:val="222222"/>
        </w:rPr>
      </w:pPr>
      <w:r w:rsidRPr="000E5435">
        <w:rPr>
          <w:rFonts w:eastAsia="Arial" w:cs="Arial"/>
          <w:color w:val="222222"/>
        </w:rPr>
        <w:t>de diensten voor herstelgerichte en constructieve afhandeling;</w:t>
      </w:r>
    </w:p>
    <w:p w:rsidR="0051126A" w:rsidRPr="000E5435" w:rsidRDefault="00F65517">
      <w:pPr>
        <w:numPr>
          <w:ilvl w:val="0"/>
          <w:numId w:val="2"/>
        </w:numPr>
        <w:shd w:val="clear" w:color="auto" w:fill="FFFFFF"/>
        <w:spacing w:line="360" w:lineRule="auto"/>
        <w:rPr>
          <w:rFonts w:eastAsia="Arial" w:cs="Arial"/>
          <w:color w:val="222222"/>
        </w:rPr>
      </w:pPr>
      <w:r w:rsidRPr="000E5435">
        <w:rPr>
          <w:rFonts w:eastAsia="Arial" w:cs="Arial"/>
          <w:color w:val="222222"/>
        </w:rPr>
        <w:t>de organisaties voor naadloze flexibele trajecten onderwijs - welzijn.</w:t>
      </w:r>
    </w:p>
    <w:p w:rsidR="0051126A" w:rsidRDefault="0051126A">
      <w:pPr>
        <w:shd w:val="clear" w:color="auto" w:fill="FFFFFF"/>
        <w:spacing w:before="120" w:line="360" w:lineRule="auto"/>
        <w:rPr>
          <w:rFonts w:ascii="Arial" w:eastAsia="Arial" w:hAnsi="Arial" w:cs="Arial"/>
          <w:color w:val="222222"/>
        </w:rPr>
      </w:pP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 xml:space="preserve">Het besluit van de Vlaamse Regering dat deze bewaartermijn vastlegt is bovendien enkel van toepassing op die jongeren die de organisatie binnen die specifieke erkenning opneemt. Voor alle andere minderjarigen die ondersteuning krijgen van hetzelfde MFC, is deze bewaartermijn tot de volle leeftijd van 35 jaar niet van toepassing. </w:t>
      </w:r>
    </w:p>
    <w:p w:rsidR="0051126A" w:rsidRDefault="00F65517">
      <w:pPr>
        <w:pStyle w:val="Kop1"/>
        <w:numPr>
          <w:ilvl w:val="0"/>
          <w:numId w:val="1"/>
        </w:numPr>
        <w:shd w:val="clear" w:color="auto" w:fill="FFFFFF"/>
        <w:spacing w:before="120" w:line="360" w:lineRule="auto"/>
      </w:pPr>
      <w:bookmarkStart w:id="6" w:name="_tyjcwt" w:colFirst="0" w:colLast="0"/>
      <w:bookmarkEnd w:id="6"/>
      <w:r>
        <w:t xml:space="preserve">Klachtenregister </w:t>
      </w:r>
    </w:p>
    <w:p w:rsidR="0051126A" w:rsidRPr="000E5435" w:rsidRDefault="00F65517">
      <w:pPr>
        <w:shd w:val="clear" w:color="auto" w:fill="FFFFFF"/>
        <w:spacing w:before="120" w:line="360" w:lineRule="auto"/>
        <w:rPr>
          <w:rFonts w:eastAsia="Arial" w:cs="Arial"/>
          <w:color w:val="222222"/>
        </w:rPr>
      </w:pPr>
      <w:r w:rsidRPr="000E5435">
        <w:rPr>
          <w:rFonts w:eastAsia="Arial" w:cs="Arial"/>
          <w:color w:val="222222"/>
        </w:rPr>
        <w:t>Klachten moeten steeds vermeld worden in een klachtenregister</w:t>
      </w:r>
      <w:r w:rsidRPr="000E5435">
        <w:rPr>
          <w:rFonts w:eastAsia="Arial" w:cs="Arial"/>
          <w:color w:val="222222"/>
        </w:rPr>
        <w:footnoteReference w:id="3"/>
      </w:r>
      <w:r w:rsidRPr="000E5435">
        <w:rPr>
          <w:rFonts w:eastAsia="Arial" w:cs="Arial"/>
          <w:color w:val="222222"/>
        </w:rPr>
        <w:t xml:space="preserve">. Er is niet reglementair bepaald hoe lang klachten zichtbaar moeten blijven in dat register. In samenspraak met Zorginspectie is bepaald  dat 5 jaar een redelijke termijn is om deze informatie te bewaren. </w:t>
      </w:r>
    </w:p>
    <w:p w:rsidR="0051126A" w:rsidRDefault="0051126A">
      <w:pPr>
        <w:widowControl w:val="0"/>
        <w:pBdr>
          <w:top w:val="nil"/>
          <w:left w:val="nil"/>
          <w:bottom w:val="nil"/>
          <w:right w:val="nil"/>
          <w:between w:val="nil"/>
        </w:pBdr>
      </w:pPr>
    </w:p>
    <w:p w:rsidR="0051126A" w:rsidRDefault="0051126A">
      <w:pPr>
        <w:widowControl w:val="0"/>
        <w:pBdr>
          <w:top w:val="nil"/>
          <w:left w:val="nil"/>
          <w:bottom w:val="nil"/>
          <w:right w:val="nil"/>
          <w:between w:val="nil"/>
        </w:pBdr>
      </w:pPr>
    </w:p>
    <w:p w:rsidR="0051126A" w:rsidRDefault="0051126A">
      <w:pPr>
        <w:widowControl w:val="0"/>
        <w:pBdr>
          <w:top w:val="nil"/>
          <w:left w:val="nil"/>
          <w:bottom w:val="nil"/>
          <w:right w:val="nil"/>
          <w:between w:val="nil"/>
        </w:pBdr>
      </w:pPr>
    </w:p>
    <w:p w:rsidR="0051126A" w:rsidRDefault="0051126A">
      <w:pPr>
        <w:widowControl w:val="0"/>
        <w:pBdr>
          <w:top w:val="nil"/>
          <w:left w:val="nil"/>
          <w:bottom w:val="nil"/>
          <w:right w:val="nil"/>
          <w:between w:val="nil"/>
        </w:pBdr>
      </w:pPr>
    </w:p>
    <w:p w:rsidR="0051126A" w:rsidRDefault="0051126A">
      <w:pPr>
        <w:widowControl w:val="0"/>
        <w:pBdr>
          <w:top w:val="nil"/>
          <w:left w:val="nil"/>
          <w:bottom w:val="nil"/>
          <w:right w:val="nil"/>
          <w:between w:val="nil"/>
        </w:pBdr>
      </w:pPr>
    </w:p>
    <w:p w:rsidR="0051126A" w:rsidRDefault="0051126A">
      <w:pPr>
        <w:widowControl w:val="0"/>
        <w:pBdr>
          <w:top w:val="nil"/>
          <w:left w:val="nil"/>
          <w:bottom w:val="nil"/>
          <w:right w:val="nil"/>
          <w:between w:val="nil"/>
        </w:pBdr>
      </w:pPr>
    </w:p>
    <w:p w:rsidR="0051126A" w:rsidRPr="000E5435" w:rsidRDefault="00F65517" w:rsidP="00D35C27">
      <w:pPr>
        <w:shd w:val="clear" w:color="auto" w:fill="FFFFFF"/>
        <w:spacing w:before="120" w:line="360" w:lineRule="auto"/>
        <w:rPr>
          <w:rFonts w:eastAsia="Arial" w:cs="Arial"/>
          <w:color w:val="222222"/>
        </w:rPr>
      </w:pPr>
      <w:r w:rsidRPr="000E5435">
        <w:rPr>
          <w:rFonts w:eastAsia="Arial" w:cs="Arial"/>
          <w:color w:val="222222"/>
        </w:rPr>
        <w:t>James Van Casteren</w:t>
      </w:r>
    </w:p>
    <w:p w:rsidR="0051126A" w:rsidRPr="000E5435" w:rsidRDefault="00F65517" w:rsidP="00D35C27">
      <w:pPr>
        <w:shd w:val="clear" w:color="auto" w:fill="FFFFFF"/>
        <w:spacing w:before="120" w:line="360" w:lineRule="auto"/>
        <w:rPr>
          <w:rFonts w:eastAsia="Arial" w:cs="Arial"/>
          <w:color w:val="222222"/>
        </w:rPr>
      </w:pPr>
      <w:r w:rsidRPr="000E5435">
        <w:rPr>
          <w:rFonts w:eastAsia="Arial" w:cs="Arial"/>
          <w:color w:val="222222"/>
        </w:rPr>
        <w:t>Administrateur-generaal</w:t>
      </w:r>
    </w:p>
    <w:sectPr w:rsidR="0051126A" w:rsidRPr="000E5435">
      <w:footerReference w:type="first" r:id="rId9"/>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22" w:rsidRDefault="00546722">
      <w:pPr>
        <w:spacing w:line="240" w:lineRule="auto"/>
      </w:pPr>
      <w:r>
        <w:separator/>
      </w:r>
    </w:p>
  </w:endnote>
  <w:endnote w:type="continuationSeparator" w:id="0">
    <w:p w:rsidR="00546722" w:rsidRDefault="00546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A" w:rsidRDefault="0051126A">
    <w:pPr>
      <w:pBdr>
        <w:top w:val="nil"/>
        <w:left w:val="nil"/>
        <w:bottom w:val="nil"/>
        <w:right w:val="nil"/>
        <w:between w:val="nil"/>
      </w:pBdr>
    </w:pPr>
  </w:p>
  <w:p w:rsidR="0051126A" w:rsidRDefault="00F65517">
    <w:pPr>
      <w:pBdr>
        <w:top w:val="nil"/>
        <w:left w:val="nil"/>
        <w:bottom w:val="nil"/>
        <w:right w:val="nil"/>
        <w:between w:val="nil"/>
      </w:pBdr>
    </w:pPr>
    <w:r>
      <w:rPr>
        <w:noProof/>
      </w:rPr>
      <w:drawing>
        <wp:inline distT="114300" distB="114300" distL="114300" distR="114300" wp14:anchorId="79E3BA4F" wp14:editId="306F7351">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690226">
      <w:rPr>
        <w:noProof/>
      </w:rPr>
      <w:t>1</w:t>
    </w:r>
    <w:r>
      <w:fldChar w:fldCharType="end"/>
    </w:r>
    <w:r>
      <w:t xml:space="preserve"> van </w:t>
    </w:r>
    <w:r>
      <w:fldChar w:fldCharType="begin"/>
    </w:r>
    <w:r>
      <w:instrText>NUMPAGES</w:instrText>
    </w:r>
    <w:r>
      <w:fldChar w:fldCharType="separate"/>
    </w:r>
    <w:r w:rsidR="0069022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22" w:rsidRDefault="00546722">
      <w:pPr>
        <w:spacing w:line="240" w:lineRule="auto"/>
      </w:pPr>
      <w:r>
        <w:separator/>
      </w:r>
    </w:p>
  </w:footnote>
  <w:footnote w:type="continuationSeparator" w:id="0">
    <w:p w:rsidR="00546722" w:rsidRDefault="00546722">
      <w:pPr>
        <w:spacing w:line="240" w:lineRule="auto"/>
      </w:pPr>
      <w:r>
        <w:continuationSeparator/>
      </w:r>
    </w:p>
  </w:footnote>
  <w:footnote w:id="1">
    <w:p w:rsidR="0051126A" w:rsidRDefault="00F65517">
      <w:pPr>
        <w:spacing w:line="240" w:lineRule="auto"/>
        <w:rPr>
          <w:sz w:val="20"/>
          <w:szCs w:val="20"/>
        </w:rPr>
      </w:pPr>
      <w:r>
        <w:rPr>
          <w:vertAlign w:val="superscript"/>
        </w:rPr>
        <w:footnoteRef/>
      </w:r>
      <w:r>
        <w:rPr>
          <w:sz w:val="20"/>
          <w:szCs w:val="20"/>
        </w:rPr>
        <w:t xml:space="preserve"> Samenlezen van art. 23 en art. 41 van het beslu</w:t>
      </w:r>
      <w:r w:rsidR="00162C1E">
        <w:rPr>
          <w:sz w:val="20"/>
          <w:szCs w:val="20"/>
        </w:rPr>
        <w:t>it van de Vlaamse Regering van 4</w:t>
      </w:r>
      <w:bookmarkStart w:id="4" w:name="_GoBack"/>
      <w:bookmarkEnd w:id="4"/>
      <w:r>
        <w:rPr>
          <w:sz w:val="20"/>
          <w:szCs w:val="20"/>
        </w:rPr>
        <w:t xml:space="preserve"> februari 2011 betreffende de algemene erkenningsvoorwaarden en kwaliteitszorg van voorzieningen voor opvang, behandeling en begeleiding van personen met een handicap.</w:t>
      </w:r>
    </w:p>
    <w:p w:rsidR="0051126A" w:rsidRDefault="0051126A">
      <w:pPr>
        <w:spacing w:line="240" w:lineRule="auto"/>
        <w:rPr>
          <w:sz w:val="20"/>
          <w:szCs w:val="20"/>
        </w:rPr>
      </w:pPr>
    </w:p>
  </w:footnote>
  <w:footnote w:id="2">
    <w:p w:rsidR="0051126A" w:rsidRDefault="00F65517">
      <w:pPr>
        <w:spacing w:line="240" w:lineRule="auto"/>
        <w:rPr>
          <w:sz w:val="20"/>
          <w:szCs w:val="20"/>
        </w:rPr>
      </w:pPr>
      <w:r>
        <w:rPr>
          <w:vertAlign w:val="superscript"/>
        </w:rPr>
        <w:footnoteRef/>
      </w:r>
      <w:r>
        <w:rPr>
          <w:sz w:val="20"/>
          <w:szCs w:val="20"/>
        </w:rPr>
        <w:t xml:space="preserve"> Zie artikel 11, 13° van het besluit van de Vlaamse Regering van 5 april 2019 over de erkenningsvoorwaarden en de subsidienormen voor voorzieningen in de jeugdhulp</w:t>
      </w:r>
    </w:p>
  </w:footnote>
  <w:footnote w:id="3">
    <w:p w:rsidR="0051126A" w:rsidRDefault="00F65517">
      <w:pPr>
        <w:spacing w:line="240" w:lineRule="auto"/>
        <w:rPr>
          <w:sz w:val="20"/>
          <w:szCs w:val="20"/>
        </w:rPr>
      </w:pPr>
      <w:r>
        <w:rPr>
          <w:vertAlign w:val="superscript"/>
        </w:rPr>
        <w:footnoteRef/>
      </w:r>
      <w:r>
        <w:rPr>
          <w:sz w:val="20"/>
          <w:szCs w:val="20"/>
        </w:rPr>
        <w:t xml:space="preserve"> Zie art. 34 van het besluit van de Vlaamse Regering van 2 februari 2011 betreffende de algemene erkenningsvoorwaarden en kwaliteitszorg van voorzieningen voor opvang, behandeling en begeleiding van personen met een handicap.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30F"/>
    <w:multiLevelType w:val="multilevel"/>
    <w:tmpl w:val="ADC6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972E27"/>
    <w:multiLevelType w:val="multilevel"/>
    <w:tmpl w:val="9B86F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126A"/>
    <w:rsid w:val="000E5435"/>
    <w:rsid w:val="00162C1E"/>
    <w:rsid w:val="00170218"/>
    <w:rsid w:val="0051126A"/>
    <w:rsid w:val="00546722"/>
    <w:rsid w:val="00690226"/>
    <w:rsid w:val="00D35C27"/>
    <w:rsid w:val="00F655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35C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D35C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6</cp:revision>
  <cp:lastPrinted>2021-09-07T07:58:00Z</cp:lastPrinted>
  <dcterms:created xsi:type="dcterms:W3CDTF">2019-11-06T08:14:00Z</dcterms:created>
  <dcterms:modified xsi:type="dcterms:W3CDTF">2021-09-07T07:58:00Z</dcterms:modified>
</cp:coreProperties>
</file>