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8554A6">
            <w:pPr>
              <w:pStyle w:val="VerslagNotaOmzendbrief-2Gerichtaan"/>
            </w:pPr>
            <w:r w:rsidRPr="00746C3B">
              <w:t xml:space="preserve">Gericht aan: </w:t>
            </w:r>
            <w:r w:rsidR="008554A6">
              <w:t>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EB2CB68D4A8242B499339AA23A7E058F"/>
            </w:placeholder>
            <w:date w:fullDate="2018-11-21T00:00:00Z">
              <w:dateFormat w:val="d MMMM yyyy"/>
              <w:lid w:val="nl-BE"/>
              <w:storeMappedDataAs w:val="dateTime"/>
              <w:calendar w:val="gregorian"/>
            </w:date>
          </w:sdtPr>
          <w:sdtEndPr/>
          <w:sdtContent>
            <w:tc>
              <w:tcPr>
                <w:tcW w:w="6365" w:type="dxa"/>
              </w:tcPr>
              <w:p w:rsidR="00E52FBB" w:rsidRPr="002F0ED6" w:rsidRDefault="00F15077" w:rsidP="00F10F66">
                <w:pPr>
                  <w:pStyle w:val="VerslagNotaOmzendbrief-3Tekst"/>
                </w:pPr>
                <w:r>
                  <w:t>21 november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AD61E9" w:rsidP="00AD61E9">
            <w:pPr>
              <w:pStyle w:val="VerslagNotaOmzendbrief-3Tekst"/>
            </w:pPr>
            <w:r>
              <w:t>INF/AFZ/18/32</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AD61E9" w:rsidP="00AD61E9">
            <w:pPr>
              <w:pStyle w:val="VerslagNotaOmzendbrief-Kenmerk-Tekst"/>
            </w:pPr>
            <w:r>
              <w:t>Helpdesk afrekeningen</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9E4B20" w:rsidP="00AD61E9">
            <w:pPr>
              <w:pStyle w:val="VerslagNotaOmzendbrief-Kenmerk-Tekst"/>
            </w:pPr>
            <w:hyperlink r:id="rId9" w:history="1">
              <w:r w:rsidR="006662E6" w:rsidRPr="00F30777">
                <w:rPr>
                  <w:rStyle w:val="Hyperlink"/>
                </w:rPr>
                <w:t>afrekeningen@vaph.be</w:t>
              </w:r>
            </w:hyperlink>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AD61E9" w:rsidP="00AD61E9">
            <w:pPr>
              <w:pStyle w:val="VerslagNotaOmzendbrief-Kenmerk-Tekst"/>
            </w:pPr>
            <w:r>
              <w:t xml:space="preserve">02/ 225 84 01 </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6662E6" w:rsidP="00AD61E9">
            <w:pPr>
              <w:pStyle w:val="VerslagNotaOmzendbrief-Kenmerk-Tekst"/>
            </w:pPr>
            <w:r>
              <w:t>G</w:t>
            </w:r>
            <w:r w:rsidR="00AD61E9">
              <w:t>een</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AD61E9" w:rsidP="00AD61E9">
            <w:pPr>
              <w:pStyle w:val="VerslagNotaOmzendbrief-4OnderwerpTitel"/>
            </w:pPr>
            <w:r>
              <w:t>Ver</w:t>
            </w:r>
            <w:r w:rsidR="00CD004E">
              <w:t xml:space="preserve">duidelijking correctiefase 1, </w:t>
            </w:r>
            <w:r>
              <w:t>afrekening bijdrage A</w:t>
            </w:r>
            <w:r w:rsidR="00CD004E">
              <w:t xml:space="preserve"> en uitwisseling personeelspunten</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EF373E" w:rsidRDefault="00C94404" w:rsidP="00C94404">
      <w:pPr>
        <w:pStyle w:val="Kop1"/>
        <w:rPr>
          <w:sz w:val="32"/>
          <w:szCs w:val="32"/>
        </w:rPr>
      </w:pPr>
      <w:r w:rsidRPr="00C94404">
        <w:rPr>
          <w:sz w:val="32"/>
          <w:szCs w:val="32"/>
        </w:rPr>
        <w:t>Verduidelijking correctiefase 1</w:t>
      </w:r>
    </w:p>
    <w:p w:rsidR="00C94404" w:rsidRDefault="00C94404" w:rsidP="00C94404">
      <w:pPr>
        <w:rPr>
          <w:lang w:val="nl-NL"/>
        </w:rPr>
      </w:pPr>
      <w:r>
        <w:rPr>
          <w:lang w:val="nl-NL"/>
        </w:rPr>
        <w:t>Vanaf 1 juli 2018 werden voor 51 vergunde zorgaanbieders de persoonsvolgende budgetten van de cliënten verhoogd, zodat deze budgetten werd</w:t>
      </w:r>
      <w:r w:rsidR="00227F17">
        <w:rPr>
          <w:lang w:val="nl-NL"/>
        </w:rPr>
        <w:t>en</w:t>
      </w:r>
      <w:r>
        <w:rPr>
          <w:lang w:val="nl-NL"/>
        </w:rPr>
        <w:t xml:space="preserve"> opgetrokken tot 85%</w:t>
      </w:r>
      <w:r w:rsidR="00CA1FDF">
        <w:rPr>
          <w:lang w:val="nl-NL"/>
        </w:rPr>
        <w:t xml:space="preserve"> van het theoret</w:t>
      </w:r>
      <w:r w:rsidR="00EB03B5">
        <w:rPr>
          <w:lang w:val="nl-NL"/>
        </w:rPr>
        <w:t xml:space="preserve">isch </w:t>
      </w:r>
      <w:r w:rsidR="00CA1FDF">
        <w:rPr>
          <w:lang w:val="nl-NL"/>
        </w:rPr>
        <w:t>budget volgen</w:t>
      </w:r>
      <w:r w:rsidR="00227F17">
        <w:rPr>
          <w:lang w:val="nl-NL"/>
        </w:rPr>
        <w:t>s zorgzwaarte en ondersteuningsfrequentie</w:t>
      </w:r>
      <w:r>
        <w:rPr>
          <w:lang w:val="nl-NL"/>
        </w:rPr>
        <w:t xml:space="preserve">. Deze eerste correctiefase wordt gefinancierd met middelen Via 5 en </w:t>
      </w:r>
      <w:proofErr w:type="spellStart"/>
      <w:r>
        <w:rPr>
          <w:lang w:val="nl-NL"/>
        </w:rPr>
        <w:t>taxshift</w:t>
      </w:r>
      <w:proofErr w:type="spellEnd"/>
      <w:r w:rsidR="00CA1FDF">
        <w:rPr>
          <w:lang w:val="nl-NL"/>
        </w:rPr>
        <w:t>, dit via het VAPH</w:t>
      </w:r>
      <w:r w:rsidR="00227F17">
        <w:rPr>
          <w:lang w:val="nl-NL"/>
        </w:rPr>
        <w:t xml:space="preserve"> voor 47,58%</w:t>
      </w:r>
      <w:r w:rsidR="00CA1FDF">
        <w:rPr>
          <w:lang w:val="nl-NL"/>
        </w:rPr>
        <w:t>,</w:t>
      </w:r>
      <w:r>
        <w:rPr>
          <w:lang w:val="nl-NL"/>
        </w:rPr>
        <w:t xml:space="preserve"> en middelen</w:t>
      </w:r>
      <w:r w:rsidR="00227F17">
        <w:rPr>
          <w:lang w:val="nl-NL"/>
        </w:rPr>
        <w:t xml:space="preserve"> van het Sociale Maribel fonds </w:t>
      </w:r>
      <w:r>
        <w:rPr>
          <w:lang w:val="nl-NL"/>
        </w:rPr>
        <w:t xml:space="preserve">voor </w:t>
      </w:r>
      <w:r w:rsidR="000307DA">
        <w:rPr>
          <w:lang w:val="nl-NL"/>
        </w:rPr>
        <w:t>52,</w:t>
      </w:r>
      <w:r w:rsidR="00227F17">
        <w:rPr>
          <w:lang w:val="nl-NL"/>
        </w:rPr>
        <w:t>42%</w:t>
      </w:r>
      <w:r>
        <w:rPr>
          <w:lang w:val="nl-NL"/>
        </w:rPr>
        <w:t>.</w:t>
      </w:r>
    </w:p>
    <w:p w:rsidR="00C94404" w:rsidRDefault="00C94404" w:rsidP="00C94404">
      <w:pPr>
        <w:rPr>
          <w:lang w:val="nl-NL"/>
        </w:rPr>
      </w:pPr>
      <w:r>
        <w:rPr>
          <w:lang w:val="nl-NL"/>
        </w:rPr>
        <w:t xml:space="preserve">Met de middelen Via 5 en </w:t>
      </w:r>
      <w:proofErr w:type="spellStart"/>
      <w:r>
        <w:rPr>
          <w:lang w:val="nl-NL"/>
        </w:rPr>
        <w:t>taxshift</w:t>
      </w:r>
      <w:proofErr w:type="spellEnd"/>
      <w:r>
        <w:rPr>
          <w:lang w:val="nl-NL"/>
        </w:rPr>
        <w:t xml:space="preserve"> worden ook de </w:t>
      </w:r>
      <w:proofErr w:type="spellStart"/>
      <w:r>
        <w:rPr>
          <w:lang w:val="nl-NL"/>
        </w:rPr>
        <w:t>organisatiegebonden</w:t>
      </w:r>
      <w:proofErr w:type="spellEnd"/>
      <w:r>
        <w:rPr>
          <w:lang w:val="nl-NL"/>
        </w:rPr>
        <w:t xml:space="preserve"> punten gefinancierd die worden gegenereerd door de extra toegekende </w:t>
      </w:r>
      <w:proofErr w:type="spellStart"/>
      <w:r>
        <w:rPr>
          <w:lang w:val="nl-NL"/>
        </w:rPr>
        <w:t>zorggebonden</w:t>
      </w:r>
      <w:proofErr w:type="spellEnd"/>
      <w:r>
        <w:rPr>
          <w:lang w:val="nl-NL"/>
        </w:rPr>
        <w:t xml:space="preserve"> punten. </w:t>
      </w:r>
      <w:r w:rsidR="00E93139">
        <w:rPr>
          <w:lang w:val="nl-NL"/>
        </w:rPr>
        <w:t xml:space="preserve">Aangezien in de </w:t>
      </w:r>
      <w:r>
        <w:rPr>
          <w:lang w:val="nl-NL"/>
        </w:rPr>
        <w:t xml:space="preserve"> middelen Sociale Maribel</w:t>
      </w:r>
      <w:r w:rsidR="00E93139">
        <w:rPr>
          <w:lang w:val="nl-NL"/>
        </w:rPr>
        <w:t xml:space="preserve"> binnen de toegekende VTE naast de component </w:t>
      </w:r>
      <w:proofErr w:type="spellStart"/>
      <w:r w:rsidR="00E93139">
        <w:rPr>
          <w:lang w:val="nl-NL"/>
        </w:rPr>
        <w:t>zorggebonden</w:t>
      </w:r>
      <w:proofErr w:type="spellEnd"/>
      <w:r w:rsidR="00E93139">
        <w:rPr>
          <w:lang w:val="nl-NL"/>
        </w:rPr>
        <w:t xml:space="preserve"> personeel, ook de component </w:t>
      </w:r>
      <w:proofErr w:type="spellStart"/>
      <w:r w:rsidR="00E93139">
        <w:rPr>
          <w:lang w:val="nl-NL"/>
        </w:rPr>
        <w:t>organisatiegebonden</w:t>
      </w:r>
      <w:proofErr w:type="spellEnd"/>
      <w:r w:rsidR="00E93139">
        <w:rPr>
          <w:lang w:val="nl-NL"/>
        </w:rPr>
        <w:t xml:space="preserve"> punten werd meegenomen, </w:t>
      </w:r>
      <w:r>
        <w:rPr>
          <w:lang w:val="nl-NL"/>
        </w:rPr>
        <w:t xml:space="preserve"> genereren </w:t>
      </w:r>
      <w:r w:rsidR="00E93139">
        <w:rPr>
          <w:lang w:val="nl-NL"/>
        </w:rPr>
        <w:t xml:space="preserve">de </w:t>
      </w:r>
      <w:proofErr w:type="spellStart"/>
      <w:r w:rsidR="00E93139">
        <w:rPr>
          <w:lang w:val="nl-NL"/>
        </w:rPr>
        <w:t>zorggebonden</w:t>
      </w:r>
      <w:proofErr w:type="spellEnd"/>
      <w:r w:rsidR="00E93139">
        <w:rPr>
          <w:lang w:val="nl-NL"/>
        </w:rPr>
        <w:t xml:space="preserve"> punten die voo</w:t>
      </w:r>
      <w:r w:rsidR="00F15077">
        <w:rPr>
          <w:lang w:val="nl-NL"/>
        </w:rPr>
        <w:t>rzien worden vanuit de Sociale M</w:t>
      </w:r>
      <w:r w:rsidR="00E93139">
        <w:rPr>
          <w:lang w:val="nl-NL"/>
        </w:rPr>
        <w:t xml:space="preserve">aribel </w:t>
      </w:r>
      <w:r>
        <w:rPr>
          <w:lang w:val="nl-NL"/>
        </w:rPr>
        <w:t xml:space="preserve">geen </w:t>
      </w:r>
      <w:r w:rsidR="00D7297D">
        <w:rPr>
          <w:lang w:val="nl-NL"/>
        </w:rPr>
        <w:t xml:space="preserve">bijkomende </w:t>
      </w:r>
      <w:proofErr w:type="spellStart"/>
      <w:r>
        <w:rPr>
          <w:lang w:val="nl-NL"/>
        </w:rPr>
        <w:t>organisatiegebonden</w:t>
      </w:r>
      <w:proofErr w:type="spellEnd"/>
      <w:r>
        <w:rPr>
          <w:lang w:val="nl-NL"/>
        </w:rPr>
        <w:t xml:space="preserve"> punten. </w:t>
      </w:r>
      <w:r w:rsidR="00440F5B">
        <w:rPr>
          <w:lang w:val="nl-NL"/>
        </w:rPr>
        <w:t>V</w:t>
      </w:r>
      <w:r w:rsidR="005825A0">
        <w:rPr>
          <w:lang w:val="nl-NL"/>
        </w:rPr>
        <w:t>oorbeeld</w:t>
      </w:r>
      <w:r w:rsidR="00440F5B">
        <w:rPr>
          <w:lang w:val="nl-NL"/>
        </w:rPr>
        <w:t xml:space="preserve"> 1</w:t>
      </w:r>
      <w:r w:rsidR="005825A0">
        <w:rPr>
          <w:lang w:val="nl-NL"/>
        </w:rPr>
        <w:t xml:space="preserve"> illustreert deze methodiek:</w:t>
      </w:r>
    </w:p>
    <w:p w:rsidR="005825A0" w:rsidRDefault="005825A0" w:rsidP="005825A0">
      <w:pPr>
        <w:ind w:left="708"/>
        <w:rPr>
          <w:i/>
          <w:lang w:val="nl-NL"/>
        </w:rPr>
      </w:pPr>
      <w:r w:rsidRPr="005825A0">
        <w:rPr>
          <w:i/>
          <w:lang w:val="nl-NL"/>
        </w:rPr>
        <w:t>Voorbeeld</w:t>
      </w:r>
      <w:r w:rsidR="00440F5B">
        <w:rPr>
          <w:i/>
          <w:lang w:val="nl-NL"/>
        </w:rPr>
        <w:t xml:space="preserve"> 1</w:t>
      </w:r>
      <w:r w:rsidRPr="005825A0">
        <w:rPr>
          <w:i/>
          <w:lang w:val="nl-NL"/>
        </w:rPr>
        <w:t>:</w:t>
      </w:r>
    </w:p>
    <w:p w:rsidR="005825A0" w:rsidRDefault="005825A0" w:rsidP="005825A0">
      <w:pPr>
        <w:ind w:left="708"/>
        <w:rPr>
          <w:i/>
          <w:lang w:val="nl-NL"/>
        </w:rPr>
      </w:pPr>
      <w:r>
        <w:rPr>
          <w:i/>
          <w:lang w:val="nl-NL"/>
        </w:rPr>
        <w:t>De budgetten van de cliënten van vergunde zorgaanbieder A w</w:t>
      </w:r>
      <w:r w:rsidR="004E7A5F">
        <w:rPr>
          <w:i/>
          <w:lang w:val="nl-NL"/>
        </w:rPr>
        <w:t>erden in totaal verhoogd met 600</w:t>
      </w:r>
      <w:r w:rsidR="000307DA">
        <w:rPr>
          <w:i/>
          <w:lang w:val="nl-NL"/>
        </w:rPr>
        <w:t xml:space="preserve"> </w:t>
      </w:r>
      <w:proofErr w:type="spellStart"/>
      <w:r>
        <w:rPr>
          <w:i/>
          <w:lang w:val="nl-NL"/>
        </w:rPr>
        <w:t>zorggebonden</w:t>
      </w:r>
      <w:proofErr w:type="spellEnd"/>
      <w:r>
        <w:rPr>
          <w:i/>
          <w:lang w:val="nl-NL"/>
        </w:rPr>
        <w:t xml:space="preserve"> punten.</w:t>
      </w:r>
    </w:p>
    <w:p w:rsidR="005825A0" w:rsidRDefault="004E7A5F" w:rsidP="005825A0">
      <w:pPr>
        <w:ind w:left="708"/>
        <w:rPr>
          <w:i/>
          <w:lang w:val="nl-NL"/>
        </w:rPr>
      </w:pPr>
      <w:r>
        <w:rPr>
          <w:i/>
          <w:lang w:val="nl-NL"/>
        </w:rPr>
        <w:t>285,5</w:t>
      </w:r>
      <w:r w:rsidR="005825A0">
        <w:rPr>
          <w:i/>
          <w:lang w:val="nl-NL"/>
        </w:rPr>
        <w:t xml:space="preserve"> </w:t>
      </w:r>
      <w:proofErr w:type="spellStart"/>
      <w:r w:rsidR="005825A0">
        <w:rPr>
          <w:i/>
          <w:lang w:val="nl-NL"/>
        </w:rPr>
        <w:t>zorggebonden</w:t>
      </w:r>
      <w:proofErr w:type="spellEnd"/>
      <w:r w:rsidR="005825A0">
        <w:rPr>
          <w:i/>
          <w:lang w:val="nl-NL"/>
        </w:rPr>
        <w:t xml:space="preserve"> punten (</w:t>
      </w:r>
      <w:r w:rsidR="000307DA">
        <w:rPr>
          <w:i/>
          <w:lang w:val="nl-NL"/>
        </w:rPr>
        <w:t>47,</w:t>
      </w:r>
      <w:r w:rsidR="005825A0">
        <w:rPr>
          <w:i/>
          <w:lang w:val="nl-NL"/>
        </w:rPr>
        <w:t>58%) inclusief de</w:t>
      </w:r>
      <w:r w:rsidR="000307DA">
        <w:rPr>
          <w:i/>
          <w:lang w:val="nl-NL"/>
        </w:rPr>
        <w:t xml:space="preserve"> </w:t>
      </w:r>
      <w:r w:rsidR="00227F17">
        <w:rPr>
          <w:i/>
          <w:lang w:val="nl-NL"/>
        </w:rPr>
        <w:t xml:space="preserve">60,5 </w:t>
      </w:r>
      <w:proofErr w:type="spellStart"/>
      <w:r w:rsidR="00227F17">
        <w:rPr>
          <w:i/>
          <w:lang w:val="nl-NL"/>
        </w:rPr>
        <w:t>organisatiegebonden</w:t>
      </w:r>
      <w:proofErr w:type="spellEnd"/>
      <w:r w:rsidR="00227F17">
        <w:rPr>
          <w:i/>
          <w:lang w:val="nl-NL"/>
        </w:rPr>
        <w:t xml:space="preserve"> punten </w:t>
      </w:r>
      <w:r w:rsidR="000307DA">
        <w:rPr>
          <w:i/>
          <w:lang w:val="nl-NL"/>
        </w:rPr>
        <w:t>(21,</w:t>
      </w:r>
      <w:r w:rsidR="005825A0">
        <w:rPr>
          <w:i/>
          <w:lang w:val="nl-NL"/>
        </w:rPr>
        <w:t xml:space="preserve">18%) op deze </w:t>
      </w:r>
      <w:proofErr w:type="spellStart"/>
      <w:r w:rsidR="005825A0">
        <w:rPr>
          <w:i/>
          <w:lang w:val="nl-NL"/>
        </w:rPr>
        <w:t>zorggebonden</w:t>
      </w:r>
      <w:proofErr w:type="spellEnd"/>
      <w:r w:rsidR="005825A0">
        <w:rPr>
          <w:i/>
          <w:lang w:val="nl-NL"/>
        </w:rPr>
        <w:t xml:space="preserve"> punten worden </w:t>
      </w:r>
      <w:proofErr w:type="spellStart"/>
      <w:r w:rsidR="005825A0">
        <w:rPr>
          <w:i/>
          <w:lang w:val="nl-NL"/>
        </w:rPr>
        <w:t>gefinancieerd</w:t>
      </w:r>
      <w:proofErr w:type="spellEnd"/>
      <w:r w:rsidR="005825A0">
        <w:rPr>
          <w:i/>
          <w:lang w:val="nl-NL"/>
        </w:rPr>
        <w:t xml:space="preserve"> door de middelen Via 5 en </w:t>
      </w:r>
      <w:proofErr w:type="spellStart"/>
      <w:r w:rsidR="005825A0">
        <w:rPr>
          <w:i/>
          <w:lang w:val="nl-NL"/>
        </w:rPr>
        <w:t>taxshift</w:t>
      </w:r>
      <w:proofErr w:type="spellEnd"/>
      <w:r w:rsidR="005825A0">
        <w:rPr>
          <w:i/>
          <w:lang w:val="nl-NL"/>
        </w:rPr>
        <w:t>. Deze punten worden opgenomen in het subsidiedossier en gesubsidieerd via de methodiek van de alternatieve loonfinanciering.</w:t>
      </w:r>
    </w:p>
    <w:p w:rsidR="004E7A5F" w:rsidRDefault="004E7A5F" w:rsidP="005825A0">
      <w:pPr>
        <w:ind w:left="708"/>
        <w:rPr>
          <w:i/>
          <w:lang w:val="nl-NL"/>
        </w:rPr>
      </w:pPr>
      <w:r>
        <w:rPr>
          <w:i/>
          <w:lang w:val="nl-NL"/>
        </w:rPr>
        <w:lastRenderedPageBreak/>
        <w:t>314,5</w:t>
      </w:r>
      <w:r w:rsidR="005825A0">
        <w:rPr>
          <w:i/>
          <w:lang w:val="nl-NL"/>
        </w:rPr>
        <w:t xml:space="preserve"> </w:t>
      </w:r>
      <w:proofErr w:type="spellStart"/>
      <w:r w:rsidR="005825A0">
        <w:rPr>
          <w:i/>
          <w:lang w:val="nl-NL"/>
        </w:rPr>
        <w:t>zorggebonden</w:t>
      </w:r>
      <w:proofErr w:type="spellEnd"/>
      <w:r w:rsidR="005825A0">
        <w:rPr>
          <w:i/>
          <w:lang w:val="nl-NL"/>
        </w:rPr>
        <w:t xml:space="preserve"> punten inclusief de bijhorende</w:t>
      </w:r>
      <w:r w:rsidR="009541AC">
        <w:rPr>
          <w:i/>
          <w:lang w:val="nl-NL"/>
        </w:rPr>
        <w:t xml:space="preserve"> </w:t>
      </w:r>
      <w:proofErr w:type="spellStart"/>
      <w:r w:rsidR="005825A0">
        <w:rPr>
          <w:i/>
          <w:lang w:val="nl-NL"/>
        </w:rPr>
        <w:t>organisatiegebonden</w:t>
      </w:r>
      <w:proofErr w:type="spellEnd"/>
      <w:r w:rsidR="005825A0">
        <w:rPr>
          <w:i/>
          <w:lang w:val="nl-NL"/>
        </w:rPr>
        <w:t xml:space="preserve"> punten worden gefinancierd via Sociale Maribel. </w:t>
      </w:r>
      <w:r>
        <w:rPr>
          <w:i/>
          <w:lang w:val="nl-NL"/>
        </w:rPr>
        <w:t xml:space="preserve">Concreet betekent dit dat jaarlijks het totaal aantal </w:t>
      </w:r>
      <w:proofErr w:type="spellStart"/>
      <w:r>
        <w:rPr>
          <w:i/>
          <w:lang w:val="nl-NL"/>
        </w:rPr>
        <w:t>zorggebonden</w:t>
      </w:r>
      <w:proofErr w:type="spellEnd"/>
      <w:r>
        <w:rPr>
          <w:i/>
          <w:lang w:val="nl-NL"/>
        </w:rPr>
        <w:t xml:space="preserve"> punten verminderd wordt met 314,5 punten. En dat bij de bepaling van het aantal </w:t>
      </w:r>
      <w:proofErr w:type="spellStart"/>
      <w:r>
        <w:rPr>
          <w:i/>
          <w:lang w:val="nl-NL"/>
        </w:rPr>
        <w:t>organisatiegebonden</w:t>
      </w:r>
      <w:proofErr w:type="spellEnd"/>
      <w:r>
        <w:rPr>
          <w:i/>
          <w:lang w:val="nl-NL"/>
        </w:rPr>
        <w:t xml:space="preserve"> punten wordt vertrokken van het aantal geregistreerde </w:t>
      </w:r>
      <w:proofErr w:type="spellStart"/>
      <w:r>
        <w:rPr>
          <w:i/>
          <w:lang w:val="nl-NL"/>
        </w:rPr>
        <w:t>zorggebonden</w:t>
      </w:r>
      <w:proofErr w:type="spellEnd"/>
      <w:r>
        <w:rPr>
          <w:i/>
          <w:lang w:val="nl-NL"/>
        </w:rPr>
        <w:t xml:space="preserve"> punten (vouchers) verminderd met de</w:t>
      </w:r>
      <w:r w:rsidR="00227F17">
        <w:rPr>
          <w:i/>
          <w:lang w:val="nl-NL"/>
        </w:rPr>
        <w:t xml:space="preserve">ze </w:t>
      </w:r>
      <w:r>
        <w:rPr>
          <w:i/>
          <w:lang w:val="nl-NL"/>
        </w:rPr>
        <w:t xml:space="preserve"> 314,5 punten.</w:t>
      </w:r>
    </w:p>
    <w:p w:rsidR="009541AC" w:rsidRDefault="009541AC" w:rsidP="009541AC">
      <w:pPr>
        <w:ind w:left="708"/>
        <w:rPr>
          <w:i/>
          <w:lang w:val="nl-NL"/>
        </w:rPr>
      </w:pPr>
      <w:r>
        <w:rPr>
          <w:i/>
          <w:lang w:val="nl-NL"/>
        </w:rPr>
        <w:t xml:space="preserve">Opgelet: voor 2018 zullen in het subsidiedossier slechts de helft van de </w:t>
      </w:r>
      <w:proofErr w:type="spellStart"/>
      <w:r>
        <w:rPr>
          <w:i/>
          <w:lang w:val="nl-NL"/>
        </w:rPr>
        <w:t>zorggebonden</w:t>
      </w:r>
      <w:proofErr w:type="spellEnd"/>
      <w:r>
        <w:rPr>
          <w:i/>
          <w:lang w:val="nl-NL"/>
        </w:rPr>
        <w:t xml:space="preserve"> punten in mindering worden gebracht (314,5/2= 157,3), omdat de budgetten werden verhoogd vanaf 1 juli 2018.</w:t>
      </w:r>
    </w:p>
    <w:p w:rsidR="00227F17" w:rsidRDefault="004E7A5F" w:rsidP="009541AC">
      <w:pPr>
        <w:ind w:firstLine="708"/>
        <w:rPr>
          <w:i/>
          <w:lang w:val="nl-NL"/>
        </w:rPr>
      </w:pPr>
      <w:r>
        <w:rPr>
          <w:i/>
          <w:lang w:val="nl-NL"/>
        </w:rPr>
        <w:t xml:space="preserve">Het aantal VTE dat door de Sociale Maribel wordt vergoed, werd als volgt berekend: </w:t>
      </w:r>
    </w:p>
    <w:p w:rsidR="005825A0" w:rsidRDefault="004E7A5F" w:rsidP="004E7A5F">
      <w:pPr>
        <w:ind w:left="708"/>
        <w:rPr>
          <w:i/>
          <w:lang w:val="nl-NL"/>
        </w:rPr>
      </w:pPr>
      <w:r>
        <w:rPr>
          <w:i/>
          <w:lang w:val="nl-NL"/>
        </w:rPr>
        <w:t xml:space="preserve"> </w:t>
      </w:r>
      <w:r w:rsidR="00846599">
        <w:rPr>
          <w:i/>
          <w:lang w:val="nl-NL"/>
        </w:rPr>
        <w:t>(</w:t>
      </w:r>
      <w:r>
        <w:rPr>
          <w:i/>
          <w:lang w:val="nl-NL"/>
        </w:rPr>
        <w:t>(</w:t>
      </w:r>
      <w:r w:rsidR="00227F17">
        <w:rPr>
          <w:i/>
          <w:lang w:val="nl-NL"/>
        </w:rPr>
        <w:t>314,</w:t>
      </w:r>
      <w:r>
        <w:rPr>
          <w:i/>
          <w:lang w:val="nl-NL"/>
        </w:rPr>
        <w:t xml:space="preserve">5 + </w:t>
      </w:r>
      <w:r w:rsidR="00227F17">
        <w:rPr>
          <w:i/>
          <w:lang w:val="nl-NL"/>
        </w:rPr>
        <w:t>314,</w:t>
      </w:r>
      <w:r>
        <w:rPr>
          <w:i/>
          <w:lang w:val="nl-NL"/>
        </w:rPr>
        <w:t>5* 25,35%)*894,87 euro)/43.500, wat een resultaat geeft van 8,11 VTE</w:t>
      </w:r>
      <w:r w:rsidR="00227F17">
        <w:rPr>
          <w:i/>
          <w:lang w:val="nl-NL"/>
        </w:rPr>
        <w:t>, en dit aan 43.500 euro per VTE.</w:t>
      </w:r>
    </w:p>
    <w:p w:rsidR="000307DA" w:rsidRPr="009541AC" w:rsidRDefault="000307DA" w:rsidP="009541AC">
      <w:pPr>
        <w:rPr>
          <w:lang w:val="nl-NL"/>
        </w:rPr>
      </w:pPr>
      <w:r w:rsidRPr="009541AC">
        <w:rPr>
          <w:lang w:val="nl-NL"/>
        </w:rPr>
        <w:t xml:space="preserve">De middelen Sociale Maribel worden toegekend aan de vergunde zorgaanbieder zelf. Wanneer een cliënt verhuist of overlijdt, blijft de vermindering van toepassing </w:t>
      </w:r>
      <w:r w:rsidR="00E93139" w:rsidRPr="009541AC">
        <w:rPr>
          <w:lang w:val="nl-NL"/>
        </w:rPr>
        <w:t xml:space="preserve">op vergunde zorgaanbieder die de </w:t>
      </w:r>
      <w:r w:rsidR="009541AC" w:rsidRPr="009541AC">
        <w:rPr>
          <w:lang w:val="nl-NL"/>
        </w:rPr>
        <w:t>S</w:t>
      </w:r>
      <w:r w:rsidR="00E93139" w:rsidRPr="009541AC">
        <w:rPr>
          <w:lang w:val="nl-NL"/>
        </w:rPr>
        <w:t xml:space="preserve">ociale </w:t>
      </w:r>
      <w:r w:rsidR="009541AC" w:rsidRPr="009541AC">
        <w:rPr>
          <w:lang w:val="nl-NL"/>
        </w:rPr>
        <w:t>M</w:t>
      </w:r>
      <w:r w:rsidR="00DB0C81">
        <w:rPr>
          <w:lang w:val="nl-NL"/>
        </w:rPr>
        <w:t>aribel middelen h</w:t>
      </w:r>
      <w:r w:rsidR="00E93139" w:rsidRPr="009541AC">
        <w:rPr>
          <w:lang w:val="nl-NL"/>
        </w:rPr>
        <w:t xml:space="preserve">eeft ontvangen; deze middelen verhuizen niet mee met de budgethouder. </w:t>
      </w:r>
    </w:p>
    <w:p w:rsidR="001D7F9B" w:rsidRDefault="00E93139" w:rsidP="009541AC">
      <w:pPr>
        <w:rPr>
          <w:lang w:val="nl-NL"/>
        </w:rPr>
      </w:pPr>
      <w:r>
        <w:rPr>
          <w:lang w:val="nl-NL"/>
        </w:rPr>
        <w:t xml:space="preserve">Voor het bepalen van het aantal punten dat mag omgezet worden in werkingsmiddelen, wordt wel uitgegaan van het theoretisch aantal </w:t>
      </w:r>
      <w:proofErr w:type="spellStart"/>
      <w:r>
        <w:rPr>
          <w:lang w:val="nl-NL"/>
        </w:rPr>
        <w:t>organisatiegebonden</w:t>
      </w:r>
      <w:proofErr w:type="spellEnd"/>
      <w:r>
        <w:rPr>
          <w:lang w:val="nl-NL"/>
        </w:rPr>
        <w:t xml:space="preserve"> punten, berekend op de totaliteit van de vouchers, inclusief de punten </w:t>
      </w:r>
      <w:r w:rsidR="009541AC">
        <w:rPr>
          <w:lang w:val="nl-NL"/>
        </w:rPr>
        <w:t>S</w:t>
      </w:r>
      <w:r>
        <w:rPr>
          <w:lang w:val="nl-NL"/>
        </w:rPr>
        <w:t xml:space="preserve">ociale </w:t>
      </w:r>
      <w:r w:rsidR="009541AC">
        <w:rPr>
          <w:lang w:val="nl-NL"/>
        </w:rPr>
        <w:t>M</w:t>
      </w:r>
      <w:r>
        <w:rPr>
          <w:lang w:val="nl-NL"/>
        </w:rPr>
        <w:t>aribel, dit om de omzettingsfactor tussen voorzieningen met een gelijke ca</w:t>
      </w:r>
      <w:r w:rsidR="00DB0C81">
        <w:rPr>
          <w:lang w:val="nl-NL"/>
        </w:rPr>
        <w:t xml:space="preserve">paciteit in </w:t>
      </w:r>
      <w:proofErr w:type="spellStart"/>
      <w:r w:rsidR="00DB0C81">
        <w:rPr>
          <w:lang w:val="nl-NL"/>
        </w:rPr>
        <w:t>zorggebonden</w:t>
      </w:r>
      <w:proofErr w:type="spellEnd"/>
      <w:r w:rsidR="00DB0C81">
        <w:rPr>
          <w:lang w:val="nl-NL"/>
        </w:rPr>
        <w:t xml:space="preserve"> punten</w:t>
      </w:r>
      <w:r>
        <w:rPr>
          <w:lang w:val="nl-NL"/>
        </w:rPr>
        <w:t xml:space="preserve"> te bewaren. </w:t>
      </w:r>
    </w:p>
    <w:p w:rsidR="00B6700A" w:rsidRPr="00FD4CCF" w:rsidRDefault="007728D0" w:rsidP="009541AC">
      <w:pPr>
        <w:rPr>
          <w:lang w:val="nl-NL"/>
        </w:rPr>
      </w:pPr>
      <w:r w:rsidRPr="00FD4CCF">
        <w:rPr>
          <w:lang w:val="nl-NL"/>
        </w:rPr>
        <w:t xml:space="preserve">Het VAPH zal aan de Vlaamse regering een ontwerp van besluit overmaken om de beschreven methodiek ook eenduidig juridisch te verankeren. </w:t>
      </w:r>
    </w:p>
    <w:p w:rsidR="000919D3" w:rsidRDefault="000919D3" w:rsidP="000919D3">
      <w:pPr>
        <w:pStyle w:val="Kop1"/>
        <w:rPr>
          <w:sz w:val="32"/>
          <w:szCs w:val="32"/>
        </w:rPr>
      </w:pPr>
      <w:r>
        <w:rPr>
          <w:sz w:val="32"/>
          <w:szCs w:val="32"/>
        </w:rPr>
        <w:t>Verduidelijking afrekening bijdrage A</w:t>
      </w:r>
    </w:p>
    <w:p w:rsidR="00CD004E" w:rsidRPr="009541AC" w:rsidRDefault="00CD004E" w:rsidP="009541AC">
      <w:pPr>
        <w:rPr>
          <w:lang w:val="nl-NL"/>
        </w:rPr>
      </w:pPr>
      <w:r w:rsidRPr="00CD004E">
        <w:t>Tijdens de  transitie zorg in natura (ZIN) werd voor elke vergunde zorgaanbieder bijdrage A berekend (uitgedrukt in personeelspunten).  Voor een omstandige verduidelijking van de vaststelling van de bijdrage A, verwijzen we graag naar de bijlage 2 van de infonota van 3 augustus 2018. De bij de transitie berekende bijdrage A, is echter slechts het startpunt. Voor elk subsidiejaar zal bijdrage A per vergunde zorgaanbieder herrekend worden, rekening houdend met de definitieve uitstroom van transitiecliënten uit de voorziening</w:t>
      </w:r>
      <w:r>
        <w:t xml:space="preserve"> </w:t>
      </w:r>
      <w:r>
        <w:rPr>
          <w:rStyle w:val="Voetnootmarkering"/>
          <w:i/>
          <w:lang w:val="nl-NL"/>
        </w:rPr>
        <w:footnoteReference w:id="1"/>
      </w:r>
      <w:r w:rsidRPr="00CD004E">
        <w:t>.</w:t>
      </w:r>
      <w:r>
        <w:t xml:space="preserve"> </w:t>
      </w:r>
      <w:r w:rsidR="000919D3">
        <w:rPr>
          <w:lang w:val="nl-NL"/>
        </w:rPr>
        <w:t>In</w:t>
      </w:r>
      <w:r w:rsidR="00440F5B">
        <w:rPr>
          <w:lang w:val="nl-NL"/>
        </w:rPr>
        <w:t xml:space="preserve"> </w:t>
      </w:r>
      <w:r w:rsidR="000919D3">
        <w:rPr>
          <w:lang w:val="nl-NL"/>
        </w:rPr>
        <w:t>voorbeeld</w:t>
      </w:r>
      <w:r w:rsidR="00440F5B">
        <w:rPr>
          <w:lang w:val="nl-NL"/>
        </w:rPr>
        <w:t xml:space="preserve"> 2</w:t>
      </w:r>
      <w:r w:rsidR="000919D3">
        <w:rPr>
          <w:lang w:val="nl-NL"/>
        </w:rPr>
        <w:t xml:space="preserve"> wordt de methodiek verduidelijkt:</w:t>
      </w:r>
    </w:p>
    <w:p w:rsidR="000919D3" w:rsidRDefault="000919D3" w:rsidP="000919D3">
      <w:pPr>
        <w:ind w:left="708"/>
        <w:rPr>
          <w:i/>
          <w:lang w:val="nl-NL"/>
        </w:rPr>
      </w:pPr>
      <w:r>
        <w:rPr>
          <w:i/>
          <w:lang w:val="nl-NL"/>
        </w:rPr>
        <w:t>Voorbeeld</w:t>
      </w:r>
      <w:r w:rsidR="00440F5B">
        <w:rPr>
          <w:i/>
          <w:lang w:val="nl-NL"/>
        </w:rPr>
        <w:t xml:space="preserve"> 2</w:t>
      </w:r>
      <w:r w:rsidR="003D658B">
        <w:rPr>
          <w:i/>
          <w:lang w:val="nl-NL"/>
        </w:rPr>
        <w:t>:</w:t>
      </w:r>
    </w:p>
    <w:p w:rsidR="003D658B" w:rsidRDefault="003D658B" w:rsidP="000919D3">
      <w:pPr>
        <w:ind w:left="708"/>
        <w:rPr>
          <w:i/>
          <w:lang w:val="nl-NL"/>
        </w:rPr>
      </w:pPr>
      <w:r>
        <w:rPr>
          <w:i/>
          <w:lang w:val="nl-NL"/>
        </w:rPr>
        <w:t xml:space="preserve">Vergunde zorgaanbieder A had 500 punten bijdrage A, na de </w:t>
      </w:r>
      <w:r w:rsidR="008D3E5B">
        <w:rPr>
          <w:i/>
          <w:lang w:val="nl-NL"/>
        </w:rPr>
        <w:t xml:space="preserve">berekening transitie ZIN. Op basis van de foto 31/12/2016 werden 6.000 </w:t>
      </w:r>
      <w:proofErr w:type="spellStart"/>
      <w:r w:rsidR="008D3E5B">
        <w:rPr>
          <w:i/>
          <w:lang w:val="nl-NL"/>
        </w:rPr>
        <w:t>zorggebonden</w:t>
      </w:r>
      <w:proofErr w:type="spellEnd"/>
      <w:r w:rsidR="008D3E5B">
        <w:rPr>
          <w:i/>
          <w:lang w:val="nl-NL"/>
        </w:rPr>
        <w:t xml:space="preserve"> punten verdeeld over de budgetten van de gebruikers.</w:t>
      </w:r>
    </w:p>
    <w:p w:rsidR="008D3E5B" w:rsidRDefault="008D3E5B" w:rsidP="000919D3">
      <w:pPr>
        <w:ind w:left="708"/>
        <w:rPr>
          <w:i/>
          <w:lang w:val="nl-NL"/>
        </w:rPr>
      </w:pPr>
      <w:r>
        <w:rPr>
          <w:i/>
          <w:lang w:val="nl-NL"/>
        </w:rPr>
        <w:lastRenderedPageBreak/>
        <w:t xml:space="preserve">Cliënt X kreeg een transitiebudget bij vergunde zorgaanbieder A van 50 punten (basis foto 31/12/2016). Deze cliënt verlaat de vergunde zorgaanbieder definitief in 2017. Er werd voor cliënt X </w:t>
      </w:r>
      <w:r w:rsidR="00A62822">
        <w:rPr>
          <w:i/>
          <w:lang w:val="nl-NL"/>
        </w:rPr>
        <w:t xml:space="preserve">in 2017 </w:t>
      </w:r>
      <w:r>
        <w:rPr>
          <w:i/>
          <w:lang w:val="nl-NL"/>
        </w:rPr>
        <w:t xml:space="preserve">nog een voucher geregistreerd van 10 punten door vergunde zorgaanbieder A. Er zijn dus </w:t>
      </w:r>
      <w:r w:rsidR="00A62822">
        <w:rPr>
          <w:i/>
          <w:lang w:val="nl-NL"/>
        </w:rPr>
        <w:t xml:space="preserve">voor 2017 </w:t>
      </w:r>
      <w:r>
        <w:rPr>
          <w:i/>
          <w:lang w:val="nl-NL"/>
        </w:rPr>
        <w:t>40 punten van deze transitiecliënt weggestroomd.</w:t>
      </w:r>
    </w:p>
    <w:p w:rsidR="008D3E5B" w:rsidRDefault="008D3E5B" w:rsidP="00AB5DE2">
      <w:pPr>
        <w:ind w:firstLine="708"/>
        <w:rPr>
          <w:i/>
          <w:lang w:val="nl-NL"/>
        </w:rPr>
      </w:pPr>
      <w:r>
        <w:rPr>
          <w:i/>
          <w:lang w:val="nl-NL"/>
        </w:rPr>
        <w:t>Voor 2017 zal bijdrage A van de vergunde zorgaanbieder aangepast worden als volgt:</w:t>
      </w:r>
    </w:p>
    <w:p w:rsidR="008D3E5B" w:rsidRDefault="008D3E5B" w:rsidP="000919D3">
      <w:pPr>
        <w:ind w:left="708"/>
        <w:rPr>
          <w:i/>
          <w:lang w:val="nl-NL"/>
        </w:rPr>
      </w:pPr>
      <w:r>
        <w:rPr>
          <w:i/>
          <w:lang w:val="nl-NL"/>
        </w:rPr>
        <w:t>500/6.000 * (6.000-40) = 497 punten</w:t>
      </w:r>
    </w:p>
    <w:p w:rsidR="008D3E5B" w:rsidRDefault="008D3E5B" w:rsidP="000919D3">
      <w:pPr>
        <w:ind w:left="708"/>
        <w:rPr>
          <w:i/>
          <w:lang w:val="nl-NL"/>
        </w:rPr>
      </w:pPr>
      <w:r>
        <w:rPr>
          <w:i/>
          <w:lang w:val="nl-NL"/>
        </w:rPr>
        <w:t>Deze 497 punten worden omgezet naar een bedrag d</w:t>
      </w:r>
      <w:r w:rsidR="00041BA1">
        <w:rPr>
          <w:i/>
          <w:lang w:val="nl-NL"/>
        </w:rPr>
        <w:t>oor te vermenigvuldigen met 894,</w:t>
      </w:r>
      <w:r>
        <w:rPr>
          <w:i/>
          <w:lang w:val="nl-NL"/>
        </w:rPr>
        <w:t>87 euro. He</w:t>
      </w:r>
      <w:r w:rsidR="00D7297D">
        <w:rPr>
          <w:i/>
          <w:lang w:val="nl-NL"/>
        </w:rPr>
        <w:t xml:space="preserve">t resultaat 444.750 euro zal bij </w:t>
      </w:r>
      <w:r>
        <w:rPr>
          <w:i/>
          <w:lang w:val="nl-NL"/>
        </w:rPr>
        <w:t xml:space="preserve"> het subsidiedossier in mindering gebracht worden na berekening van de personeelssubsidies en werkingssubsidies van de subsidie-eenheid waartoe de vergunde zorga</w:t>
      </w:r>
      <w:r w:rsidR="00D33444">
        <w:rPr>
          <w:i/>
          <w:lang w:val="nl-NL"/>
        </w:rPr>
        <w:t xml:space="preserve">anbieder behoort. Deze vermindering verloopt dus net zoals </w:t>
      </w:r>
      <w:r w:rsidR="00D7297D">
        <w:rPr>
          <w:i/>
          <w:lang w:val="nl-NL"/>
        </w:rPr>
        <w:t xml:space="preserve">voor </w:t>
      </w:r>
      <w:r w:rsidR="00D33444">
        <w:rPr>
          <w:i/>
          <w:lang w:val="nl-NL"/>
        </w:rPr>
        <w:t>de persoonlijke financiële  bijdrage MFC binnen de subsidie-eenheid.</w:t>
      </w:r>
    </w:p>
    <w:p w:rsidR="00D33444" w:rsidRDefault="00D33444" w:rsidP="000919D3">
      <w:pPr>
        <w:ind w:left="708"/>
        <w:rPr>
          <w:i/>
          <w:lang w:val="nl-NL"/>
        </w:rPr>
      </w:pPr>
      <w:r>
        <w:rPr>
          <w:i/>
          <w:lang w:val="nl-NL"/>
        </w:rPr>
        <w:t>Voor 2018 zal bij de berekening rekening gehouden worden met een vermindering van 50 punten voor cliënt X. In 2018 zijn immers ook resterende 10 punten weggestroomd.</w:t>
      </w:r>
    </w:p>
    <w:p w:rsidR="00CD004E" w:rsidRDefault="00CD004E" w:rsidP="000919D3"/>
    <w:p w:rsidR="00AB5DE2" w:rsidRDefault="00AB5DE2" w:rsidP="00AB5DE2">
      <w:pPr>
        <w:pStyle w:val="Kop1"/>
        <w:rPr>
          <w:sz w:val="32"/>
          <w:szCs w:val="32"/>
        </w:rPr>
      </w:pPr>
      <w:r>
        <w:rPr>
          <w:sz w:val="32"/>
          <w:szCs w:val="32"/>
        </w:rPr>
        <w:t>Verduidelijking uitwisseling personeelspunten</w:t>
      </w:r>
    </w:p>
    <w:p w:rsidR="00CD004E" w:rsidRDefault="00AB5DE2" w:rsidP="000919D3">
      <w:r>
        <w:t xml:space="preserve">Zoals beschreven in de infonota van 30 augustus 2018, blijft het voor de vergunde zorgaanbieders mogelijk om personeelspunten uit te wisselen. </w:t>
      </w:r>
      <w:r w:rsidR="00B6700A">
        <w:t xml:space="preserve">Het uitwisselen van punten heeft geen gevolg voor de berekening van het aantal </w:t>
      </w:r>
      <w:proofErr w:type="spellStart"/>
      <w:r w:rsidR="00B6700A">
        <w:t>organisatiegebonden</w:t>
      </w:r>
      <w:proofErr w:type="spellEnd"/>
      <w:r w:rsidR="00B6700A">
        <w:t xml:space="preserve"> punten dat mag omgezet worden naar werkingskosten.  </w:t>
      </w:r>
      <w:r w:rsidR="00440F5B">
        <w:t>In voorbeeld 3 wordt dit verduidelijkt.</w:t>
      </w:r>
    </w:p>
    <w:p w:rsidR="00440F5B" w:rsidRPr="00883AFE" w:rsidRDefault="00440F5B" w:rsidP="00440F5B">
      <w:pPr>
        <w:ind w:left="708"/>
        <w:rPr>
          <w:i/>
        </w:rPr>
      </w:pPr>
      <w:r w:rsidRPr="00883AFE">
        <w:rPr>
          <w:i/>
        </w:rPr>
        <w:t>Voorbeeld 3:</w:t>
      </w:r>
    </w:p>
    <w:p w:rsidR="00440F5B" w:rsidRPr="00883AFE" w:rsidRDefault="00440F5B" w:rsidP="00440F5B">
      <w:pPr>
        <w:ind w:left="708"/>
        <w:rPr>
          <w:i/>
        </w:rPr>
      </w:pPr>
      <w:r w:rsidRPr="00883AFE">
        <w:rPr>
          <w:i/>
        </w:rPr>
        <w:t>Vergunde zorgaanbieder A geeft 20 punten aan vergunde zorgaanbieder B.</w:t>
      </w:r>
    </w:p>
    <w:p w:rsidR="00B6700A" w:rsidRDefault="00440F5B" w:rsidP="00883AFE">
      <w:pPr>
        <w:ind w:left="708"/>
        <w:rPr>
          <w:i/>
        </w:rPr>
      </w:pPr>
      <w:r w:rsidRPr="00883AFE">
        <w:rPr>
          <w:i/>
        </w:rPr>
        <w:t xml:space="preserve">Oorspronkelijk had A 500 </w:t>
      </w:r>
      <w:proofErr w:type="spellStart"/>
      <w:r w:rsidRPr="00883AFE">
        <w:rPr>
          <w:i/>
        </w:rPr>
        <w:t>organisatiegebonden</w:t>
      </w:r>
      <w:proofErr w:type="spellEnd"/>
      <w:r w:rsidRPr="00883AFE">
        <w:rPr>
          <w:i/>
        </w:rPr>
        <w:t xml:space="preserve"> punten. </w:t>
      </w:r>
      <w:r w:rsidR="00A7754F">
        <w:rPr>
          <w:i/>
        </w:rPr>
        <w:t xml:space="preserve">Maximaal </w:t>
      </w:r>
      <w:r w:rsidR="00883AFE">
        <w:rPr>
          <w:i/>
        </w:rPr>
        <w:t>50% van deze punten mag A in werkingsmiddelen omzetten. De 250 omzetbare punten blijven behouden na uitwisseling</w:t>
      </w:r>
      <w:r w:rsidR="00B6700A">
        <w:rPr>
          <w:i/>
        </w:rPr>
        <w:t>.</w:t>
      </w:r>
    </w:p>
    <w:p w:rsidR="00A7754F" w:rsidRPr="00883AFE" w:rsidRDefault="00A7754F" w:rsidP="00883AFE">
      <w:pPr>
        <w:ind w:left="708"/>
        <w:rPr>
          <w:i/>
        </w:rPr>
      </w:pPr>
      <w:r>
        <w:rPr>
          <w:i/>
        </w:rPr>
        <w:t xml:space="preserve">Oorspronkelijk had B 300 </w:t>
      </w:r>
      <w:proofErr w:type="spellStart"/>
      <w:r w:rsidR="00041BA1">
        <w:rPr>
          <w:i/>
        </w:rPr>
        <w:t>organisatiegebonden</w:t>
      </w:r>
      <w:proofErr w:type="spellEnd"/>
      <w:r w:rsidR="00041BA1">
        <w:rPr>
          <w:i/>
        </w:rPr>
        <w:t xml:space="preserve"> punten. B mo</w:t>
      </w:r>
      <w:r>
        <w:rPr>
          <w:i/>
        </w:rPr>
        <w:t xml:space="preserve">cht dus maximaal 150 punten omzetten. Deze 150 blijven behouden. </w:t>
      </w:r>
    </w:p>
    <w:p w:rsidR="00CD004E" w:rsidRDefault="00CD004E" w:rsidP="000919D3"/>
    <w:p w:rsidR="000919D3" w:rsidRDefault="000919D3" w:rsidP="000919D3">
      <w:r>
        <w:t>Met  vriendelijke groeten</w:t>
      </w:r>
    </w:p>
    <w:p w:rsidR="00D318C8" w:rsidRDefault="00D318C8" w:rsidP="000919D3"/>
    <w:p w:rsidR="000919D3" w:rsidRDefault="000919D3" w:rsidP="000919D3"/>
    <w:p w:rsidR="000919D3" w:rsidRDefault="000919D3" w:rsidP="000919D3">
      <w:r>
        <w:t>James Van Casteren</w:t>
      </w:r>
    </w:p>
    <w:p w:rsidR="000919D3" w:rsidRDefault="000919D3" w:rsidP="000919D3">
      <w:r>
        <w:t>Administrateur-generaal</w:t>
      </w:r>
    </w:p>
    <w:p w:rsidR="000919D3" w:rsidRPr="000919D3" w:rsidRDefault="000919D3" w:rsidP="000919D3">
      <w:pPr>
        <w:rPr>
          <w:lang w:val="nl-NL"/>
        </w:rPr>
      </w:pPr>
    </w:p>
    <w:sectPr w:rsidR="000919D3" w:rsidRPr="000919D3"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20" w:rsidRDefault="009E4B20" w:rsidP="00A13B42">
      <w:r>
        <w:separator/>
      </w:r>
    </w:p>
    <w:p w:rsidR="009E4B20" w:rsidRDefault="009E4B20"/>
  </w:endnote>
  <w:endnote w:type="continuationSeparator" w:id="0">
    <w:p w:rsidR="009E4B20" w:rsidRDefault="009E4B20" w:rsidP="00A13B42">
      <w:r>
        <w:continuationSeparator/>
      </w:r>
    </w:p>
    <w:p w:rsidR="009E4B20" w:rsidRDefault="009E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19" w:rsidRDefault="00E16F19">
    <w:pPr>
      <w:pStyle w:val="Voettekst"/>
    </w:pPr>
  </w:p>
  <w:p w:rsidR="00B2051E" w:rsidRDefault="00B2051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AF37CC">
      <w:rPr>
        <w:noProof/>
      </w:rPr>
      <w:t>1</w:t>
    </w:r>
    <w:r w:rsidRPr="00516E9E">
      <w:fldChar w:fldCharType="end"/>
    </w:r>
    <w:r w:rsidRPr="00516E9E">
      <w:t xml:space="preserve"> van </w:t>
    </w:r>
    <w:fldSimple w:instr=" NUMPAGES   \* MERGEFORMAT ">
      <w:r w:rsidR="00AF37CC">
        <w:rPr>
          <w:noProof/>
        </w:rPr>
        <w:t>3</w:t>
      </w:r>
    </w:fldSimple>
    <w:r w:rsidRPr="00516E9E">
      <w:rPr>
        <w:noProof/>
        <w:lang w:eastAsia="nl-BE"/>
      </w:rPr>
      <w:drawing>
        <wp:anchor distT="0" distB="0" distL="114300" distR="114300" simplePos="0" relativeHeight="251679744" behindDoc="0" locked="0" layoutInCell="1" allowOverlap="1" wp14:anchorId="42C815EF" wp14:editId="10FE3E08">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20" w:rsidRDefault="009E4B20" w:rsidP="00692334">
      <w:pPr>
        <w:spacing w:after="0"/>
      </w:pPr>
      <w:r>
        <w:separator/>
      </w:r>
    </w:p>
  </w:footnote>
  <w:footnote w:type="continuationSeparator" w:id="0">
    <w:p w:rsidR="009E4B20" w:rsidRDefault="009E4B20" w:rsidP="00A13B42">
      <w:r>
        <w:continuationSeparator/>
      </w:r>
    </w:p>
    <w:p w:rsidR="009E4B20" w:rsidRDefault="009E4B20"/>
  </w:footnote>
  <w:footnote w:id="1">
    <w:p w:rsidR="00CD004E" w:rsidRPr="00CD004E" w:rsidRDefault="00CD004E" w:rsidP="00CD004E">
      <w:pPr>
        <w:rPr>
          <w:lang w:val="nl-NL"/>
        </w:rPr>
      </w:pPr>
      <w:r>
        <w:rPr>
          <w:rStyle w:val="Voetnootmarkering"/>
        </w:rPr>
        <w:footnoteRef/>
      </w:r>
      <w:r w:rsidR="00041BA1" w:rsidRPr="00041BA1">
        <w:rPr>
          <w:b/>
          <w:sz w:val="16"/>
          <w:szCs w:val="16"/>
        </w:rPr>
        <w:t>Zie artikel 28 van het</w:t>
      </w:r>
      <w:r w:rsidR="00041BA1" w:rsidRPr="00041BA1">
        <w:rPr>
          <w:sz w:val="16"/>
          <w:szCs w:val="16"/>
        </w:rPr>
        <w:t xml:space="preserve"> </w:t>
      </w:r>
      <w:r w:rsidRPr="00041BA1">
        <w:rPr>
          <w:sz w:val="16"/>
          <w:szCs w:val="16"/>
        </w:rPr>
        <w:t xml:space="preserve"> </w:t>
      </w:r>
      <w:r w:rsidRPr="00E75C29">
        <w:rPr>
          <w:rFonts w:eastAsia="Times New Roman" w:cs="Arial"/>
          <w:b/>
          <w:color w:val="000000"/>
          <w:kern w:val="36"/>
          <w:sz w:val="16"/>
          <w:szCs w:val="16"/>
          <w:lang w:eastAsia="nl-BE"/>
        </w:rPr>
        <w:t>Besluit van de Vlaamse Regering houdende de transitie van personen met een handicap die gebruikmaken van een persoonlijke-assistentiebudget of een persoonsgebonden budget of die ondersteund worden door een flexibel aanbodcentrum voor meerderjarigen of een thuisbegeleidingsdienst, naar persoonsvolgende financiering en houdende de transitie van de flexibele aanbodcentra voor meerderjarigen en de thuisbegeleidingsdiensten</w:t>
      </w:r>
      <w:r>
        <w:rPr>
          <w:rFonts w:eastAsia="Times New Roman" w:cs="Arial"/>
          <w:b/>
          <w:color w:val="000000"/>
          <w:kern w:val="36"/>
          <w:sz w:val="16"/>
          <w:szCs w:val="16"/>
          <w:lang w:eastAsia="nl-BE"/>
        </w:rPr>
        <w:t xml:space="preserve"> van 24 juni 2016</w:t>
      </w:r>
    </w:p>
    <w:p w:rsidR="00CD004E" w:rsidRPr="00CD004E" w:rsidRDefault="00CD004E" w:rsidP="00CD004E">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6712592"/>
    <w:multiLevelType w:val="hybridMultilevel"/>
    <w:tmpl w:val="13A878E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896283"/>
    <w:multiLevelType w:val="hybridMultilevel"/>
    <w:tmpl w:val="ECE81104"/>
    <w:lvl w:ilvl="0" w:tplc="3B2C5900">
      <w:start w:val="1"/>
      <w:numFmt w:val="decimal"/>
      <w:lvlText w:val="(%1)"/>
      <w:lvlJc w:val="left"/>
      <w:pPr>
        <w:ind w:left="791" w:hanging="360"/>
      </w:pPr>
      <w:rPr>
        <w:rFonts w:eastAsiaTheme="majorEastAsia" w:cstheme="majorBidi" w:hint="default"/>
        <w:color w:val="373737"/>
      </w:rPr>
    </w:lvl>
    <w:lvl w:ilvl="1" w:tplc="08130019" w:tentative="1">
      <w:start w:val="1"/>
      <w:numFmt w:val="lowerLetter"/>
      <w:lvlText w:val="%2."/>
      <w:lvlJc w:val="left"/>
      <w:pPr>
        <w:ind w:left="1511" w:hanging="360"/>
      </w:pPr>
    </w:lvl>
    <w:lvl w:ilvl="2" w:tplc="0813001B" w:tentative="1">
      <w:start w:val="1"/>
      <w:numFmt w:val="lowerRoman"/>
      <w:lvlText w:val="%3."/>
      <w:lvlJc w:val="right"/>
      <w:pPr>
        <w:ind w:left="2231" w:hanging="180"/>
      </w:pPr>
    </w:lvl>
    <w:lvl w:ilvl="3" w:tplc="0813000F" w:tentative="1">
      <w:start w:val="1"/>
      <w:numFmt w:val="decimal"/>
      <w:lvlText w:val="%4."/>
      <w:lvlJc w:val="left"/>
      <w:pPr>
        <w:ind w:left="2951" w:hanging="360"/>
      </w:pPr>
    </w:lvl>
    <w:lvl w:ilvl="4" w:tplc="08130019" w:tentative="1">
      <w:start w:val="1"/>
      <w:numFmt w:val="lowerLetter"/>
      <w:lvlText w:val="%5."/>
      <w:lvlJc w:val="left"/>
      <w:pPr>
        <w:ind w:left="3671" w:hanging="360"/>
      </w:pPr>
    </w:lvl>
    <w:lvl w:ilvl="5" w:tplc="0813001B" w:tentative="1">
      <w:start w:val="1"/>
      <w:numFmt w:val="lowerRoman"/>
      <w:lvlText w:val="%6."/>
      <w:lvlJc w:val="right"/>
      <w:pPr>
        <w:ind w:left="4391" w:hanging="180"/>
      </w:pPr>
    </w:lvl>
    <w:lvl w:ilvl="6" w:tplc="0813000F" w:tentative="1">
      <w:start w:val="1"/>
      <w:numFmt w:val="decimal"/>
      <w:lvlText w:val="%7."/>
      <w:lvlJc w:val="left"/>
      <w:pPr>
        <w:ind w:left="5111" w:hanging="360"/>
      </w:pPr>
    </w:lvl>
    <w:lvl w:ilvl="7" w:tplc="08130019" w:tentative="1">
      <w:start w:val="1"/>
      <w:numFmt w:val="lowerLetter"/>
      <w:lvlText w:val="%8."/>
      <w:lvlJc w:val="left"/>
      <w:pPr>
        <w:ind w:left="5831" w:hanging="360"/>
      </w:pPr>
    </w:lvl>
    <w:lvl w:ilvl="8" w:tplc="0813001B" w:tentative="1">
      <w:start w:val="1"/>
      <w:numFmt w:val="lowerRoman"/>
      <w:lvlText w:val="%9."/>
      <w:lvlJc w:val="right"/>
      <w:pPr>
        <w:ind w:left="6551" w:hanging="180"/>
      </w:p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A6"/>
    <w:rsid w:val="00001D1B"/>
    <w:rsid w:val="00011108"/>
    <w:rsid w:val="00011992"/>
    <w:rsid w:val="000128DC"/>
    <w:rsid w:val="00013B2A"/>
    <w:rsid w:val="00023FE3"/>
    <w:rsid w:val="000307DA"/>
    <w:rsid w:val="000317EF"/>
    <w:rsid w:val="0003380D"/>
    <w:rsid w:val="00036FEA"/>
    <w:rsid w:val="0004078D"/>
    <w:rsid w:val="00041026"/>
    <w:rsid w:val="00041BA1"/>
    <w:rsid w:val="00045873"/>
    <w:rsid w:val="000525B9"/>
    <w:rsid w:val="000537C8"/>
    <w:rsid w:val="00057040"/>
    <w:rsid w:val="000578F4"/>
    <w:rsid w:val="00065B3E"/>
    <w:rsid w:val="00066117"/>
    <w:rsid w:val="00072BAD"/>
    <w:rsid w:val="000741AC"/>
    <w:rsid w:val="0007551D"/>
    <w:rsid w:val="00077826"/>
    <w:rsid w:val="00080381"/>
    <w:rsid w:val="00080793"/>
    <w:rsid w:val="00080EE1"/>
    <w:rsid w:val="00083765"/>
    <w:rsid w:val="00085B28"/>
    <w:rsid w:val="000919D3"/>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02C42"/>
    <w:rsid w:val="00103178"/>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D7F9B"/>
    <w:rsid w:val="001E76D1"/>
    <w:rsid w:val="001F43A8"/>
    <w:rsid w:val="001F7445"/>
    <w:rsid w:val="00205E7A"/>
    <w:rsid w:val="00207634"/>
    <w:rsid w:val="00210107"/>
    <w:rsid w:val="002115E9"/>
    <w:rsid w:val="0021282F"/>
    <w:rsid w:val="00215F4C"/>
    <w:rsid w:val="00224CDD"/>
    <w:rsid w:val="00227F17"/>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58B"/>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0F5B"/>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16D3"/>
    <w:rsid w:val="004B4F14"/>
    <w:rsid w:val="004B5097"/>
    <w:rsid w:val="004C5F2A"/>
    <w:rsid w:val="004D22BD"/>
    <w:rsid w:val="004E2B8D"/>
    <w:rsid w:val="004E2FF7"/>
    <w:rsid w:val="004E437C"/>
    <w:rsid w:val="004E7247"/>
    <w:rsid w:val="004E7A5F"/>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453F7"/>
    <w:rsid w:val="00555E44"/>
    <w:rsid w:val="00556FE9"/>
    <w:rsid w:val="005608D4"/>
    <w:rsid w:val="0056135E"/>
    <w:rsid w:val="005620BB"/>
    <w:rsid w:val="00566748"/>
    <w:rsid w:val="005825A0"/>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2E6"/>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72A"/>
    <w:rsid w:val="00760F68"/>
    <w:rsid w:val="007642F9"/>
    <w:rsid w:val="00766173"/>
    <w:rsid w:val="007670F2"/>
    <w:rsid w:val="00771EAA"/>
    <w:rsid w:val="007728D0"/>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103D"/>
    <w:rsid w:val="00806ED5"/>
    <w:rsid w:val="00810924"/>
    <w:rsid w:val="00812762"/>
    <w:rsid w:val="008159B7"/>
    <w:rsid w:val="008164DF"/>
    <w:rsid w:val="008235B2"/>
    <w:rsid w:val="008249DA"/>
    <w:rsid w:val="00832A2E"/>
    <w:rsid w:val="00834EC4"/>
    <w:rsid w:val="00835BF0"/>
    <w:rsid w:val="00836333"/>
    <w:rsid w:val="00846599"/>
    <w:rsid w:val="00846600"/>
    <w:rsid w:val="00846992"/>
    <w:rsid w:val="0084759D"/>
    <w:rsid w:val="008477B8"/>
    <w:rsid w:val="0085199F"/>
    <w:rsid w:val="008554A6"/>
    <w:rsid w:val="0085716F"/>
    <w:rsid w:val="00861C3B"/>
    <w:rsid w:val="00861E32"/>
    <w:rsid w:val="00865794"/>
    <w:rsid w:val="00867561"/>
    <w:rsid w:val="008758A8"/>
    <w:rsid w:val="008771A4"/>
    <w:rsid w:val="00880D2F"/>
    <w:rsid w:val="00883AFE"/>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3E5B"/>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541AC"/>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20"/>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2822"/>
    <w:rsid w:val="00A63A5F"/>
    <w:rsid w:val="00A679ED"/>
    <w:rsid w:val="00A71162"/>
    <w:rsid w:val="00A7754F"/>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B5DE2"/>
    <w:rsid w:val="00AC52EF"/>
    <w:rsid w:val="00AD1F0B"/>
    <w:rsid w:val="00AD4342"/>
    <w:rsid w:val="00AD45F3"/>
    <w:rsid w:val="00AD61E9"/>
    <w:rsid w:val="00AE1F06"/>
    <w:rsid w:val="00AE5B74"/>
    <w:rsid w:val="00AE5CB4"/>
    <w:rsid w:val="00AE6B4C"/>
    <w:rsid w:val="00AF37C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00A"/>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404"/>
    <w:rsid w:val="00C94E71"/>
    <w:rsid w:val="00C967AF"/>
    <w:rsid w:val="00C9768F"/>
    <w:rsid w:val="00CA1FDF"/>
    <w:rsid w:val="00CB05D7"/>
    <w:rsid w:val="00CB2413"/>
    <w:rsid w:val="00CB2C15"/>
    <w:rsid w:val="00CB2E5B"/>
    <w:rsid w:val="00CC0FB9"/>
    <w:rsid w:val="00CC7F47"/>
    <w:rsid w:val="00CD004E"/>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18C8"/>
    <w:rsid w:val="00D33444"/>
    <w:rsid w:val="00D33DA6"/>
    <w:rsid w:val="00D341A2"/>
    <w:rsid w:val="00D36B63"/>
    <w:rsid w:val="00D4098B"/>
    <w:rsid w:val="00D45D5E"/>
    <w:rsid w:val="00D50D2C"/>
    <w:rsid w:val="00D52BC9"/>
    <w:rsid w:val="00D55CAE"/>
    <w:rsid w:val="00D626D5"/>
    <w:rsid w:val="00D63FB5"/>
    <w:rsid w:val="00D65BC4"/>
    <w:rsid w:val="00D71A06"/>
    <w:rsid w:val="00D7297D"/>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B0C81"/>
    <w:rsid w:val="00DC4A57"/>
    <w:rsid w:val="00DC4F03"/>
    <w:rsid w:val="00DD3E3D"/>
    <w:rsid w:val="00DD4523"/>
    <w:rsid w:val="00DE0359"/>
    <w:rsid w:val="00DE4D82"/>
    <w:rsid w:val="00DE4D95"/>
    <w:rsid w:val="00DF3441"/>
    <w:rsid w:val="00E0496E"/>
    <w:rsid w:val="00E10219"/>
    <w:rsid w:val="00E16403"/>
    <w:rsid w:val="00E16F19"/>
    <w:rsid w:val="00E17BFE"/>
    <w:rsid w:val="00E21A3E"/>
    <w:rsid w:val="00E2514D"/>
    <w:rsid w:val="00E25CE2"/>
    <w:rsid w:val="00E26CE5"/>
    <w:rsid w:val="00E31423"/>
    <w:rsid w:val="00E3284A"/>
    <w:rsid w:val="00E33C80"/>
    <w:rsid w:val="00E36569"/>
    <w:rsid w:val="00E41250"/>
    <w:rsid w:val="00E41972"/>
    <w:rsid w:val="00E42283"/>
    <w:rsid w:val="00E45DD4"/>
    <w:rsid w:val="00E51891"/>
    <w:rsid w:val="00E51C0C"/>
    <w:rsid w:val="00E52FBB"/>
    <w:rsid w:val="00E56E36"/>
    <w:rsid w:val="00E653DA"/>
    <w:rsid w:val="00E7273E"/>
    <w:rsid w:val="00E7423F"/>
    <w:rsid w:val="00E75C29"/>
    <w:rsid w:val="00E775CC"/>
    <w:rsid w:val="00E777E1"/>
    <w:rsid w:val="00E80A3D"/>
    <w:rsid w:val="00E80EBC"/>
    <w:rsid w:val="00E878F9"/>
    <w:rsid w:val="00E87B88"/>
    <w:rsid w:val="00E93139"/>
    <w:rsid w:val="00E94506"/>
    <w:rsid w:val="00E971CC"/>
    <w:rsid w:val="00EA196B"/>
    <w:rsid w:val="00EA3C39"/>
    <w:rsid w:val="00EA6FEB"/>
    <w:rsid w:val="00EB03B5"/>
    <w:rsid w:val="00EB4919"/>
    <w:rsid w:val="00EB56BE"/>
    <w:rsid w:val="00EB6EC5"/>
    <w:rsid w:val="00EC2312"/>
    <w:rsid w:val="00EC3DB7"/>
    <w:rsid w:val="00ED1D11"/>
    <w:rsid w:val="00ED30E2"/>
    <w:rsid w:val="00ED30F8"/>
    <w:rsid w:val="00ED453A"/>
    <w:rsid w:val="00ED6B26"/>
    <w:rsid w:val="00ED77F5"/>
    <w:rsid w:val="00EE0953"/>
    <w:rsid w:val="00EE4B10"/>
    <w:rsid w:val="00EE5C0B"/>
    <w:rsid w:val="00EF373E"/>
    <w:rsid w:val="00F02B6C"/>
    <w:rsid w:val="00F10F66"/>
    <w:rsid w:val="00F127CF"/>
    <w:rsid w:val="00F15077"/>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D4CCF"/>
    <w:rsid w:val="00FE4812"/>
    <w:rsid w:val="00FE500A"/>
    <w:rsid w:val="00FE6525"/>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0919D3"/>
    <w:rPr>
      <w:sz w:val="16"/>
      <w:szCs w:val="16"/>
    </w:rPr>
  </w:style>
  <w:style w:type="paragraph" w:styleId="Tekstopmerking">
    <w:name w:val="annotation text"/>
    <w:basedOn w:val="Standaard"/>
    <w:link w:val="TekstopmerkingChar"/>
    <w:uiPriority w:val="99"/>
    <w:semiHidden/>
    <w:rsid w:val="000919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9D3"/>
  </w:style>
  <w:style w:type="paragraph" w:styleId="Onderwerpvanopmerking">
    <w:name w:val="annotation subject"/>
    <w:basedOn w:val="Tekstopmerking"/>
    <w:next w:val="Tekstopmerking"/>
    <w:link w:val="OnderwerpvanopmerkingChar"/>
    <w:uiPriority w:val="99"/>
    <w:semiHidden/>
    <w:rsid w:val="000919D3"/>
    <w:rPr>
      <w:b/>
      <w:bCs/>
    </w:rPr>
  </w:style>
  <w:style w:type="character" w:customStyle="1" w:styleId="OnderwerpvanopmerkingChar">
    <w:name w:val="Onderwerp van opmerking Char"/>
    <w:basedOn w:val="TekstopmerkingChar"/>
    <w:link w:val="Onderwerpvanopmerking"/>
    <w:uiPriority w:val="99"/>
    <w:semiHidden/>
    <w:rsid w:val="000919D3"/>
    <w:rPr>
      <w:b/>
      <w:bCs/>
    </w:rPr>
  </w:style>
  <w:style w:type="character" w:styleId="Hyperlink">
    <w:name w:val="Hyperlink"/>
    <w:basedOn w:val="Standaardalinea-lettertype"/>
    <w:uiPriority w:val="99"/>
    <w:unhideWhenUsed/>
    <w:rsid w:val="00666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rsid w:val="00516E9E"/>
    <w:pPr>
      <w:jc w:val="right"/>
    </w:pPr>
  </w:style>
  <w:style w:type="character" w:customStyle="1" w:styleId="VoettekstChar">
    <w:name w:val="Voettekst Char"/>
    <w:basedOn w:val="Standaardalinea-lettertype"/>
    <w:link w:val="Voettekst"/>
    <w:uiPriority w:val="99"/>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Verwijzingopmerking">
    <w:name w:val="annotation reference"/>
    <w:basedOn w:val="Standaardalinea-lettertype"/>
    <w:uiPriority w:val="99"/>
    <w:semiHidden/>
    <w:rsid w:val="000919D3"/>
    <w:rPr>
      <w:sz w:val="16"/>
      <w:szCs w:val="16"/>
    </w:rPr>
  </w:style>
  <w:style w:type="paragraph" w:styleId="Tekstopmerking">
    <w:name w:val="annotation text"/>
    <w:basedOn w:val="Standaard"/>
    <w:link w:val="TekstopmerkingChar"/>
    <w:uiPriority w:val="99"/>
    <w:semiHidden/>
    <w:rsid w:val="000919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9D3"/>
  </w:style>
  <w:style w:type="paragraph" w:styleId="Onderwerpvanopmerking">
    <w:name w:val="annotation subject"/>
    <w:basedOn w:val="Tekstopmerking"/>
    <w:next w:val="Tekstopmerking"/>
    <w:link w:val="OnderwerpvanopmerkingChar"/>
    <w:uiPriority w:val="99"/>
    <w:semiHidden/>
    <w:rsid w:val="000919D3"/>
    <w:rPr>
      <w:b/>
      <w:bCs/>
    </w:rPr>
  </w:style>
  <w:style w:type="character" w:customStyle="1" w:styleId="OnderwerpvanopmerkingChar">
    <w:name w:val="Onderwerp van opmerking Char"/>
    <w:basedOn w:val="TekstopmerkingChar"/>
    <w:link w:val="Onderwerpvanopmerking"/>
    <w:uiPriority w:val="99"/>
    <w:semiHidden/>
    <w:rsid w:val="000919D3"/>
    <w:rPr>
      <w:b/>
      <w:bCs/>
    </w:rPr>
  </w:style>
  <w:style w:type="character" w:styleId="Hyperlink">
    <w:name w:val="Hyperlink"/>
    <w:basedOn w:val="Standaardalinea-lettertype"/>
    <w:uiPriority w:val="99"/>
    <w:unhideWhenUsed/>
    <w:rsid w:val="00666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4060">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frekeningen@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2CB68D4A8242B499339AA23A7E058F"/>
        <w:category>
          <w:name w:val="Algemeen"/>
          <w:gallery w:val="placeholder"/>
        </w:category>
        <w:types>
          <w:type w:val="bbPlcHdr"/>
        </w:types>
        <w:behaviors>
          <w:behavior w:val="content"/>
        </w:behaviors>
        <w:guid w:val="{9FAE726A-6CA8-44D3-A377-D017A4FDC629}"/>
      </w:docPartPr>
      <w:docPartBody>
        <w:p w:rsidR="00DD6451" w:rsidRDefault="00DD6451">
          <w:pPr>
            <w:pStyle w:val="EB2CB68D4A8242B499339AA23A7E058F"/>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51"/>
    <w:rsid w:val="001D5447"/>
    <w:rsid w:val="004D732B"/>
    <w:rsid w:val="00A643D3"/>
    <w:rsid w:val="00CD24B2"/>
    <w:rsid w:val="00CE1011"/>
    <w:rsid w:val="00DD64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9C702ED6EDD4996AA7C2A1BEC4DE1C4">
    <w:name w:val="19C702ED6EDD4996AA7C2A1BEC4DE1C4"/>
  </w:style>
  <w:style w:type="character" w:styleId="Tekstvantijdelijkeaanduiding">
    <w:name w:val="Placeholder Text"/>
    <w:basedOn w:val="Standaardalinea-lettertype"/>
    <w:uiPriority w:val="99"/>
    <w:semiHidden/>
    <w:rPr>
      <w:color w:val="808080"/>
    </w:rPr>
  </w:style>
  <w:style w:type="paragraph" w:customStyle="1" w:styleId="EB2CB68D4A8242B499339AA23A7E058F">
    <w:name w:val="EB2CB68D4A8242B499339AA23A7E058F"/>
  </w:style>
  <w:style w:type="paragraph" w:customStyle="1" w:styleId="D63752DE7A9E49ABA804260E0FB15657">
    <w:name w:val="D63752DE7A9E49ABA804260E0FB15657"/>
  </w:style>
  <w:style w:type="paragraph" w:customStyle="1" w:styleId="08BE119994834497AFE7ED0B7CB529C2">
    <w:name w:val="08BE119994834497AFE7ED0B7CB529C2"/>
  </w:style>
  <w:style w:type="paragraph" w:customStyle="1" w:styleId="241C4370F1F249C59C4D2DFA85543E24">
    <w:name w:val="241C4370F1F249C59C4D2DFA85543E24"/>
  </w:style>
  <w:style w:type="paragraph" w:customStyle="1" w:styleId="99F7A16B44EE48EF9AA0C1F6465140F7">
    <w:name w:val="99F7A16B44EE48EF9AA0C1F6465140F7"/>
  </w:style>
  <w:style w:type="paragraph" w:customStyle="1" w:styleId="71FA87539D414B00AB2FDFFB680C5625">
    <w:name w:val="71FA87539D414B00AB2FDFFB680C5625"/>
  </w:style>
  <w:style w:type="paragraph" w:customStyle="1" w:styleId="BDD00648D94B4D45864C7F7601551A57">
    <w:name w:val="BDD00648D94B4D45864C7F7601551A57"/>
  </w:style>
  <w:style w:type="paragraph" w:customStyle="1" w:styleId="59ABC9C2F6094ADD9078A68118E51C05">
    <w:name w:val="59ABC9C2F6094ADD9078A68118E51C05"/>
  </w:style>
  <w:style w:type="paragraph" w:customStyle="1" w:styleId="288A1A5535C14CB0A21BB3EC9C5F04BE">
    <w:name w:val="288A1A5535C14CB0A21BB3EC9C5F04BE"/>
    <w:rsid w:val="00CE10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9C702ED6EDD4996AA7C2A1BEC4DE1C4">
    <w:name w:val="19C702ED6EDD4996AA7C2A1BEC4DE1C4"/>
  </w:style>
  <w:style w:type="character" w:styleId="Tekstvantijdelijkeaanduiding">
    <w:name w:val="Placeholder Text"/>
    <w:basedOn w:val="Standaardalinea-lettertype"/>
    <w:uiPriority w:val="99"/>
    <w:semiHidden/>
    <w:rPr>
      <w:color w:val="808080"/>
    </w:rPr>
  </w:style>
  <w:style w:type="paragraph" w:customStyle="1" w:styleId="EB2CB68D4A8242B499339AA23A7E058F">
    <w:name w:val="EB2CB68D4A8242B499339AA23A7E058F"/>
  </w:style>
  <w:style w:type="paragraph" w:customStyle="1" w:styleId="D63752DE7A9E49ABA804260E0FB15657">
    <w:name w:val="D63752DE7A9E49ABA804260E0FB15657"/>
  </w:style>
  <w:style w:type="paragraph" w:customStyle="1" w:styleId="08BE119994834497AFE7ED0B7CB529C2">
    <w:name w:val="08BE119994834497AFE7ED0B7CB529C2"/>
  </w:style>
  <w:style w:type="paragraph" w:customStyle="1" w:styleId="241C4370F1F249C59C4D2DFA85543E24">
    <w:name w:val="241C4370F1F249C59C4D2DFA85543E24"/>
  </w:style>
  <w:style w:type="paragraph" w:customStyle="1" w:styleId="99F7A16B44EE48EF9AA0C1F6465140F7">
    <w:name w:val="99F7A16B44EE48EF9AA0C1F6465140F7"/>
  </w:style>
  <w:style w:type="paragraph" w:customStyle="1" w:styleId="71FA87539D414B00AB2FDFFB680C5625">
    <w:name w:val="71FA87539D414B00AB2FDFFB680C5625"/>
  </w:style>
  <w:style w:type="paragraph" w:customStyle="1" w:styleId="BDD00648D94B4D45864C7F7601551A57">
    <w:name w:val="BDD00648D94B4D45864C7F7601551A57"/>
  </w:style>
  <w:style w:type="paragraph" w:customStyle="1" w:styleId="59ABC9C2F6094ADD9078A68118E51C05">
    <w:name w:val="59ABC9C2F6094ADD9078A68118E51C05"/>
  </w:style>
  <w:style w:type="paragraph" w:customStyle="1" w:styleId="288A1A5535C14CB0A21BB3EC9C5F04BE">
    <w:name w:val="288A1A5535C14CB0A21BB3EC9C5F04BE"/>
    <w:rsid w:val="00CE1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CCA6-5675-4C17-B1AE-D401B92C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4</TotalTime>
  <Pages>1</Pages>
  <Words>928</Words>
  <Characters>5105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lxp</dc:creator>
  <cp:lastModifiedBy>Ann Allemant</cp:lastModifiedBy>
  <cp:revision>5</cp:revision>
  <cp:lastPrinted>2018-11-27T10:26:00Z</cp:lastPrinted>
  <dcterms:created xsi:type="dcterms:W3CDTF">2018-11-23T07:51:00Z</dcterms:created>
  <dcterms:modified xsi:type="dcterms:W3CDTF">2018-11-27T10:26:00Z</dcterms:modified>
</cp:coreProperties>
</file>