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34C999" w14:textId="77777777" w:rsidR="00273252" w:rsidRDefault="00273252">
      <w:pPr>
        <w:widowControl w:val="0"/>
        <w:pBdr>
          <w:top w:val="nil"/>
          <w:left w:val="nil"/>
          <w:bottom w:val="nil"/>
          <w:right w:val="nil"/>
          <w:between w:val="nil"/>
        </w:pBdr>
        <w:spacing w:line="240" w:lineRule="auto"/>
        <w:rPr>
          <w:sz w:val="12"/>
          <w:szCs w:val="12"/>
        </w:rPr>
      </w:pPr>
      <w:bookmarkStart w:id="0" w:name="_GoBack"/>
      <w:bookmarkEnd w:id="0"/>
    </w:p>
    <w:tbl>
      <w:tblPr>
        <w:tblStyle w:val="a"/>
        <w:tblW w:w="8865" w:type="dxa"/>
        <w:tblInd w:w="115" w:type="dxa"/>
        <w:tblLayout w:type="fixed"/>
        <w:tblLook w:val="0600" w:firstRow="0" w:lastRow="0" w:firstColumn="0" w:lastColumn="0" w:noHBand="1" w:noVBand="1"/>
      </w:tblPr>
      <w:tblGrid>
        <w:gridCol w:w="2475"/>
        <w:gridCol w:w="6390"/>
      </w:tblGrid>
      <w:tr w:rsidR="00273252" w14:paraId="53592481" w14:textId="77777777">
        <w:tc>
          <w:tcPr>
            <w:tcW w:w="2475" w:type="dxa"/>
            <w:vMerge w:val="restart"/>
            <w:shd w:val="clear" w:color="auto" w:fill="auto"/>
            <w:tcMar>
              <w:top w:w="60" w:type="dxa"/>
              <w:left w:w="100" w:type="dxa"/>
              <w:bottom w:w="60" w:type="dxa"/>
              <w:right w:w="100" w:type="dxa"/>
            </w:tcMar>
          </w:tcPr>
          <w:p w14:paraId="1726C60E" w14:textId="77777777" w:rsidR="00273252" w:rsidRPr="002B230E" w:rsidRDefault="005C38C7">
            <w:pPr>
              <w:widowControl w:val="0"/>
              <w:pBdr>
                <w:top w:val="nil"/>
                <w:left w:val="nil"/>
                <w:bottom w:val="nil"/>
                <w:right w:val="nil"/>
                <w:between w:val="nil"/>
              </w:pBdr>
              <w:spacing w:line="240" w:lineRule="auto"/>
              <w:rPr>
                <w:color w:val="666666"/>
                <w:lang w:val="nl-BE"/>
              </w:rPr>
            </w:pPr>
            <w:proofErr w:type="spellStart"/>
            <w:r w:rsidRPr="002B230E">
              <w:rPr>
                <w:color w:val="666666"/>
                <w:lang w:val="nl-BE"/>
              </w:rPr>
              <w:t>Zenithgebouw</w:t>
            </w:r>
            <w:proofErr w:type="spellEnd"/>
          </w:p>
          <w:p w14:paraId="4588C7E6" w14:textId="77777777" w:rsidR="00273252" w:rsidRPr="002B230E" w:rsidRDefault="005C38C7">
            <w:pPr>
              <w:widowControl w:val="0"/>
              <w:pBdr>
                <w:top w:val="nil"/>
                <w:left w:val="nil"/>
                <w:bottom w:val="nil"/>
                <w:right w:val="nil"/>
                <w:between w:val="nil"/>
              </w:pBdr>
              <w:spacing w:line="240" w:lineRule="auto"/>
              <w:rPr>
                <w:color w:val="666666"/>
                <w:lang w:val="nl-BE"/>
              </w:rPr>
            </w:pPr>
            <w:r w:rsidRPr="002B230E">
              <w:rPr>
                <w:color w:val="666666"/>
                <w:lang w:val="nl-BE"/>
              </w:rPr>
              <w:t>Koning Albert II-laan 37</w:t>
            </w:r>
            <w:r w:rsidRPr="002B230E">
              <w:rPr>
                <w:color w:val="666666"/>
                <w:lang w:val="nl-BE"/>
              </w:rPr>
              <w:br/>
              <w:t>1030 BRUSSEL</w:t>
            </w:r>
          </w:p>
          <w:p w14:paraId="2B69A0F7" w14:textId="77777777" w:rsidR="00273252" w:rsidRDefault="005C38C7">
            <w:pPr>
              <w:widowControl w:val="0"/>
              <w:pBdr>
                <w:top w:val="nil"/>
                <w:left w:val="nil"/>
                <w:bottom w:val="nil"/>
                <w:right w:val="nil"/>
                <w:between w:val="nil"/>
              </w:pBdr>
              <w:spacing w:line="240" w:lineRule="auto"/>
            </w:pPr>
            <w:r>
              <w:t>www.vaph.be</w:t>
            </w:r>
          </w:p>
        </w:tc>
        <w:tc>
          <w:tcPr>
            <w:tcW w:w="6390" w:type="dxa"/>
            <w:shd w:val="clear" w:color="auto" w:fill="auto"/>
            <w:tcMar>
              <w:top w:w="60" w:type="dxa"/>
              <w:left w:w="100" w:type="dxa"/>
              <w:bottom w:w="60" w:type="dxa"/>
              <w:right w:w="100" w:type="dxa"/>
            </w:tcMar>
          </w:tcPr>
          <w:p w14:paraId="0E50F87A" w14:textId="2FC58CDC" w:rsidR="00273252" w:rsidRDefault="00970BD5">
            <w:pPr>
              <w:widowControl w:val="0"/>
              <w:pBdr>
                <w:top w:val="nil"/>
                <w:left w:val="nil"/>
                <w:bottom w:val="nil"/>
                <w:right w:val="nil"/>
                <w:between w:val="nil"/>
              </w:pBdr>
              <w:jc w:val="right"/>
              <w:rPr>
                <w:b/>
                <w:sz w:val="36"/>
                <w:szCs w:val="36"/>
              </w:rPr>
            </w:pPr>
            <w:r>
              <w:rPr>
                <w:b/>
                <w:sz w:val="36"/>
                <w:szCs w:val="36"/>
              </w:rPr>
              <w:t>INFONOTA</w:t>
            </w:r>
          </w:p>
        </w:tc>
      </w:tr>
      <w:tr w:rsidR="00273252" w14:paraId="4EFFDBCD" w14:textId="77777777">
        <w:tc>
          <w:tcPr>
            <w:tcW w:w="2475" w:type="dxa"/>
            <w:vMerge/>
            <w:shd w:val="clear" w:color="auto" w:fill="auto"/>
            <w:tcMar>
              <w:top w:w="100" w:type="dxa"/>
              <w:left w:w="100" w:type="dxa"/>
              <w:bottom w:w="100" w:type="dxa"/>
              <w:right w:w="100" w:type="dxa"/>
            </w:tcMar>
          </w:tcPr>
          <w:p w14:paraId="1DDA4DF2" w14:textId="77777777" w:rsidR="00273252" w:rsidRDefault="00273252">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14:paraId="5AECF1AA" w14:textId="77777777" w:rsidR="00273252" w:rsidRDefault="005C38C7">
            <w:pPr>
              <w:widowControl w:val="0"/>
              <w:pBdr>
                <w:top w:val="nil"/>
                <w:left w:val="nil"/>
                <w:bottom w:val="nil"/>
                <w:right w:val="nil"/>
                <w:between w:val="nil"/>
              </w:pBdr>
              <w:jc w:val="right"/>
              <w:rPr>
                <w:b/>
                <w:sz w:val="26"/>
                <w:szCs w:val="26"/>
              </w:rPr>
            </w:pPr>
            <w:proofErr w:type="spellStart"/>
            <w:r>
              <w:rPr>
                <w:b/>
                <w:sz w:val="26"/>
                <w:szCs w:val="26"/>
              </w:rPr>
              <w:t>Vergunde</w:t>
            </w:r>
            <w:proofErr w:type="spellEnd"/>
            <w:r>
              <w:rPr>
                <w:b/>
                <w:sz w:val="26"/>
                <w:szCs w:val="26"/>
              </w:rPr>
              <w:t xml:space="preserve"> </w:t>
            </w:r>
            <w:proofErr w:type="spellStart"/>
            <w:r>
              <w:rPr>
                <w:b/>
                <w:sz w:val="26"/>
                <w:szCs w:val="26"/>
              </w:rPr>
              <w:t>zorgaanbieders</w:t>
            </w:r>
            <w:proofErr w:type="spellEnd"/>
          </w:p>
        </w:tc>
      </w:tr>
      <w:tr w:rsidR="00273252" w14:paraId="3FAB199D" w14:textId="77777777">
        <w:tc>
          <w:tcPr>
            <w:tcW w:w="2475" w:type="dxa"/>
            <w:vMerge/>
            <w:shd w:val="clear" w:color="auto" w:fill="auto"/>
            <w:tcMar>
              <w:top w:w="100" w:type="dxa"/>
              <w:left w:w="100" w:type="dxa"/>
              <w:bottom w:w="100" w:type="dxa"/>
              <w:right w:w="100" w:type="dxa"/>
            </w:tcMar>
          </w:tcPr>
          <w:p w14:paraId="48A02788" w14:textId="77777777" w:rsidR="00273252" w:rsidRDefault="00273252">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14:paraId="43196100" w14:textId="77777777" w:rsidR="00273252" w:rsidRDefault="005C38C7">
            <w:pPr>
              <w:widowControl w:val="0"/>
              <w:pBdr>
                <w:top w:val="nil"/>
                <w:left w:val="nil"/>
                <w:bottom w:val="nil"/>
                <w:right w:val="nil"/>
                <w:between w:val="nil"/>
              </w:pBdr>
              <w:jc w:val="right"/>
              <w:rPr>
                <w:color w:val="666666"/>
              </w:rPr>
            </w:pPr>
            <w:r>
              <w:rPr>
                <w:color w:val="666666"/>
              </w:rPr>
              <w:t>27/11/2019</w:t>
            </w:r>
          </w:p>
        </w:tc>
      </w:tr>
      <w:tr w:rsidR="00273252" w14:paraId="1F993D4E" w14:textId="77777777">
        <w:tc>
          <w:tcPr>
            <w:tcW w:w="2475" w:type="dxa"/>
            <w:vMerge/>
            <w:shd w:val="clear" w:color="auto" w:fill="auto"/>
            <w:tcMar>
              <w:top w:w="100" w:type="dxa"/>
              <w:left w:w="100" w:type="dxa"/>
              <w:bottom w:w="100" w:type="dxa"/>
              <w:right w:w="100" w:type="dxa"/>
            </w:tcMar>
          </w:tcPr>
          <w:p w14:paraId="220262FF" w14:textId="77777777" w:rsidR="00273252" w:rsidRDefault="00273252">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14:paraId="509C84A3" w14:textId="48B9A764" w:rsidR="00273252" w:rsidRDefault="00970BD5">
            <w:pPr>
              <w:widowControl w:val="0"/>
              <w:pBdr>
                <w:top w:val="nil"/>
                <w:left w:val="nil"/>
                <w:bottom w:val="nil"/>
                <w:right w:val="nil"/>
                <w:between w:val="nil"/>
              </w:pBdr>
              <w:jc w:val="right"/>
              <w:rPr>
                <w:color w:val="666666"/>
              </w:rPr>
            </w:pPr>
            <w:r>
              <w:rPr>
                <w:color w:val="666666"/>
              </w:rPr>
              <w:t>INF/19/71</w:t>
            </w:r>
          </w:p>
        </w:tc>
      </w:tr>
      <w:tr w:rsidR="00273252" w14:paraId="61C9B8F4" w14:textId="77777777">
        <w:tc>
          <w:tcPr>
            <w:tcW w:w="2475" w:type="dxa"/>
            <w:shd w:val="clear" w:color="auto" w:fill="auto"/>
            <w:tcMar>
              <w:top w:w="20" w:type="dxa"/>
              <w:left w:w="100" w:type="dxa"/>
              <w:bottom w:w="20" w:type="dxa"/>
              <w:right w:w="100" w:type="dxa"/>
            </w:tcMar>
          </w:tcPr>
          <w:p w14:paraId="54D195E1" w14:textId="77777777" w:rsidR="00273252" w:rsidRDefault="005C38C7">
            <w:pPr>
              <w:widowControl w:val="0"/>
              <w:pBdr>
                <w:top w:val="nil"/>
                <w:left w:val="nil"/>
                <w:bottom w:val="nil"/>
                <w:right w:val="nil"/>
                <w:between w:val="nil"/>
              </w:pBdr>
              <w:jc w:val="right"/>
              <w:rPr>
                <w:b/>
                <w:sz w:val="20"/>
                <w:szCs w:val="20"/>
              </w:rPr>
            </w:pPr>
            <w:proofErr w:type="spellStart"/>
            <w:r>
              <w:rPr>
                <w:b/>
                <w:sz w:val="20"/>
                <w:szCs w:val="20"/>
              </w:rPr>
              <w:t>Contactpersoon</w:t>
            </w:r>
            <w:proofErr w:type="spellEnd"/>
          </w:p>
        </w:tc>
        <w:tc>
          <w:tcPr>
            <w:tcW w:w="6390" w:type="dxa"/>
            <w:shd w:val="clear" w:color="auto" w:fill="auto"/>
            <w:tcMar>
              <w:top w:w="20" w:type="dxa"/>
              <w:left w:w="100" w:type="dxa"/>
              <w:bottom w:w="20" w:type="dxa"/>
              <w:right w:w="100" w:type="dxa"/>
            </w:tcMar>
            <w:vAlign w:val="bottom"/>
          </w:tcPr>
          <w:p w14:paraId="076FA997" w14:textId="77777777" w:rsidR="00273252" w:rsidRDefault="005C38C7">
            <w:pPr>
              <w:widowControl w:val="0"/>
              <w:pBdr>
                <w:top w:val="nil"/>
                <w:left w:val="nil"/>
                <w:bottom w:val="nil"/>
                <w:right w:val="nil"/>
                <w:between w:val="nil"/>
              </w:pBdr>
            </w:pPr>
            <w:r>
              <w:t xml:space="preserve">Team </w:t>
            </w:r>
            <w:proofErr w:type="spellStart"/>
            <w:r>
              <w:t>beleid</w:t>
            </w:r>
            <w:proofErr w:type="spellEnd"/>
          </w:p>
        </w:tc>
      </w:tr>
      <w:tr w:rsidR="00273252" w14:paraId="0479B140" w14:textId="77777777">
        <w:tc>
          <w:tcPr>
            <w:tcW w:w="2475" w:type="dxa"/>
            <w:shd w:val="clear" w:color="auto" w:fill="auto"/>
            <w:tcMar>
              <w:top w:w="20" w:type="dxa"/>
              <w:left w:w="100" w:type="dxa"/>
              <w:bottom w:w="20" w:type="dxa"/>
              <w:right w:w="100" w:type="dxa"/>
            </w:tcMar>
          </w:tcPr>
          <w:p w14:paraId="12C96433" w14:textId="77777777" w:rsidR="00273252" w:rsidRDefault="005C38C7">
            <w:pPr>
              <w:widowControl w:val="0"/>
              <w:pBdr>
                <w:top w:val="nil"/>
                <w:left w:val="nil"/>
                <w:bottom w:val="nil"/>
                <w:right w:val="nil"/>
                <w:between w:val="nil"/>
              </w:pBdr>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14:paraId="5315C028" w14:textId="77777777" w:rsidR="00273252" w:rsidRDefault="00BB70C2">
            <w:pPr>
              <w:widowControl w:val="0"/>
              <w:pBdr>
                <w:top w:val="nil"/>
                <w:left w:val="nil"/>
                <w:bottom w:val="nil"/>
                <w:right w:val="nil"/>
                <w:between w:val="nil"/>
              </w:pBdr>
              <w:rPr>
                <w:sz w:val="20"/>
                <w:szCs w:val="20"/>
              </w:rPr>
            </w:pPr>
            <w:hyperlink r:id="rId9" w:history="1">
              <w:r w:rsidR="00931646" w:rsidRPr="00E44403">
                <w:rPr>
                  <w:rStyle w:val="Hyperlink"/>
                  <w:sz w:val="20"/>
                  <w:szCs w:val="20"/>
                </w:rPr>
                <w:t>beleid@vaph.be</w:t>
              </w:r>
            </w:hyperlink>
          </w:p>
        </w:tc>
      </w:tr>
      <w:tr w:rsidR="00273252" w14:paraId="3CDC70C6" w14:textId="77777777">
        <w:tc>
          <w:tcPr>
            <w:tcW w:w="2475" w:type="dxa"/>
            <w:shd w:val="clear" w:color="auto" w:fill="auto"/>
            <w:tcMar>
              <w:top w:w="20" w:type="dxa"/>
              <w:left w:w="100" w:type="dxa"/>
              <w:bottom w:w="20" w:type="dxa"/>
              <w:right w:w="100" w:type="dxa"/>
            </w:tcMar>
          </w:tcPr>
          <w:p w14:paraId="4B919B3F" w14:textId="77777777" w:rsidR="00273252" w:rsidRDefault="005C38C7">
            <w:pPr>
              <w:widowControl w:val="0"/>
              <w:pBdr>
                <w:top w:val="nil"/>
                <w:left w:val="nil"/>
                <w:bottom w:val="nil"/>
                <w:right w:val="nil"/>
                <w:between w:val="nil"/>
              </w:pBdr>
              <w:jc w:val="right"/>
              <w:rPr>
                <w:b/>
                <w:sz w:val="20"/>
                <w:szCs w:val="20"/>
              </w:rPr>
            </w:pPr>
            <w:proofErr w:type="spellStart"/>
            <w:r>
              <w:rPr>
                <w:b/>
                <w:sz w:val="20"/>
                <w:szCs w:val="20"/>
              </w:rPr>
              <w:t>Telefoon</w:t>
            </w:r>
            <w:proofErr w:type="spellEnd"/>
          </w:p>
        </w:tc>
        <w:tc>
          <w:tcPr>
            <w:tcW w:w="6390" w:type="dxa"/>
            <w:shd w:val="clear" w:color="auto" w:fill="auto"/>
            <w:tcMar>
              <w:top w:w="20" w:type="dxa"/>
              <w:left w:w="100" w:type="dxa"/>
              <w:bottom w:w="20" w:type="dxa"/>
              <w:right w:w="100" w:type="dxa"/>
            </w:tcMar>
            <w:vAlign w:val="bottom"/>
          </w:tcPr>
          <w:p w14:paraId="2BFDA62A" w14:textId="77777777" w:rsidR="00273252" w:rsidRDefault="005C38C7">
            <w:pPr>
              <w:widowControl w:val="0"/>
              <w:pBdr>
                <w:top w:val="nil"/>
                <w:left w:val="nil"/>
                <w:bottom w:val="nil"/>
                <w:right w:val="nil"/>
                <w:between w:val="nil"/>
              </w:pBdr>
              <w:rPr>
                <w:sz w:val="20"/>
                <w:szCs w:val="20"/>
              </w:rPr>
            </w:pPr>
            <w:r>
              <w:rPr>
                <w:rFonts w:ascii="Arial" w:eastAsia="Arial" w:hAnsi="Arial" w:cs="Arial"/>
                <w:color w:val="3C3D3C"/>
                <w:sz w:val="20"/>
                <w:szCs w:val="20"/>
                <w:highlight w:val="white"/>
              </w:rPr>
              <w:t>02 249 33 34</w:t>
            </w:r>
          </w:p>
        </w:tc>
      </w:tr>
      <w:tr w:rsidR="00273252" w14:paraId="63C44CF3" w14:textId="77777777">
        <w:tc>
          <w:tcPr>
            <w:tcW w:w="2475" w:type="dxa"/>
            <w:shd w:val="clear" w:color="auto" w:fill="auto"/>
            <w:tcMar>
              <w:top w:w="20" w:type="dxa"/>
              <w:left w:w="100" w:type="dxa"/>
              <w:bottom w:w="20" w:type="dxa"/>
              <w:right w:w="100" w:type="dxa"/>
            </w:tcMar>
          </w:tcPr>
          <w:p w14:paraId="6FDF3BC3" w14:textId="77777777" w:rsidR="00273252" w:rsidRDefault="005C38C7">
            <w:pPr>
              <w:widowControl w:val="0"/>
              <w:pBdr>
                <w:top w:val="nil"/>
                <w:left w:val="nil"/>
                <w:bottom w:val="nil"/>
                <w:right w:val="nil"/>
                <w:between w:val="nil"/>
              </w:pBdr>
              <w:jc w:val="right"/>
              <w:rPr>
                <w:b/>
                <w:sz w:val="20"/>
                <w:szCs w:val="20"/>
              </w:rPr>
            </w:pPr>
            <w:proofErr w:type="spellStart"/>
            <w:r>
              <w:rPr>
                <w:b/>
                <w:sz w:val="20"/>
                <w:szCs w:val="20"/>
              </w:rPr>
              <w:t>Bijlagen</w:t>
            </w:r>
            <w:proofErr w:type="spellEnd"/>
          </w:p>
        </w:tc>
        <w:tc>
          <w:tcPr>
            <w:tcW w:w="6390" w:type="dxa"/>
            <w:shd w:val="clear" w:color="auto" w:fill="auto"/>
            <w:tcMar>
              <w:top w:w="20" w:type="dxa"/>
              <w:left w:w="100" w:type="dxa"/>
              <w:bottom w:w="20" w:type="dxa"/>
              <w:right w:w="100" w:type="dxa"/>
            </w:tcMar>
            <w:vAlign w:val="bottom"/>
          </w:tcPr>
          <w:p w14:paraId="62048DE4" w14:textId="5B02C946" w:rsidR="00273252" w:rsidRDefault="00970BD5">
            <w:pPr>
              <w:widowControl w:val="0"/>
              <w:pBdr>
                <w:top w:val="nil"/>
                <w:left w:val="nil"/>
                <w:bottom w:val="nil"/>
                <w:right w:val="nil"/>
                <w:between w:val="nil"/>
              </w:pBdr>
              <w:rPr>
                <w:sz w:val="20"/>
                <w:szCs w:val="20"/>
              </w:rPr>
            </w:pPr>
            <w:r>
              <w:rPr>
                <w:sz w:val="20"/>
                <w:szCs w:val="20"/>
              </w:rPr>
              <w:t>/</w:t>
            </w:r>
          </w:p>
        </w:tc>
      </w:tr>
      <w:tr w:rsidR="00273252" w14:paraId="462198D5" w14:textId="77777777">
        <w:tc>
          <w:tcPr>
            <w:tcW w:w="8865" w:type="dxa"/>
            <w:gridSpan w:val="2"/>
            <w:shd w:val="clear" w:color="auto" w:fill="auto"/>
            <w:tcMar>
              <w:top w:w="60" w:type="dxa"/>
              <w:left w:w="100" w:type="dxa"/>
              <w:bottom w:w="60" w:type="dxa"/>
              <w:right w:w="100" w:type="dxa"/>
            </w:tcMar>
          </w:tcPr>
          <w:p w14:paraId="7CC90068" w14:textId="77777777" w:rsidR="00273252" w:rsidRDefault="005C38C7">
            <w:pPr>
              <w:widowControl w:val="0"/>
              <w:pBdr>
                <w:top w:val="nil"/>
                <w:left w:val="nil"/>
                <w:bottom w:val="nil"/>
                <w:right w:val="nil"/>
                <w:between w:val="nil"/>
              </w:pBdr>
              <w:jc w:val="right"/>
              <w:rPr>
                <w:sz w:val="20"/>
                <w:szCs w:val="20"/>
              </w:rPr>
            </w:pPr>
            <w:r>
              <w:rPr>
                <w:sz w:val="20"/>
                <w:szCs w:val="20"/>
              </w:rPr>
              <w:t xml:space="preserve"> </w:t>
            </w:r>
          </w:p>
        </w:tc>
      </w:tr>
      <w:tr w:rsidR="00273252" w:rsidRPr="00970BD5" w14:paraId="6368F372" w14:textId="77777777">
        <w:tc>
          <w:tcPr>
            <w:tcW w:w="8865" w:type="dxa"/>
            <w:gridSpan w:val="2"/>
            <w:shd w:val="clear" w:color="auto" w:fill="auto"/>
            <w:tcMar>
              <w:top w:w="60" w:type="dxa"/>
              <w:left w:w="100" w:type="dxa"/>
              <w:bottom w:w="60" w:type="dxa"/>
              <w:right w:w="100" w:type="dxa"/>
            </w:tcMar>
          </w:tcPr>
          <w:p w14:paraId="11F0F162" w14:textId="77777777" w:rsidR="00273252" w:rsidRPr="007E08CF" w:rsidRDefault="005C38C7">
            <w:pPr>
              <w:widowControl w:val="0"/>
              <w:pBdr>
                <w:top w:val="nil"/>
                <w:left w:val="nil"/>
                <w:bottom w:val="nil"/>
                <w:right w:val="nil"/>
                <w:between w:val="nil"/>
              </w:pBdr>
              <w:rPr>
                <w:sz w:val="34"/>
                <w:szCs w:val="34"/>
                <w:lang w:val="nl-BE"/>
              </w:rPr>
            </w:pPr>
            <w:r w:rsidRPr="007E08CF">
              <w:rPr>
                <w:sz w:val="34"/>
                <w:szCs w:val="34"/>
                <w:lang w:val="nl-BE"/>
              </w:rPr>
              <w:t>Impact van correctiefase 2 voor de vergunde zorgaanbieders</w:t>
            </w:r>
          </w:p>
        </w:tc>
      </w:tr>
      <w:tr w:rsidR="00273252" w:rsidRPr="00970BD5" w14:paraId="41C46DA8" w14:textId="77777777">
        <w:tc>
          <w:tcPr>
            <w:tcW w:w="8865" w:type="dxa"/>
            <w:gridSpan w:val="2"/>
            <w:shd w:val="clear" w:color="auto" w:fill="auto"/>
            <w:tcMar>
              <w:top w:w="60" w:type="dxa"/>
              <w:left w:w="100" w:type="dxa"/>
              <w:bottom w:w="60" w:type="dxa"/>
              <w:right w:w="100" w:type="dxa"/>
            </w:tcMar>
          </w:tcPr>
          <w:p w14:paraId="4C505B1E" w14:textId="77777777" w:rsidR="00273252" w:rsidRPr="007E08CF" w:rsidRDefault="005C38C7">
            <w:pPr>
              <w:widowControl w:val="0"/>
              <w:pBdr>
                <w:top w:val="nil"/>
                <w:left w:val="nil"/>
                <w:bottom w:val="nil"/>
                <w:right w:val="nil"/>
                <w:between w:val="nil"/>
              </w:pBdr>
              <w:jc w:val="right"/>
              <w:rPr>
                <w:sz w:val="20"/>
                <w:szCs w:val="20"/>
                <w:lang w:val="nl-BE"/>
              </w:rPr>
            </w:pPr>
            <w:r w:rsidRPr="007E08CF">
              <w:rPr>
                <w:sz w:val="20"/>
                <w:szCs w:val="20"/>
                <w:lang w:val="nl-BE"/>
              </w:rPr>
              <w:t xml:space="preserve"> </w:t>
            </w:r>
          </w:p>
        </w:tc>
      </w:tr>
    </w:tbl>
    <w:p w14:paraId="27AFA51E" w14:textId="77777777" w:rsidR="00273252" w:rsidRPr="007E08CF" w:rsidRDefault="005C38C7">
      <w:pPr>
        <w:widowControl w:val="0"/>
        <w:pBdr>
          <w:top w:val="nil"/>
          <w:left w:val="nil"/>
          <w:bottom w:val="nil"/>
          <w:right w:val="nil"/>
          <w:between w:val="nil"/>
        </w:pBdr>
        <w:spacing w:line="360" w:lineRule="auto"/>
        <w:rPr>
          <w:lang w:val="nl-BE"/>
        </w:rPr>
      </w:pPr>
      <w:r w:rsidRPr="007E08CF">
        <w:rPr>
          <w:lang w:val="nl-BE"/>
        </w:rPr>
        <w:t>Op 1 januari 2020 start correctiefase 2. Hierbij worden de individuele persoonsvolgende budgetten van voormalige gebruikers van zorg in natura aangepast rekening houdend met de zorgzwaarte en het zorggebruik (referentie 31.12.2016) om te kunnen groeien naar gelijkwaardige budgetten voor gelijk(w)aardige profielen.</w:t>
      </w:r>
    </w:p>
    <w:p w14:paraId="185E36A2" w14:textId="77777777" w:rsidR="00273252" w:rsidRPr="007E08CF" w:rsidRDefault="00273252">
      <w:pPr>
        <w:widowControl w:val="0"/>
        <w:pBdr>
          <w:top w:val="nil"/>
          <w:left w:val="nil"/>
          <w:bottom w:val="nil"/>
          <w:right w:val="nil"/>
          <w:between w:val="nil"/>
        </w:pBdr>
        <w:spacing w:line="360" w:lineRule="auto"/>
        <w:rPr>
          <w:lang w:val="nl-BE"/>
        </w:rPr>
      </w:pPr>
    </w:p>
    <w:p w14:paraId="7162AA4F" w14:textId="10F2AE98" w:rsidR="00273252" w:rsidRPr="007E08CF" w:rsidRDefault="005C38C7">
      <w:pPr>
        <w:widowControl w:val="0"/>
        <w:pBdr>
          <w:top w:val="nil"/>
          <w:left w:val="nil"/>
          <w:bottom w:val="nil"/>
          <w:right w:val="nil"/>
          <w:between w:val="nil"/>
        </w:pBdr>
        <w:spacing w:line="360" w:lineRule="auto"/>
        <w:rPr>
          <w:lang w:val="nl-BE"/>
        </w:rPr>
      </w:pPr>
      <w:r w:rsidRPr="007E08CF">
        <w:rPr>
          <w:lang w:val="nl-BE"/>
        </w:rPr>
        <w:t xml:space="preserve">Het aanpassen van de budgetten van de individuele gebruikers gedurende 4, 5 of 8 jaar zal ook belangrijke consequenties hebben voor de middelen waarover </w:t>
      </w:r>
      <w:r w:rsidR="00931646" w:rsidRPr="007E08CF">
        <w:rPr>
          <w:lang w:val="nl-BE"/>
        </w:rPr>
        <w:t xml:space="preserve"> </w:t>
      </w:r>
      <w:r w:rsidR="00931646">
        <w:rPr>
          <w:lang w:val="nl-BE"/>
        </w:rPr>
        <w:t xml:space="preserve">de </w:t>
      </w:r>
      <w:proofErr w:type="spellStart"/>
      <w:r w:rsidRPr="007E08CF">
        <w:rPr>
          <w:lang w:val="nl-BE"/>
        </w:rPr>
        <w:t>VZA</w:t>
      </w:r>
      <w:r w:rsidR="00931646">
        <w:rPr>
          <w:lang w:val="nl-BE"/>
        </w:rPr>
        <w:t>’s</w:t>
      </w:r>
      <w:proofErr w:type="spellEnd"/>
      <w:r w:rsidR="00931646">
        <w:rPr>
          <w:lang w:val="nl-BE"/>
        </w:rPr>
        <w:t xml:space="preserve"> </w:t>
      </w:r>
      <w:r w:rsidRPr="007E08CF">
        <w:rPr>
          <w:lang w:val="nl-BE"/>
        </w:rPr>
        <w:t xml:space="preserve">voortaan zullen kunnen beschikken. In samenwerking met de sector werkt </w:t>
      </w:r>
      <w:r w:rsidR="00ED1118">
        <w:rPr>
          <w:lang w:val="nl-BE"/>
        </w:rPr>
        <w:t xml:space="preserve">het VAPH </w:t>
      </w:r>
      <w:r w:rsidRPr="007E08CF">
        <w:rPr>
          <w:lang w:val="nl-BE"/>
        </w:rPr>
        <w:t xml:space="preserve">daarom aan een pakket van begeleidende maatregelen (o.m. coaching, zie verder) en wordt nu een overzicht bezorgd van de consequenties op cijferniveau voor elke VZA. </w:t>
      </w:r>
    </w:p>
    <w:p w14:paraId="712C8126" w14:textId="77777777" w:rsidR="00273252" w:rsidRPr="007E08CF" w:rsidRDefault="00273252">
      <w:pPr>
        <w:widowControl w:val="0"/>
        <w:pBdr>
          <w:top w:val="nil"/>
          <w:left w:val="nil"/>
          <w:bottom w:val="nil"/>
          <w:right w:val="nil"/>
          <w:between w:val="nil"/>
        </w:pBdr>
        <w:spacing w:line="360" w:lineRule="auto"/>
        <w:rPr>
          <w:lang w:val="nl-BE"/>
        </w:rPr>
      </w:pPr>
    </w:p>
    <w:p w14:paraId="536370BC" w14:textId="78AE64F2" w:rsidR="00273252" w:rsidRDefault="005C38C7">
      <w:pPr>
        <w:widowControl w:val="0"/>
        <w:pBdr>
          <w:top w:val="nil"/>
          <w:left w:val="nil"/>
          <w:bottom w:val="nil"/>
          <w:right w:val="nil"/>
          <w:between w:val="nil"/>
        </w:pBdr>
        <w:spacing w:line="360" w:lineRule="auto"/>
        <w:rPr>
          <w:lang w:val="nl-BE"/>
        </w:rPr>
      </w:pPr>
      <w:r w:rsidRPr="007E08CF">
        <w:rPr>
          <w:lang w:val="nl-BE"/>
        </w:rPr>
        <w:t xml:space="preserve">Om te bepalen hoe groot de consequenties van het doorvoeren van CF2 voor de </w:t>
      </w:r>
      <w:proofErr w:type="spellStart"/>
      <w:r w:rsidRPr="007E08CF">
        <w:rPr>
          <w:lang w:val="nl-BE"/>
        </w:rPr>
        <w:t>VZA’s</w:t>
      </w:r>
      <w:proofErr w:type="spellEnd"/>
      <w:r w:rsidRPr="007E08CF">
        <w:rPr>
          <w:lang w:val="nl-BE"/>
        </w:rPr>
        <w:t xml:space="preserve"> zullen zijn, kunnen we vertrekken van a) de </w:t>
      </w:r>
      <w:proofErr w:type="spellStart"/>
      <w:r w:rsidRPr="007E08CF">
        <w:rPr>
          <w:lang w:val="nl-BE"/>
        </w:rPr>
        <w:t>PVB’s</w:t>
      </w:r>
      <w:proofErr w:type="spellEnd"/>
      <w:r w:rsidRPr="007E08CF">
        <w:rPr>
          <w:lang w:val="nl-BE"/>
        </w:rPr>
        <w:t xml:space="preserve"> van de budgethouders die </w:t>
      </w:r>
      <w:r w:rsidR="0022704C">
        <w:rPr>
          <w:lang w:val="nl-BE"/>
        </w:rPr>
        <w:t xml:space="preserve">ondersteund worden door </w:t>
      </w:r>
      <w:r w:rsidRPr="007E08CF">
        <w:rPr>
          <w:lang w:val="nl-BE"/>
        </w:rPr>
        <w:t>de vergunde zorgaanbieders en b) van de</w:t>
      </w:r>
      <w:r w:rsidR="0022704C">
        <w:rPr>
          <w:lang w:val="nl-BE"/>
        </w:rPr>
        <w:t xml:space="preserve"> individuele</w:t>
      </w:r>
      <w:r w:rsidRPr="007E08CF">
        <w:rPr>
          <w:lang w:val="nl-BE"/>
        </w:rPr>
        <w:t xml:space="preserve"> overeenkomsten die de budgethouders hebben afgesloten met de vergunde zorgaanbieders. </w:t>
      </w:r>
    </w:p>
    <w:p w14:paraId="4A91CF95" w14:textId="77777777" w:rsidR="00D91FD5" w:rsidRDefault="00D91FD5">
      <w:pPr>
        <w:widowControl w:val="0"/>
        <w:pBdr>
          <w:top w:val="nil"/>
          <w:left w:val="nil"/>
          <w:bottom w:val="nil"/>
          <w:right w:val="nil"/>
          <w:between w:val="nil"/>
        </w:pBdr>
        <w:spacing w:line="360" w:lineRule="auto"/>
        <w:rPr>
          <w:lang w:val="nl-BE"/>
        </w:rPr>
      </w:pPr>
    </w:p>
    <w:p w14:paraId="04F6137E" w14:textId="4B07B2AE" w:rsidR="00273252" w:rsidRDefault="005C38C7">
      <w:pPr>
        <w:widowControl w:val="0"/>
        <w:numPr>
          <w:ilvl w:val="0"/>
          <w:numId w:val="1"/>
        </w:numPr>
        <w:pBdr>
          <w:top w:val="nil"/>
          <w:left w:val="nil"/>
          <w:bottom w:val="nil"/>
          <w:right w:val="nil"/>
          <w:between w:val="nil"/>
        </w:pBdr>
        <w:spacing w:line="360" w:lineRule="auto"/>
        <w:rPr>
          <w:lang w:val="nl-BE"/>
        </w:rPr>
      </w:pPr>
      <w:r w:rsidRPr="007E08CF">
        <w:rPr>
          <w:lang w:val="nl-BE"/>
        </w:rPr>
        <w:t xml:space="preserve">Impact van correctiefase 2 op de </w:t>
      </w:r>
      <w:proofErr w:type="spellStart"/>
      <w:r w:rsidRPr="007E08CF">
        <w:rPr>
          <w:lang w:val="nl-BE"/>
        </w:rPr>
        <w:t>VZA’s</w:t>
      </w:r>
      <w:proofErr w:type="spellEnd"/>
      <w:r w:rsidRPr="007E08CF">
        <w:rPr>
          <w:lang w:val="nl-BE"/>
        </w:rPr>
        <w:t xml:space="preserve"> op basis van de </w:t>
      </w:r>
      <w:proofErr w:type="spellStart"/>
      <w:r w:rsidRPr="007E08CF">
        <w:rPr>
          <w:lang w:val="nl-BE"/>
        </w:rPr>
        <w:t>PVB’s</w:t>
      </w:r>
      <w:proofErr w:type="spellEnd"/>
      <w:r w:rsidRPr="007E08CF">
        <w:rPr>
          <w:lang w:val="nl-BE"/>
        </w:rPr>
        <w:t xml:space="preserve"> van de cliënten (totaal PVB zonder rekening te houden met de feitelijke inzet bij de betrokken zorgaanbieder).</w:t>
      </w:r>
      <w:r w:rsidR="00D91FD5">
        <w:rPr>
          <w:lang w:val="nl-BE"/>
        </w:rPr>
        <w:br/>
      </w:r>
    </w:p>
    <w:p w14:paraId="4F2FF6F5" w14:textId="0A41BDFE" w:rsidR="002B230E" w:rsidRPr="007E08CF" w:rsidRDefault="002B230E" w:rsidP="002B230E">
      <w:pPr>
        <w:widowControl w:val="0"/>
        <w:pBdr>
          <w:top w:val="nil"/>
          <w:left w:val="nil"/>
          <w:bottom w:val="nil"/>
          <w:right w:val="nil"/>
          <w:between w:val="nil"/>
        </w:pBdr>
        <w:spacing w:line="360" w:lineRule="auto"/>
        <w:rPr>
          <w:lang w:val="nl-BE"/>
        </w:rPr>
      </w:pPr>
      <w:r>
        <w:rPr>
          <w:noProof/>
          <w:lang w:val="nl-BE"/>
        </w:rPr>
        <w:lastRenderedPageBreak/>
        <w:drawing>
          <wp:inline distT="0" distB="0" distL="0" distR="0" wp14:anchorId="17225F1D" wp14:editId="1CA7AAF6">
            <wp:extent cx="5398770" cy="3739515"/>
            <wp:effectExtent l="0" t="0" r="11430" b="13335"/>
            <wp:docPr id="6" name="Grafie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8281306" w14:textId="77777777" w:rsidR="00273252" w:rsidRDefault="00273252">
      <w:pPr>
        <w:widowControl w:val="0"/>
        <w:pBdr>
          <w:top w:val="nil"/>
          <w:left w:val="nil"/>
          <w:bottom w:val="nil"/>
          <w:right w:val="nil"/>
          <w:between w:val="nil"/>
        </w:pBdr>
        <w:spacing w:line="360" w:lineRule="auto"/>
        <w:rPr>
          <w:lang w:val="nl-BE"/>
        </w:rPr>
      </w:pPr>
    </w:p>
    <w:p w14:paraId="246EA3F3" w14:textId="5CA1E9C3" w:rsidR="00273252" w:rsidRDefault="005C38C7">
      <w:pPr>
        <w:widowControl w:val="0"/>
        <w:numPr>
          <w:ilvl w:val="0"/>
          <w:numId w:val="1"/>
        </w:numPr>
        <w:pBdr>
          <w:top w:val="nil"/>
          <w:left w:val="nil"/>
          <w:bottom w:val="nil"/>
          <w:right w:val="nil"/>
          <w:between w:val="nil"/>
        </w:pBdr>
        <w:spacing w:line="360" w:lineRule="auto"/>
        <w:rPr>
          <w:lang w:val="nl-BE"/>
        </w:rPr>
      </w:pPr>
      <w:r w:rsidRPr="007E08CF">
        <w:rPr>
          <w:lang w:val="nl-BE"/>
        </w:rPr>
        <w:t xml:space="preserve">Impact van correctiefase 2 op de </w:t>
      </w:r>
      <w:proofErr w:type="spellStart"/>
      <w:r w:rsidRPr="007E08CF">
        <w:rPr>
          <w:lang w:val="nl-BE"/>
        </w:rPr>
        <w:t>VZA’s</w:t>
      </w:r>
      <w:proofErr w:type="spellEnd"/>
      <w:r w:rsidRPr="007E08CF">
        <w:rPr>
          <w:lang w:val="nl-BE"/>
        </w:rPr>
        <w:t xml:space="preserve"> op basis van de </w:t>
      </w:r>
      <w:r w:rsidR="0022704C">
        <w:rPr>
          <w:lang w:val="nl-BE"/>
        </w:rPr>
        <w:t xml:space="preserve">individuele </w:t>
      </w:r>
      <w:r w:rsidRPr="007E08CF">
        <w:rPr>
          <w:lang w:val="nl-BE"/>
        </w:rPr>
        <w:t>overeenkomsten die de individuele budgethouders op 31/12/2016 hadden afgesloten met de betrokken VZA (deel van het PVB dat feitelijk wordt ingezet bij de betrokken zorgaanbieder)</w:t>
      </w:r>
      <w:r w:rsidR="00D91FD5">
        <w:rPr>
          <w:lang w:val="nl-BE"/>
        </w:rPr>
        <w:br/>
      </w:r>
    </w:p>
    <w:p w14:paraId="1DEC3B0F" w14:textId="2A02B5A5" w:rsidR="00D91FD5" w:rsidRPr="007E08CF" w:rsidRDefault="00D91FD5" w:rsidP="00D91FD5">
      <w:pPr>
        <w:widowControl w:val="0"/>
        <w:pBdr>
          <w:top w:val="nil"/>
          <w:left w:val="nil"/>
          <w:bottom w:val="nil"/>
          <w:right w:val="nil"/>
          <w:between w:val="nil"/>
        </w:pBdr>
        <w:spacing w:line="360" w:lineRule="auto"/>
        <w:rPr>
          <w:lang w:val="nl-BE"/>
        </w:rPr>
      </w:pPr>
      <w:r>
        <w:rPr>
          <w:noProof/>
          <w:lang w:val="nl-BE"/>
        </w:rPr>
        <w:drawing>
          <wp:inline distT="0" distB="0" distL="0" distR="0" wp14:anchorId="44FF53E2" wp14:editId="1241CFE2">
            <wp:extent cx="5587365" cy="3341370"/>
            <wp:effectExtent l="0" t="0" r="13335" b="1143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39461CA" w14:textId="77777777" w:rsidR="00273252" w:rsidRPr="007E08CF" w:rsidRDefault="00273252">
      <w:pPr>
        <w:widowControl w:val="0"/>
        <w:pBdr>
          <w:top w:val="nil"/>
          <w:left w:val="nil"/>
          <w:bottom w:val="nil"/>
          <w:right w:val="nil"/>
          <w:between w:val="nil"/>
        </w:pBdr>
        <w:spacing w:line="360" w:lineRule="auto"/>
        <w:rPr>
          <w:lang w:val="nl-BE"/>
        </w:rPr>
      </w:pPr>
    </w:p>
    <w:tbl>
      <w:tblPr>
        <w:tblStyle w:val="a0"/>
        <w:tblW w:w="70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1984"/>
        <w:gridCol w:w="2357"/>
      </w:tblGrid>
      <w:tr w:rsidR="00273252" w14:paraId="7B141A9F" w14:textId="77777777" w:rsidTr="00D91FD5">
        <w:tc>
          <w:tcPr>
            <w:tcW w:w="2694"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C798979" w14:textId="77777777" w:rsidR="00273252" w:rsidRDefault="005C38C7">
            <w:pPr>
              <w:widowControl w:val="0"/>
              <w:spacing w:line="240" w:lineRule="auto"/>
              <w:rPr>
                <w:b/>
              </w:rPr>
            </w:pPr>
            <w:proofErr w:type="spellStart"/>
            <w:r>
              <w:rPr>
                <w:b/>
              </w:rPr>
              <w:lastRenderedPageBreak/>
              <w:t>Categorie</w:t>
            </w:r>
            <w:proofErr w:type="spellEnd"/>
            <w:r>
              <w:rPr>
                <w:b/>
              </w:rPr>
              <w:t xml:space="preserve"> percentages </w:t>
            </w:r>
            <w:proofErr w:type="spellStart"/>
            <w:r>
              <w:rPr>
                <w:b/>
              </w:rPr>
              <w:t>aanpassing</w:t>
            </w:r>
            <w:proofErr w:type="spellEnd"/>
            <w:r>
              <w:rPr>
                <w:b/>
              </w:rPr>
              <w:t xml:space="preserve"> VZA </w:t>
            </w:r>
          </w:p>
        </w:tc>
        <w:tc>
          <w:tcPr>
            <w:tcW w:w="1984" w:type="dxa"/>
            <w:tcBorders>
              <w:top w:val="single" w:sz="8" w:space="0" w:color="000000"/>
              <w:left w:val="single" w:sz="8" w:space="0" w:color="000000"/>
              <w:right w:val="single" w:sz="8" w:space="0" w:color="000000"/>
            </w:tcBorders>
            <w:tcMar>
              <w:top w:w="100" w:type="dxa"/>
              <w:left w:w="100" w:type="dxa"/>
              <w:bottom w:w="100" w:type="dxa"/>
              <w:right w:w="100" w:type="dxa"/>
            </w:tcMar>
          </w:tcPr>
          <w:p w14:paraId="2D9BA167" w14:textId="77777777" w:rsidR="00273252" w:rsidRDefault="005C38C7">
            <w:pPr>
              <w:widowControl w:val="0"/>
              <w:spacing w:line="240" w:lineRule="auto"/>
              <w:rPr>
                <w:b/>
              </w:rPr>
            </w:pPr>
            <w:proofErr w:type="spellStart"/>
            <w:r>
              <w:rPr>
                <w:b/>
              </w:rPr>
              <w:t>Aantal</w:t>
            </w:r>
            <w:proofErr w:type="spellEnd"/>
            <w:r>
              <w:rPr>
                <w:b/>
              </w:rPr>
              <w:t xml:space="preserve"> VZA's</w:t>
            </w:r>
          </w:p>
          <w:p w14:paraId="468BB9F8" w14:textId="77777777" w:rsidR="00273252" w:rsidRDefault="005C38C7">
            <w:pPr>
              <w:widowControl w:val="0"/>
              <w:spacing w:line="240" w:lineRule="auto"/>
              <w:rPr>
                <w:b/>
              </w:rPr>
            </w:pPr>
            <w:r>
              <w:rPr>
                <w:b/>
              </w:rPr>
              <w:t>(</w:t>
            </w:r>
            <w:proofErr w:type="spellStart"/>
            <w:r>
              <w:rPr>
                <w:b/>
              </w:rPr>
              <w:t>overeenkomsten</w:t>
            </w:r>
            <w:proofErr w:type="spellEnd"/>
            <w:r>
              <w:rPr>
                <w:b/>
              </w:rPr>
              <w:t>)</w:t>
            </w:r>
          </w:p>
        </w:tc>
        <w:tc>
          <w:tcPr>
            <w:tcW w:w="235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796A38DB" w14:textId="77777777" w:rsidR="00273252" w:rsidRDefault="005C38C7">
            <w:pPr>
              <w:widowControl w:val="0"/>
              <w:spacing w:line="240" w:lineRule="auto"/>
              <w:rPr>
                <w:b/>
              </w:rPr>
            </w:pPr>
            <w:proofErr w:type="spellStart"/>
            <w:r>
              <w:rPr>
                <w:b/>
              </w:rPr>
              <w:t>Aantal</w:t>
            </w:r>
            <w:proofErr w:type="spellEnd"/>
            <w:r>
              <w:rPr>
                <w:b/>
              </w:rPr>
              <w:t xml:space="preserve"> VZA’s (</w:t>
            </w:r>
            <w:proofErr w:type="spellStart"/>
            <w:r>
              <w:rPr>
                <w:b/>
              </w:rPr>
              <w:t>totale</w:t>
            </w:r>
            <w:proofErr w:type="spellEnd"/>
            <w:r>
              <w:rPr>
                <w:b/>
              </w:rPr>
              <w:t xml:space="preserve"> </w:t>
            </w:r>
            <w:proofErr w:type="spellStart"/>
            <w:r>
              <w:rPr>
                <w:b/>
              </w:rPr>
              <w:t>budgetten</w:t>
            </w:r>
            <w:proofErr w:type="spellEnd"/>
            <w:r>
              <w:rPr>
                <w:b/>
              </w:rPr>
              <w:t>)</w:t>
            </w:r>
          </w:p>
        </w:tc>
      </w:tr>
      <w:tr w:rsidR="00273252" w14:paraId="75C8849F" w14:textId="77777777" w:rsidTr="00D91FD5">
        <w:tc>
          <w:tcPr>
            <w:tcW w:w="2694" w:type="dxa"/>
            <w:tcMar>
              <w:top w:w="100" w:type="dxa"/>
              <w:left w:w="100" w:type="dxa"/>
              <w:bottom w:w="100" w:type="dxa"/>
              <w:right w:w="100" w:type="dxa"/>
            </w:tcMar>
          </w:tcPr>
          <w:p w14:paraId="372921A7" w14:textId="77777777" w:rsidR="00273252" w:rsidRDefault="005C38C7">
            <w:pPr>
              <w:widowControl w:val="0"/>
              <w:spacing w:line="240" w:lineRule="auto"/>
            </w:pPr>
            <w:r>
              <w:t xml:space="preserve">Meer </w:t>
            </w:r>
            <w:proofErr w:type="spellStart"/>
            <w:r>
              <w:t>dan</w:t>
            </w:r>
            <w:proofErr w:type="spellEnd"/>
            <w:r>
              <w:t xml:space="preserve"> 50 % </w:t>
            </w:r>
            <w:proofErr w:type="spellStart"/>
            <w:r>
              <w:t>daling</w:t>
            </w:r>
            <w:proofErr w:type="spellEnd"/>
          </w:p>
        </w:tc>
        <w:tc>
          <w:tcPr>
            <w:tcW w:w="1984" w:type="dxa"/>
            <w:tcMar>
              <w:top w:w="100" w:type="dxa"/>
              <w:left w:w="100" w:type="dxa"/>
              <w:bottom w:w="100" w:type="dxa"/>
              <w:right w:w="100" w:type="dxa"/>
            </w:tcMar>
          </w:tcPr>
          <w:p w14:paraId="3FFCCB3A" w14:textId="77777777" w:rsidR="00273252" w:rsidRDefault="005C38C7">
            <w:pPr>
              <w:widowControl w:val="0"/>
              <w:spacing w:line="240" w:lineRule="auto"/>
            </w:pPr>
            <w:r>
              <w:t>0</w:t>
            </w:r>
          </w:p>
        </w:tc>
        <w:tc>
          <w:tcPr>
            <w:tcW w:w="2357" w:type="dxa"/>
            <w:tcMar>
              <w:top w:w="100" w:type="dxa"/>
              <w:left w:w="100" w:type="dxa"/>
              <w:bottom w:w="100" w:type="dxa"/>
              <w:right w:w="100" w:type="dxa"/>
            </w:tcMar>
          </w:tcPr>
          <w:p w14:paraId="600D3574" w14:textId="77777777" w:rsidR="00273252" w:rsidRDefault="005C38C7">
            <w:pPr>
              <w:widowControl w:val="0"/>
              <w:spacing w:line="240" w:lineRule="auto"/>
            </w:pPr>
            <w:r>
              <w:t>0</w:t>
            </w:r>
          </w:p>
        </w:tc>
      </w:tr>
      <w:tr w:rsidR="00273252" w14:paraId="3C412467" w14:textId="77777777" w:rsidTr="00D91FD5">
        <w:tc>
          <w:tcPr>
            <w:tcW w:w="2694" w:type="dxa"/>
            <w:tcMar>
              <w:top w:w="100" w:type="dxa"/>
              <w:left w:w="100" w:type="dxa"/>
              <w:bottom w:w="100" w:type="dxa"/>
              <w:right w:w="100" w:type="dxa"/>
            </w:tcMar>
          </w:tcPr>
          <w:p w14:paraId="2894ADAA" w14:textId="77777777" w:rsidR="00273252" w:rsidRDefault="005C38C7">
            <w:pPr>
              <w:widowControl w:val="0"/>
              <w:spacing w:line="240" w:lineRule="auto"/>
            </w:pPr>
            <w:r>
              <w:t xml:space="preserve">Meer </w:t>
            </w:r>
            <w:proofErr w:type="spellStart"/>
            <w:r>
              <w:t>dan</w:t>
            </w:r>
            <w:proofErr w:type="spellEnd"/>
            <w:r>
              <w:t xml:space="preserve"> 40 % </w:t>
            </w:r>
            <w:proofErr w:type="spellStart"/>
            <w:r>
              <w:t>daling</w:t>
            </w:r>
            <w:proofErr w:type="spellEnd"/>
          </w:p>
        </w:tc>
        <w:tc>
          <w:tcPr>
            <w:tcW w:w="1984" w:type="dxa"/>
            <w:tcMar>
              <w:top w:w="100" w:type="dxa"/>
              <w:left w:w="100" w:type="dxa"/>
              <w:bottom w:w="100" w:type="dxa"/>
              <w:right w:w="100" w:type="dxa"/>
            </w:tcMar>
          </w:tcPr>
          <w:p w14:paraId="6AD72DCB" w14:textId="77777777" w:rsidR="00273252" w:rsidRDefault="005C38C7">
            <w:pPr>
              <w:widowControl w:val="0"/>
              <w:spacing w:line="240" w:lineRule="auto"/>
            </w:pPr>
            <w:r>
              <w:t>2</w:t>
            </w:r>
          </w:p>
        </w:tc>
        <w:tc>
          <w:tcPr>
            <w:tcW w:w="2357" w:type="dxa"/>
            <w:tcMar>
              <w:top w:w="100" w:type="dxa"/>
              <w:left w:w="100" w:type="dxa"/>
              <w:bottom w:w="100" w:type="dxa"/>
              <w:right w:w="100" w:type="dxa"/>
            </w:tcMar>
          </w:tcPr>
          <w:p w14:paraId="5C04B92F" w14:textId="77777777" w:rsidR="00273252" w:rsidRDefault="005C38C7">
            <w:pPr>
              <w:widowControl w:val="0"/>
              <w:spacing w:line="240" w:lineRule="auto"/>
            </w:pPr>
            <w:r>
              <w:t>1</w:t>
            </w:r>
          </w:p>
        </w:tc>
      </w:tr>
      <w:tr w:rsidR="00273252" w14:paraId="451D6465" w14:textId="77777777" w:rsidTr="00D91FD5">
        <w:tc>
          <w:tcPr>
            <w:tcW w:w="2694" w:type="dxa"/>
            <w:tcMar>
              <w:top w:w="100" w:type="dxa"/>
              <w:left w:w="100" w:type="dxa"/>
              <w:bottom w:w="100" w:type="dxa"/>
              <w:right w:w="100" w:type="dxa"/>
            </w:tcMar>
          </w:tcPr>
          <w:p w14:paraId="2A1E6593" w14:textId="77777777" w:rsidR="00273252" w:rsidRDefault="005C38C7">
            <w:pPr>
              <w:widowControl w:val="0"/>
              <w:spacing w:line="240" w:lineRule="auto"/>
            </w:pPr>
            <w:r>
              <w:t xml:space="preserve">Meer </w:t>
            </w:r>
            <w:proofErr w:type="spellStart"/>
            <w:r>
              <w:t>dan</w:t>
            </w:r>
            <w:proofErr w:type="spellEnd"/>
            <w:r>
              <w:t xml:space="preserve"> 30 % </w:t>
            </w:r>
            <w:proofErr w:type="spellStart"/>
            <w:r>
              <w:t>daling</w:t>
            </w:r>
            <w:proofErr w:type="spellEnd"/>
          </w:p>
        </w:tc>
        <w:tc>
          <w:tcPr>
            <w:tcW w:w="1984" w:type="dxa"/>
            <w:tcMar>
              <w:top w:w="100" w:type="dxa"/>
              <w:left w:w="100" w:type="dxa"/>
              <w:bottom w:w="100" w:type="dxa"/>
              <w:right w:w="100" w:type="dxa"/>
            </w:tcMar>
          </w:tcPr>
          <w:p w14:paraId="6B2B904A" w14:textId="77777777" w:rsidR="00273252" w:rsidRDefault="005C38C7">
            <w:pPr>
              <w:widowControl w:val="0"/>
              <w:spacing w:line="240" w:lineRule="auto"/>
            </w:pPr>
            <w:r>
              <w:t>10</w:t>
            </w:r>
          </w:p>
        </w:tc>
        <w:tc>
          <w:tcPr>
            <w:tcW w:w="2357" w:type="dxa"/>
            <w:tcMar>
              <w:top w:w="100" w:type="dxa"/>
              <w:left w:w="100" w:type="dxa"/>
              <w:bottom w:w="100" w:type="dxa"/>
              <w:right w:w="100" w:type="dxa"/>
            </w:tcMar>
          </w:tcPr>
          <w:p w14:paraId="014B6990" w14:textId="77777777" w:rsidR="00273252" w:rsidRDefault="005C38C7">
            <w:pPr>
              <w:widowControl w:val="0"/>
              <w:spacing w:line="240" w:lineRule="auto"/>
            </w:pPr>
            <w:r>
              <w:t>7</w:t>
            </w:r>
          </w:p>
        </w:tc>
      </w:tr>
      <w:tr w:rsidR="00273252" w14:paraId="5416758E" w14:textId="77777777" w:rsidTr="00D91FD5">
        <w:tc>
          <w:tcPr>
            <w:tcW w:w="2694" w:type="dxa"/>
            <w:tcMar>
              <w:top w:w="100" w:type="dxa"/>
              <w:left w:w="100" w:type="dxa"/>
              <w:bottom w:w="100" w:type="dxa"/>
              <w:right w:w="100" w:type="dxa"/>
            </w:tcMar>
          </w:tcPr>
          <w:p w14:paraId="13A1618B" w14:textId="77777777" w:rsidR="00273252" w:rsidRDefault="005C38C7">
            <w:pPr>
              <w:widowControl w:val="0"/>
              <w:spacing w:line="240" w:lineRule="auto"/>
            </w:pPr>
            <w:r>
              <w:t xml:space="preserve">Meer </w:t>
            </w:r>
            <w:proofErr w:type="spellStart"/>
            <w:r>
              <w:t>dan</w:t>
            </w:r>
            <w:proofErr w:type="spellEnd"/>
            <w:r>
              <w:t xml:space="preserve"> 20 % </w:t>
            </w:r>
            <w:proofErr w:type="spellStart"/>
            <w:r>
              <w:t>daling</w:t>
            </w:r>
            <w:proofErr w:type="spellEnd"/>
          </w:p>
        </w:tc>
        <w:tc>
          <w:tcPr>
            <w:tcW w:w="1984" w:type="dxa"/>
            <w:tcMar>
              <w:top w:w="100" w:type="dxa"/>
              <w:left w:w="100" w:type="dxa"/>
              <w:bottom w:w="100" w:type="dxa"/>
              <w:right w:w="100" w:type="dxa"/>
            </w:tcMar>
          </w:tcPr>
          <w:p w14:paraId="3127D130" w14:textId="77777777" w:rsidR="00273252" w:rsidRDefault="005C38C7">
            <w:pPr>
              <w:widowControl w:val="0"/>
              <w:spacing w:line="240" w:lineRule="auto"/>
            </w:pPr>
            <w:r>
              <w:t>17</w:t>
            </w:r>
          </w:p>
        </w:tc>
        <w:tc>
          <w:tcPr>
            <w:tcW w:w="2357" w:type="dxa"/>
            <w:tcMar>
              <w:top w:w="100" w:type="dxa"/>
              <w:left w:w="100" w:type="dxa"/>
              <w:bottom w:w="100" w:type="dxa"/>
              <w:right w:w="100" w:type="dxa"/>
            </w:tcMar>
          </w:tcPr>
          <w:p w14:paraId="5F90E10C" w14:textId="77777777" w:rsidR="00273252" w:rsidRDefault="005C38C7">
            <w:pPr>
              <w:widowControl w:val="0"/>
              <w:spacing w:line="240" w:lineRule="auto"/>
            </w:pPr>
            <w:r>
              <w:t>19</w:t>
            </w:r>
          </w:p>
        </w:tc>
      </w:tr>
      <w:tr w:rsidR="00273252" w14:paraId="6858AD8D" w14:textId="77777777" w:rsidTr="00D91FD5">
        <w:tc>
          <w:tcPr>
            <w:tcW w:w="2694" w:type="dxa"/>
            <w:tcMar>
              <w:top w:w="100" w:type="dxa"/>
              <w:left w:w="100" w:type="dxa"/>
              <w:bottom w:w="100" w:type="dxa"/>
              <w:right w:w="100" w:type="dxa"/>
            </w:tcMar>
          </w:tcPr>
          <w:p w14:paraId="7CA8AD83" w14:textId="77777777" w:rsidR="00273252" w:rsidRDefault="005C38C7">
            <w:pPr>
              <w:widowControl w:val="0"/>
              <w:spacing w:line="240" w:lineRule="auto"/>
            </w:pPr>
            <w:r>
              <w:t xml:space="preserve">Meer </w:t>
            </w:r>
            <w:proofErr w:type="spellStart"/>
            <w:r>
              <w:t>dan</w:t>
            </w:r>
            <w:proofErr w:type="spellEnd"/>
            <w:r>
              <w:t xml:space="preserve"> 10 % </w:t>
            </w:r>
            <w:proofErr w:type="spellStart"/>
            <w:r>
              <w:t>daling</w:t>
            </w:r>
            <w:proofErr w:type="spellEnd"/>
          </w:p>
        </w:tc>
        <w:tc>
          <w:tcPr>
            <w:tcW w:w="1984" w:type="dxa"/>
            <w:tcMar>
              <w:top w:w="100" w:type="dxa"/>
              <w:left w:w="100" w:type="dxa"/>
              <w:bottom w:w="100" w:type="dxa"/>
              <w:right w:w="100" w:type="dxa"/>
            </w:tcMar>
          </w:tcPr>
          <w:p w14:paraId="6E156E20" w14:textId="77777777" w:rsidR="00273252" w:rsidRDefault="005C38C7">
            <w:pPr>
              <w:widowControl w:val="0"/>
              <w:spacing w:line="240" w:lineRule="auto"/>
            </w:pPr>
            <w:r>
              <w:t>38</w:t>
            </w:r>
          </w:p>
        </w:tc>
        <w:tc>
          <w:tcPr>
            <w:tcW w:w="2357" w:type="dxa"/>
            <w:tcMar>
              <w:top w:w="100" w:type="dxa"/>
              <w:left w:w="100" w:type="dxa"/>
              <w:bottom w:w="100" w:type="dxa"/>
              <w:right w:w="100" w:type="dxa"/>
            </w:tcMar>
          </w:tcPr>
          <w:p w14:paraId="472EC56C" w14:textId="77777777" w:rsidR="00273252" w:rsidRDefault="005C38C7">
            <w:pPr>
              <w:widowControl w:val="0"/>
              <w:spacing w:line="240" w:lineRule="auto"/>
            </w:pPr>
            <w:r>
              <w:t>36</w:t>
            </w:r>
          </w:p>
        </w:tc>
      </w:tr>
      <w:tr w:rsidR="00273252" w14:paraId="45E27926" w14:textId="77777777" w:rsidTr="00D91FD5">
        <w:tc>
          <w:tcPr>
            <w:tcW w:w="2694" w:type="dxa"/>
            <w:tcMar>
              <w:top w:w="100" w:type="dxa"/>
              <w:left w:w="100" w:type="dxa"/>
              <w:bottom w:w="100" w:type="dxa"/>
              <w:right w:w="100" w:type="dxa"/>
            </w:tcMar>
          </w:tcPr>
          <w:p w14:paraId="2D06FAF3" w14:textId="77777777" w:rsidR="00273252" w:rsidRDefault="005C38C7">
            <w:pPr>
              <w:widowControl w:val="0"/>
              <w:spacing w:line="240" w:lineRule="auto"/>
            </w:pPr>
            <w:proofErr w:type="spellStart"/>
            <w:r>
              <w:t>Tussen</w:t>
            </w:r>
            <w:proofErr w:type="spellEnd"/>
            <w:r>
              <w:t xml:space="preserve"> 0 </w:t>
            </w:r>
            <w:proofErr w:type="spellStart"/>
            <w:r>
              <w:t>en</w:t>
            </w:r>
            <w:proofErr w:type="spellEnd"/>
            <w:r>
              <w:t xml:space="preserve"> 10 % </w:t>
            </w:r>
            <w:proofErr w:type="spellStart"/>
            <w:r>
              <w:t>daling</w:t>
            </w:r>
            <w:proofErr w:type="spellEnd"/>
          </w:p>
        </w:tc>
        <w:tc>
          <w:tcPr>
            <w:tcW w:w="1984" w:type="dxa"/>
            <w:tcMar>
              <w:top w:w="100" w:type="dxa"/>
              <w:left w:w="100" w:type="dxa"/>
              <w:bottom w:w="100" w:type="dxa"/>
              <w:right w:w="100" w:type="dxa"/>
            </w:tcMar>
          </w:tcPr>
          <w:p w14:paraId="7FD6185C" w14:textId="77777777" w:rsidR="00273252" w:rsidRDefault="005C38C7">
            <w:pPr>
              <w:widowControl w:val="0"/>
              <w:spacing w:line="240" w:lineRule="auto"/>
            </w:pPr>
            <w:r>
              <w:t>55</w:t>
            </w:r>
          </w:p>
        </w:tc>
        <w:tc>
          <w:tcPr>
            <w:tcW w:w="2357" w:type="dxa"/>
            <w:tcMar>
              <w:top w:w="100" w:type="dxa"/>
              <w:left w:w="100" w:type="dxa"/>
              <w:bottom w:w="100" w:type="dxa"/>
              <w:right w:w="100" w:type="dxa"/>
            </w:tcMar>
          </w:tcPr>
          <w:p w14:paraId="53718AB1" w14:textId="77777777" w:rsidR="00273252" w:rsidRDefault="005C38C7">
            <w:pPr>
              <w:widowControl w:val="0"/>
              <w:spacing w:line="240" w:lineRule="auto"/>
            </w:pPr>
            <w:r>
              <w:t>64</w:t>
            </w:r>
          </w:p>
        </w:tc>
      </w:tr>
      <w:tr w:rsidR="00273252" w14:paraId="6BB815CE" w14:textId="77777777" w:rsidTr="00D91FD5">
        <w:tc>
          <w:tcPr>
            <w:tcW w:w="2694" w:type="dxa"/>
            <w:tcMar>
              <w:top w:w="100" w:type="dxa"/>
              <w:left w:w="100" w:type="dxa"/>
              <w:bottom w:w="100" w:type="dxa"/>
              <w:right w:w="100" w:type="dxa"/>
            </w:tcMar>
          </w:tcPr>
          <w:p w14:paraId="1C4E8046" w14:textId="77777777" w:rsidR="00273252" w:rsidRDefault="005C38C7">
            <w:pPr>
              <w:widowControl w:val="0"/>
              <w:spacing w:line="240" w:lineRule="auto"/>
            </w:pPr>
            <w:proofErr w:type="spellStart"/>
            <w:r>
              <w:t>Tussen</w:t>
            </w:r>
            <w:proofErr w:type="spellEnd"/>
            <w:r>
              <w:t xml:space="preserve"> 0 </w:t>
            </w:r>
            <w:proofErr w:type="spellStart"/>
            <w:r>
              <w:t>en</w:t>
            </w:r>
            <w:proofErr w:type="spellEnd"/>
            <w:r>
              <w:t xml:space="preserve"> 10 % </w:t>
            </w:r>
            <w:proofErr w:type="spellStart"/>
            <w:r>
              <w:t>stijging</w:t>
            </w:r>
            <w:proofErr w:type="spellEnd"/>
          </w:p>
        </w:tc>
        <w:tc>
          <w:tcPr>
            <w:tcW w:w="1984" w:type="dxa"/>
            <w:tcMar>
              <w:top w:w="100" w:type="dxa"/>
              <w:left w:w="100" w:type="dxa"/>
              <w:bottom w:w="100" w:type="dxa"/>
              <w:right w:w="100" w:type="dxa"/>
            </w:tcMar>
          </w:tcPr>
          <w:p w14:paraId="0A9BAC43" w14:textId="77777777" w:rsidR="00273252" w:rsidRDefault="005C38C7">
            <w:pPr>
              <w:widowControl w:val="0"/>
              <w:spacing w:line="240" w:lineRule="auto"/>
            </w:pPr>
            <w:r>
              <w:t>62</w:t>
            </w:r>
          </w:p>
        </w:tc>
        <w:tc>
          <w:tcPr>
            <w:tcW w:w="2357" w:type="dxa"/>
            <w:tcMar>
              <w:top w:w="100" w:type="dxa"/>
              <w:left w:w="100" w:type="dxa"/>
              <w:bottom w:w="100" w:type="dxa"/>
              <w:right w:w="100" w:type="dxa"/>
            </w:tcMar>
          </w:tcPr>
          <w:p w14:paraId="112C4DF9" w14:textId="77777777" w:rsidR="00273252" w:rsidRDefault="005C38C7">
            <w:pPr>
              <w:widowControl w:val="0"/>
              <w:spacing w:line="240" w:lineRule="auto"/>
            </w:pPr>
            <w:r>
              <w:t>62</w:t>
            </w:r>
          </w:p>
        </w:tc>
      </w:tr>
      <w:tr w:rsidR="00273252" w14:paraId="0AD2191C" w14:textId="77777777" w:rsidTr="00D91FD5">
        <w:tc>
          <w:tcPr>
            <w:tcW w:w="2694" w:type="dxa"/>
            <w:tcMar>
              <w:top w:w="100" w:type="dxa"/>
              <w:left w:w="100" w:type="dxa"/>
              <w:bottom w:w="100" w:type="dxa"/>
              <w:right w:w="100" w:type="dxa"/>
            </w:tcMar>
          </w:tcPr>
          <w:p w14:paraId="10298390" w14:textId="77777777" w:rsidR="00273252" w:rsidRDefault="005C38C7">
            <w:pPr>
              <w:widowControl w:val="0"/>
              <w:spacing w:line="240" w:lineRule="auto"/>
            </w:pPr>
            <w:r>
              <w:t xml:space="preserve">Meer </w:t>
            </w:r>
            <w:proofErr w:type="spellStart"/>
            <w:r>
              <w:t>dan</w:t>
            </w:r>
            <w:proofErr w:type="spellEnd"/>
            <w:r>
              <w:t xml:space="preserve"> 10 % </w:t>
            </w:r>
            <w:proofErr w:type="spellStart"/>
            <w:r>
              <w:t>stijging</w:t>
            </w:r>
            <w:proofErr w:type="spellEnd"/>
          </w:p>
        </w:tc>
        <w:tc>
          <w:tcPr>
            <w:tcW w:w="1984" w:type="dxa"/>
            <w:tcMar>
              <w:top w:w="100" w:type="dxa"/>
              <w:left w:w="100" w:type="dxa"/>
              <w:bottom w:w="100" w:type="dxa"/>
              <w:right w:w="100" w:type="dxa"/>
            </w:tcMar>
          </w:tcPr>
          <w:p w14:paraId="23A8EB61" w14:textId="77777777" w:rsidR="00273252" w:rsidRDefault="005C38C7">
            <w:pPr>
              <w:widowControl w:val="0"/>
              <w:spacing w:line="240" w:lineRule="auto"/>
            </w:pPr>
            <w:r>
              <w:t>18</w:t>
            </w:r>
          </w:p>
        </w:tc>
        <w:tc>
          <w:tcPr>
            <w:tcW w:w="2357" w:type="dxa"/>
            <w:tcMar>
              <w:top w:w="100" w:type="dxa"/>
              <w:left w:w="100" w:type="dxa"/>
              <w:bottom w:w="100" w:type="dxa"/>
              <w:right w:w="100" w:type="dxa"/>
            </w:tcMar>
          </w:tcPr>
          <w:p w14:paraId="225AA754" w14:textId="77777777" w:rsidR="00273252" w:rsidRDefault="005C38C7">
            <w:pPr>
              <w:widowControl w:val="0"/>
              <w:spacing w:line="240" w:lineRule="auto"/>
            </w:pPr>
            <w:r>
              <w:t>15</w:t>
            </w:r>
          </w:p>
        </w:tc>
      </w:tr>
      <w:tr w:rsidR="00273252" w14:paraId="58E503EB" w14:textId="77777777" w:rsidTr="00D91FD5">
        <w:tc>
          <w:tcPr>
            <w:tcW w:w="2694" w:type="dxa"/>
            <w:tcMar>
              <w:top w:w="100" w:type="dxa"/>
              <w:left w:w="100" w:type="dxa"/>
              <w:bottom w:w="100" w:type="dxa"/>
              <w:right w:w="100" w:type="dxa"/>
            </w:tcMar>
          </w:tcPr>
          <w:p w14:paraId="391A079C" w14:textId="77777777" w:rsidR="00273252" w:rsidRDefault="005C38C7">
            <w:pPr>
              <w:widowControl w:val="0"/>
              <w:spacing w:line="240" w:lineRule="auto"/>
            </w:pPr>
            <w:r>
              <w:t xml:space="preserve">Meer </w:t>
            </w:r>
            <w:proofErr w:type="spellStart"/>
            <w:r>
              <w:t>dan</w:t>
            </w:r>
            <w:proofErr w:type="spellEnd"/>
            <w:r>
              <w:t xml:space="preserve"> 20 % </w:t>
            </w:r>
            <w:proofErr w:type="spellStart"/>
            <w:r>
              <w:t>stijging</w:t>
            </w:r>
            <w:proofErr w:type="spellEnd"/>
          </w:p>
        </w:tc>
        <w:tc>
          <w:tcPr>
            <w:tcW w:w="1984" w:type="dxa"/>
            <w:tcMar>
              <w:top w:w="100" w:type="dxa"/>
              <w:left w:w="100" w:type="dxa"/>
              <w:bottom w:w="100" w:type="dxa"/>
              <w:right w:w="100" w:type="dxa"/>
            </w:tcMar>
          </w:tcPr>
          <w:p w14:paraId="36A2CD9B" w14:textId="77777777" w:rsidR="00273252" w:rsidRDefault="005C38C7">
            <w:pPr>
              <w:widowControl w:val="0"/>
              <w:spacing w:line="240" w:lineRule="auto"/>
            </w:pPr>
            <w:r>
              <w:t>4</w:t>
            </w:r>
          </w:p>
        </w:tc>
        <w:tc>
          <w:tcPr>
            <w:tcW w:w="2357" w:type="dxa"/>
            <w:tcMar>
              <w:top w:w="100" w:type="dxa"/>
              <w:left w:w="100" w:type="dxa"/>
              <w:bottom w:w="100" w:type="dxa"/>
              <w:right w:w="100" w:type="dxa"/>
            </w:tcMar>
          </w:tcPr>
          <w:p w14:paraId="1EB6764C" w14:textId="77777777" w:rsidR="00273252" w:rsidRDefault="005C38C7">
            <w:pPr>
              <w:widowControl w:val="0"/>
              <w:spacing w:line="240" w:lineRule="auto"/>
            </w:pPr>
            <w:r>
              <w:t>3</w:t>
            </w:r>
          </w:p>
        </w:tc>
      </w:tr>
      <w:tr w:rsidR="00273252" w14:paraId="3002D2B9" w14:textId="77777777" w:rsidTr="00D91FD5">
        <w:tc>
          <w:tcPr>
            <w:tcW w:w="2694" w:type="dxa"/>
            <w:tcMar>
              <w:top w:w="100" w:type="dxa"/>
              <w:left w:w="100" w:type="dxa"/>
              <w:bottom w:w="100" w:type="dxa"/>
              <w:right w:w="100" w:type="dxa"/>
            </w:tcMar>
          </w:tcPr>
          <w:p w14:paraId="64D4450E" w14:textId="77777777" w:rsidR="00273252" w:rsidRDefault="005C38C7">
            <w:pPr>
              <w:widowControl w:val="0"/>
              <w:spacing w:line="240" w:lineRule="auto"/>
            </w:pPr>
            <w:r>
              <w:t xml:space="preserve">Meer </w:t>
            </w:r>
            <w:proofErr w:type="spellStart"/>
            <w:r>
              <w:t>dan</w:t>
            </w:r>
            <w:proofErr w:type="spellEnd"/>
            <w:r>
              <w:t xml:space="preserve"> 30 % </w:t>
            </w:r>
            <w:proofErr w:type="spellStart"/>
            <w:r>
              <w:t>stijging</w:t>
            </w:r>
            <w:proofErr w:type="spellEnd"/>
          </w:p>
        </w:tc>
        <w:tc>
          <w:tcPr>
            <w:tcW w:w="1984" w:type="dxa"/>
            <w:tcMar>
              <w:top w:w="100" w:type="dxa"/>
              <w:left w:w="100" w:type="dxa"/>
              <w:bottom w:w="100" w:type="dxa"/>
              <w:right w:w="100" w:type="dxa"/>
            </w:tcMar>
          </w:tcPr>
          <w:p w14:paraId="3E6A1F80" w14:textId="77777777" w:rsidR="00273252" w:rsidRDefault="005C38C7">
            <w:pPr>
              <w:widowControl w:val="0"/>
              <w:spacing w:line="240" w:lineRule="auto"/>
            </w:pPr>
            <w:r>
              <w:t>0</w:t>
            </w:r>
          </w:p>
        </w:tc>
        <w:tc>
          <w:tcPr>
            <w:tcW w:w="2357" w:type="dxa"/>
            <w:tcMar>
              <w:top w:w="100" w:type="dxa"/>
              <w:left w:w="100" w:type="dxa"/>
              <w:bottom w:w="100" w:type="dxa"/>
              <w:right w:w="100" w:type="dxa"/>
            </w:tcMar>
          </w:tcPr>
          <w:p w14:paraId="08473D2E" w14:textId="77777777" w:rsidR="00273252" w:rsidRDefault="005C38C7">
            <w:pPr>
              <w:widowControl w:val="0"/>
              <w:spacing w:line="240" w:lineRule="auto"/>
            </w:pPr>
            <w:r>
              <w:t>1</w:t>
            </w:r>
          </w:p>
        </w:tc>
      </w:tr>
      <w:tr w:rsidR="00273252" w14:paraId="3B56132D" w14:textId="77777777" w:rsidTr="00D91FD5">
        <w:tc>
          <w:tcPr>
            <w:tcW w:w="2694" w:type="dxa"/>
            <w:tcMar>
              <w:top w:w="100" w:type="dxa"/>
              <w:left w:w="100" w:type="dxa"/>
              <w:bottom w:w="100" w:type="dxa"/>
              <w:right w:w="100" w:type="dxa"/>
            </w:tcMar>
          </w:tcPr>
          <w:p w14:paraId="775AC1D8" w14:textId="77777777" w:rsidR="00273252" w:rsidRDefault="005C38C7">
            <w:pPr>
              <w:widowControl w:val="0"/>
              <w:spacing w:line="240" w:lineRule="auto"/>
            </w:pPr>
            <w:r>
              <w:t xml:space="preserve">Meer </w:t>
            </w:r>
            <w:proofErr w:type="spellStart"/>
            <w:r>
              <w:t>dan</w:t>
            </w:r>
            <w:proofErr w:type="spellEnd"/>
            <w:r>
              <w:t xml:space="preserve"> 40 % </w:t>
            </w:r>
            <w:proofErr w:type="spellStart"/>
            <w:r>
              <w:t>stijging</w:t>
            </w:r>
            <w:proofErr w:type="spellEnd"/>
          </w:p>
        </w:tc>
        <w:tc>
          <w:tcPr>
            <w:tcW w:w="1984" w:type="dxa"/>
            <w:tcMar>
              <w:top w:w="100" w:type="dxa"/>
              <w:left w:w="100" w:type="dxa"/>
              <w:bottom w:w="100" w:type="dxa"/>
              <w:right w:w="100" w:type="dxa"/>
            </w:tcMar>
          </w:tcPr>
          <w:p w14:paraId="6FCB75F9" w14:textId="77777777" w:rsidR="00273252" w:rsidRDefault="005C38C7">
            <w:pPr>
              <w:widowControl w:val="0"/>
              <w:spacing w:line="240" w:lineRule="auto"/>
            </w:pPr>
            <w:r>
              <w:t>2</w:t>
            </w:r>
          </w:p>
        </w:tc>
        <w:tc>
          <w:tcPr>
            <w:tcW w:w="2357" w:type="dxa"/>
            <w:tcMar>
              <w:top w:w="100" w:type="dxa"/>
              <w:left w:w="100" w:type="dxa"/>
              <w:bottom w:w="100" w:type="dxa"/>
              <w:right w:w="100" w:type="dxa"/>
            </w:tcMar>
          </w:tcPr>
          <w:p w14:paraId="6B79D10F" w14:textId="77777777" w:rsidR="00273252" w:rsidRDefault="005C38C7">
            <w:pPr>
              <w:widowControl w:val="0"/>
              <w:spacing w:line="240" w:lineRule="auto"/>
            </w:pPr>
            <w:r>
              <w:t>0</w:t>
            </w:r>
          </w:p>
        </w:tc>
      </w:tr>
    </w:tbl>
    <w:p w14:paraId="702A8062" w14:textId="77777777" w:rsidR="00273252" w:rsidRDefault="00273252">
      <w:pPr>
        <w:widowControl w:val="0"/>
        <w:spacing w:line="360" w:lineRule="auto"/>
      </w:pPr>
    </w:p>
    <w:p w14:paraId="298C240B" w14:textId="77777777" w:rsidR="00273252" w:rsidRDefault="00273252">
      <w:pPr>
        <w:widowControl w:val="0"/>
        <w:pBdr>
          <w:top w:val="nil"/>
          <w:left w:val="nil"/>
          <w:bottom w:val="nil"/>
          <w:right w:val="nil"/>
          <w:between w:val="nil"/>
        </w:pBdr>
        <w:spacing w:line="360" w:lineRule="auto"/>
      </w:pPr>
    </w:p>
    <w:tbl>
      <w:tblPr>
        <w:tblStyle w:val="a1"/>
        <w:tblW w:w="7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79"/>
        <w:gridCol w:w="1846"/>
        <w:gridCol w:w="2063"/>
      </w:tblGrid>
      <w:tr w:rsidR="00273252" w14:paraId="3BF58255" w14:textId="77777777" w:rsidTr="00D91FD5">
        <w:trPr>
          <w:trHeight w:val="454"/>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F77F7" w14:textId="1597A0D3" w:rsidR="00273252" w:rsidRPr="007E08CF" w:rsidRDefault="005C38C7">
            <w:pPr>
              <w:widowControl w:val="0"/>
              <w:spacing w:line="240" w:lineRule="auto"/>
              <w:rPr>
                <w:b/>
                <w:lang w:val="nl-BE"/>
              </w:rPr>
            </w:pPr>
            <w:r w:rsidRPr="007E08CF">
              <w:rPr>
                <w:b/>
                <w:lang w:val="nl-BE"/>
              </w:rPr>
              <w:t xml:space="preserve">Categorie </w:t>
            </w:r>
            <w:r w:rsidR="00931646">
              <w:rPr>
                <w:b/>
                <w:lang w:val="nl-BE"/>
              </w:rPr>
              <w:t xml:space="preserve">totaal </w:t>
            </w:r>
            <w:r w:rsidR="00931646" w:rsidRPr="007E08CF">
              <w:rPr>
                <w:b/>
                <w:lang w:val="nl-BE"/>
              </w:rPr>
              <w:t xml:space="preserve">ingezette </w:t>
            </w:r>
            <w:r w:rsidR="0022704C">
              <w:rPr>
                <w:b/>
                <w:lang w:val="nl-BE"/>
              </w:rPr>
              <w:t xml:space="preserve">zorggebonden </w:t>
            </w:r>
            <w:r w:rsidRPr="007E08CF">
              <w:rPr>
                <w:b/>
                <w:lang w:val="nl-BE"/>
              </w:rPr>
              <w:t xml:space="preserve">punten na CF2 </w:t>
            </w:r>
          </w:p>
        </w:tc>
        <w:tc>
          <w:tcPr>
            <w:tcW w:w="1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9FA87" w14:textId="77777777" w:rsidR="00273252" w:rsidRDefault="005C38C7">
            <w:pPr>
              <w:widowControl w:val="0"/>
              <w:spacing w:line="240" w:lineRule="auto"/>
              <w:rPr>
                <w:b/>
              </w:rPr>
            </w:pPr>
            <w:proofErr w:type="spellStart"/>
            <w:r>
              <w:rPr>
                <w:b/>
              </w:rPr>
              <w:t>Aantal</w:t>
            </w:r>
            <w:proofErr w:type="spellEnd"/>
            <w:r>
              <w:rPr>
                <w:b/>
              </w:rPr>
              <w:t xml:space="preserve"> VZA's</w:t>
            </w:r>
          </w:p>
          <w:p w14:paraId="10CCBE93" w14:textId="77777777" w:rsidR="00273252" w:rsidRDefault="005C38C7">
            <w:pPr>
              <w:widowControl w:val="0"/>
              <w:spacing w:line="240" w:lineRule="auto"/>
              <w:rPr>
                <w:b/>
              </w:rPr>
            </w:pPr>
            <w:r>
              <w:rPr>
                <w:b/>
              </w:rPr>
              <w:t>(</w:t>
            </w:r>
            <w:proofErr w:type="spellStart"/>
            <w:r>
              <w:rPr>
                <w:b/>
              </w:rPr>
              <w:t>overeenkomsten</w:t>
            </w:r>
            <w:proofErr w:type="spellEnd"/>
            <w:r>
              <w:rPr>
                <w:b/>
              </w:rPr>
              <w:t>)</w:t>
            </w:r>
          </w:p>
        </w:tc>
        <w:tc>
          <w:tcPr>
            <w:tcW w:w="2063" w:type="dxa"/>
            <w:tcBorders>
              <w:top w:val="single" w:sz="8" w:space="0" w:color="000000"/>
              <w:left w:val="single" w:sz="8" w:space="0" w:color="000000"/>
              <w:right w:val="single" w:sz="8" w:space="0" w:color="000000"/>
            </w:tcBorders>
            <w:tcMar>
              <w:top w:w="100" w:type="dxa"/>
              <w:left w:w="100" w:type="dxa"/>
              <w:bottom w:w="100" w:type="dxa"/>
              <w:right w:w="100" w:type="dxa"/>
            </w:tcMar>
          </w:tcPr>
          <w:p w14:paraId="19B7D1BA" w14:textId="77777777" w:rsidR="00273252" w:rsidRDefault="005C38C7">
            <w:pPr>
              <w:widowControl w:val="0"/>
              <w:spacing w:line="240" w:lineRule="auto"/>
              <w:rPr>
                <w:b/>
              </w:rPr>
            </w:pPr>
            <w:proofErr w:type="spellStart"/>
            <w:r>
              <w:rPr>
                <w:b/>
              </w:rPr>
              <w:t>Aantal</w:t>
            </w:r>
            <w:proofErr w:type="spellEnd"/>
            <w:r>
              <w:rPr>
                <w:b/>
              </w:rPr>
              <w:t xml:space="preserve"> VZA’s (</w:t>
            </w:r>
            <w:proofErr w:type="spellStart"/>
            <w:r>
              <w:rPr>
                <w:b/>
              </w:rPr>
              <w:t>totale</w:t>
            </w:r>
            <w:proofErr w:type="spellEnd"/>
            <w:r>
              <w:rPr>
                <w:b/>
              </w:rPr>
              <w:t xml:space="preserve"> </w:t>
            </w:r>
            <w:proofErr w:type="spellStart"/>
            <w:r>
              <w:rPr>
                <w:b/>
              </w:rPr>
              <w:t>budgetten</w:t>
            </w:r>
            <w:proofErr w:type="spellEnd"/>
            <w:r>
              <w:rPr>
                <w:b/>
              </w:rPr>
              <w:t>)</w:t>
            </w:r>
          </w:p>
        </w:tc>
      </w:tr>
      <w:tr w:rsidR="00273252" w14:paraId="03138A33" w14:textId="77777777" w:rsidTr="00D91FD5">
        <w:trPr>
          <w:trHeight w:val="221"/>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5CA16" w14:textId="77777777" w:rsidR="00273252" w:rsidRDefault="005C38C7">
            <w:pPr>
              <w:widowControl w:val="0"/>
              <w:spacing w:line="240" w:lineRule="auto"/>
            </w:pPr>
            <w:proofErr w:type="spellStart"/>
            <w:r>
              <w:t>Tussen</w:t>
            </w:r>
            <w:proofErr w:type="spellEnd"/>
            <w:r>
              <w:t xml:space="preserve"> 0 </w:t>
            </w:r>
            <w:proofErr w:type="spellStart"/>
            <w:r>
              <w:t>en</w:t>
            </w:r>
            <w:proofErr w:type="spellEnd"/>
            <w:r>
              <w:t xml:space="preserve"> 200 </w:t>
            </w:r>
            <w:proofErr w:type="spellStart"/>
            <w:r>
              <w:t>punten</w:t>
            </w:r>
            <w:proofErr w:type="spellEnd"/>
          </w:p>
        </w:tc>
        <w:tc>
          <w:tcPr>
            <w:tcW w:w="1846" w:type="dxa"/>
            <w:tcMar>
              <w:top w:w="100" w:type="dxa"/>
              <w:left w:w="100" w:type="dxa"/>
              <w:bottom w:w="100" w:type="dxa"/>
              <w:right w:w="100" w:type="dxa"/>
            </w:tcMar>
          </w:tcPr>
          <w:p w14:paraId="11769000" w14:textId="77777777" w:rsidR="00273252" w:rsidRDefault="005C38C7">
            <w:pPr>
              <w:widowControl w:val="0"/>
              <w:spacing w:line="240" w:lineRule="auto"/>
            </w:pPr>
            <w:r>
              <w:t>3</w:t>
            </w:r>
          </w:p>
        </w:tc>
        <w:tc>
          <w:tcPr>
            <w:tcW w:w="2063" w:type="dxa"/>
            <w:tcMar>
              <w:top w:w="100" w:type="dxa"/>
              <w:left w:w="100" w:type="dxa"/>
              <w:bottom w:w="100" w:type="dxa"/>
              <w:right w:w="100" w:type="dxa"/>
            </w:tcMar>
          </w:tcPr>
          <w:p w14:paraId="0C7F19F5" w14:textId="77777777" w:rsidR="00273252" w:rsidRDefault="005C38C7">
            <w:pPr>
              <w:widowControl w:val="0"/>
              <w:spacing w:line="240" w:lineRule="auto"/>
            </w:pPr>
            <w:r>
              <w:t>2</w:t>
            </w:r>
          </w:p>
        </w:tc>
      </w:tr>
      <w:tr w:rsidR="00273252" w14:paraId="67B4A52D" w14:textId="77777777" w:rsidTr="00D91FD5">
        <w:trPr>
          <w:trHeight w:val="233"/>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970DD" w14:textId="77777777" w:rsidR="00273252" w:rsidRDefault="005C38C7">
            <w:pPr>
              <w:widowControl w:val="0"/>
              <w:spacing w:line="240" w:lineRule="auto"/>
            </w:pPr>
            <w:proofErr w:type="spellStart"/>
            <w:r>
              <w:t>Tussen</w:t>
            </w:r>
            <w:proofErr w:type="spellEnd"/>
            <w:r>
              <w:t xml:space="preserve"> 200 </w:t>
            </w:r>
            <w:proofErr w:type="spellStart"/>
            <w:r>
              <w:t>en</w:t>
            </w:r>
            <w:proofErr w:type="spellEnd"/>
            <w:r>
              <w:t xml:space="preserve"> 500</w:t>
            </w:r>
          </w:p>
        </w:tc>
        <w:tc>
          <w:tcPr>
            <w:tcW w:w="1846" w:type="dxa"/>
            <w:tcMar>
              <w:top w:w="100" w:type="dxa"/>
              <w:left w:w="100" w:type="dxa"/>
              <w:bottom w:w="100" w:type="dxa"/>
              <w:right w:w="100" w:type="dxa"/>
            </w:tcMar>
          </w:tcPr>
          <w:p w14:paraId="425B99D1" w14:textId="77777777" w:rsidR="00273252" w:rsidRDefault="005C38C7">
            <w:pPr>
              <w:widowControl w:val="0"/>
              <w:spacing w:line="240" w:lineRule="auto"/>
            </w:pPr>
            <w:r>
              <w:t>14</w:t>
            </w:r>
          </w:p>
        </w:tc>
        <w:tc>
          <w:tcPr>
            <w:tcW w:w="2063" w:type="dxa"/>
            <w:tcMar>
              <w:top w:w="100" w:type="dxa"/>
              <w:left w:w="100" w:type="dxa"/>
              <w:bottom w:w="100" w:type="dxa"/>
              <w:right w:w="100" w:type="dxa"/>
            </w:tcMar>
          </w:tcPr>
          <w:p w14:paraId="4F28B500" w14:textId="77777777" w:rsidR="00273252" w:rsidRDefault="005C38C7">
            <w:pPr>
              <w:widowControl w:val="0"/>
              <w:spacing w:line="240" w:lineRule="auto"/>
            </w:pPr>
            <w:r>
              <w:t>10</w:t>
            </w:r>
          </w:p>
        </w:tc>
      </w:tr>
      <w:tr w:rsidR="00273252" w14:paraId="76275225" w14:textId="77777777" w:rsidTr="00D91FD5">
        <w:trPr>
          <w:trHeight w:val="233"/>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1A9EF" w14:textId="77777777" w:rsidR="00273252" w:rsidRDefault="005C38C7">
            <w:pPr>
              <w:widowControl w:val="0"/>
              <w:spacing w:line="240" w:lineRule="auto"/>
            </w:pPr>
            <w:proofErr w:type="spellStart"/>
            <w:r>
              <w:t>Tussen</w:t>
            </w:r>
            <w:proofErr w:type="spellEnd"/>
            <w:r>
              <w:t xml:space="preserve"> 500 </w:t>
            </w:r>
            <w:proofErr w:type="spellStart"/>
            <w:r>
              <w:t>en</w:t>
            </w:r>
            <w:proofErr w:type="spellEnd"/>
            <w:r>
              <w:t xml:space="preserve"> 750 </w:t>
            </w:r>
            <w:proofErr w:type="spellStart"/>
            <w:r>
              <w:t>punten</w:t>
            </w:r>
            <w:proofErr w:type="spellEnd"/>
          </w:p>
        </w:tc>
        <w:tc>
          <w:tcPr>
            <w:tcW w:w="1846" w:type="dxa"/>
            <w:tcMar>
              <w:top w:w="100" w:type="dxa"/>
              <w:left w:w="100" w:type="dxa"/>
              <w:bottom w:w="100" w:type="dxa"/>
              <w:right w:w="100" w:type="dxa"/>
            </w:tcMar>
          </w:tcPr>
          <w:p w14:paraId="4450EF98" w14:textId="77777777" w:rsidR="00273252" w:rsidRDefault="005C38C7">
            <w:pPr>
              <w:widowControl w:val="0"/>
              <w:spacing w:line="240" w:lineRule="auto"/>
            </w:pPr>
            <w:r>
              <w:t>15</w:t>
            </w:r>
          </w:p>
        </w:tc>
        <w:tc>
          <w:tcPr>
            <w:tcW w:w="2063" w:type="dxa"/>
            <w:tcMar>
              <w:top w:w="100" w:type="dxa"/>
              <w:left w:w="100" w:type="dxa"/>
              <w:bottom w:w="100" w:type="dxa"/>
              <w:right w:w="100" w:type="dxa"/>
            </w:tcMar>
          </w:tcPr>
          <w:p w14:paraId="700475C7" w14:textId="77777777" w:rsidR="00273252" w:rsidRDefault="005C38C7">
            <w:pPr>
              <w:widowControl w:val="0"/>
              <w:spacing w:line="240" w:lineRule="auto"/>
            </w:pPr>
            <w:r>
              <w:t>13</w:t>
            </w:r>
          </w:p>
        </w:tc>
      </w:tr>
      <w:tr w:rsidR="00273252" w14:paraId="7AAB27D4" w14:textId="77777777" w:rsidTr="00D91FD5">
        <w:trPr>
          <w:trHeight w:val="221"/>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74336" w14:textId="77777777" w:rsidR="00273252" w:rsidRDefault="005C38C7">
            <w:pPr>
              <w:widowControl w:val="0"/>
              <w:spacing w:line="240" w:lineRule="auto"/>
            </w:pPr>
            <w:proofErr w:type="spellStart"/>
            <w:r>
              <w:t>Tussen</w:t>
            </w:r>
            <w:proofErr w:type="spellEnd"/>
            <w:r>
              <w:t xml:space="preserve"> 750 </w:t>
            </w:r>
            <w:proofErr w:type="spellStart"/>
            <w:r>
              <w:t>en</w:t>
            </w:r>
            <w:proofErr w:type="spellEnd"/>
            <w:r>
              <w:t xml:space="preserve"> 1000 </w:t>
            </w:r>
            <w:proofErr w:type="spellStart"/>
            <w:r>
              <w:t>punten</w:t>
            </w:r>
            <w:proofErr w:type="spellEnd"/>
          </w:p>
        </w:tc>
        <w:tc>
          <w:tcPr>
            <w:tcW w:w="1846" w:type="dxa"/>
            <w:tcMar>
              <w:top w:w="100" w:type="dxa"/>
              <w:left w:w="100" w:type="dxa"/>
              <w:bottom w:w="100" w:type="dxa"/>
              <w:right w:w="100" w:type="dxa"/>
            </w:tcMar>
          </w:tcPr>
          <w:p w14:paraId="292A4C81" w14:textId="77777777" w:rsidR="00273252" w:rsidRDefault="005C38C7">
            <w:pPr>
              <w:widowControl w:val="0"/>
              <w:spacing w:line="240" w:lineRule="auto"/>
            </w:pPr>
            <w:r>
              <w:t>16</w:t>
            </w:r>
          </w:p>
        </w:tc>
        <w:tc>
          <w:tcPr>
            <w:tcW w:w="2063" w:type="dxa"/>
            <w:tcMar>
              <w:top w:w="100" w:type="dxa"/>
              <w:left w:w="100" w:type="dxa"/>
              <w:bottom w:w="100" w:type="dxa"/>
              <w:right w:w="100" w:type="dxa"/>
            </w:tcMar>
          </w:tcPr>
          <w:p w14:paraId="56C5BB31" w14:textId="77777777" w:rsidR="00273252" w:rsidRDefault="005C38C7">
            <w:pPr>
              <w:widowControl w:val="0"/>
              <w:spacing w:line="240" w:lineRule="auto"/>
            </w:pPr>
            <w:r>
              <w:t>16</w:t>
            </w:r>
          </w:p>
        </w:tc>
      </w:tr>
      <w:tr w:rsidR="00273252" w14:paraId="3F8987CB" w14:textId="77777777" w:rsidTr="00D91FD5">
        <w:trPr>
          <w:trHeight w:val="233"/>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3F8D6" w14:textId="77777777" w:rsidR="00273252" w:rsidRDefault="005C38C7">
            <w:pPr>
              <w:widowControl w:val="0"/>
              <w:spacing w:line="240" w:lineRule="auto"/>
            </w:pPr>
            <w:proofErr w:type="spellStart"/>
            <w:r>
              <w:t>Tussen</w:t>
            </w:r>
            <w:proofErr w:type="spellEnd"/>
            <w:r>
              <w:t xml:space="preserve"> 1000 </w:t>
            </w:r>
            <w:proofErr w:type="spellStart"/>
            <w:r>
              <w:t>en</w:t>
            </w:r>
            <w:proofErr w:type="spellEnd"/>
            <w:r>
              <w:t xml:space="preserve"> 1500 </w:t>
            </w:r>
            <w:proofErr w:type="spellStart"/>
            <w:r>
              <w:t>punten</w:t>
            </w:r>
            <w:proofErr w:type="spellEnd"/>
          </w:p>
        </w:tc>
        <w:tc>
          <w:tcPr>
            <w:tcW w:w="1846" w:type="dxa"/>
            <w:tcMar>
              <w:top w:w="100" w:type="dxa"/>
              <w:left w:w="100" w:type="dxa"/>
              <w:bottom w:w="100" w:type="dxa"/>
              <w:right w:w="100" w:type="dxa"/>
            </w:tcMar>
          </w:tcPr>
          <w:p w14:paraId="660DF74A" w14:textId="77777777" w:rsidR="00273252" w:rsidRDefault="005C38C7">
            <w:pPr>
              <w:widowControl w:val="0"/>
              <w:spacing w:line="240" w:lineRule="auto"/>
            </w:pPr>
            <w:r>
              <w:t>30</w:t>
            </w:r>
          </w:p>
        </w:tc>
        <w:tc>
          <w:tcPr>
            <w:tcW w:w="2063" w:type="dxa"/>
            <w:tcMar>
              <w:top w:w="100" w:type="dxa"/>
              <w:left w:w="100" w:type="dxa"/>
              <w:bottom w:w="100" w:type="dxa"/>
              <w:right w:w="100" w:type="dxa"/>
            </w:tcMar>
          </w:tcPr>
          <w:p w14:paraId="40D4D203" w14:textId="77777777" w:rsidR="00273252" w:rsidRDefault="005C38C7">
            <w:pPr>
              <w:widowControl w:val="0"/>
              <w:spacing w:line="240" w:lineRule="auto"/>
            </w:pPr>
            <w:r>
              <w:t>34</w:t>
            </w:r>
          </w:p>
        </w:tc>
      </w:tr>
      <w:tr w:rsidR="00273252" w14:paraId="45385877" w14:textId="77777777" w:rsidTr="00D91FD5">
        <w:trPr>
          <w:trHeight w:val="221"/>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B5442" w14:textId="77777777" w:rsidR="00273252" w:rsidRDefault="005C38C7">
            <w:pPr>
              <w:widowControl w:val="0"/>
              <w:spacing w:line="240" w:lineRule="auto"/>
            </w:pPr>
            <w:proofErr w:type="spellStart"/>
            <w:r>
              <w:t>Tussen</w:t>
            </w:r>
            <w:proofErr w:type="spellEnd"/>
            <w:r>
              <w:t xml:space="preserve"> 1500 </w:t>
            </w:r>
            <w:proofErr w:type="spellStart"/>
            <w:r>
              <w:t>en</w:t>
            </w:r>
            <w:proofErr w:type="spellEnd"/>
            <w:r>
              <w:t xml:space="preserve"> 2000 </w:t>
            </w:r>
            <w:proofErr w:type="spellStart"/>
            <w:r>
              <w:t>punten</w:t>
            </w:r>
            <w:proofErr w:type="spellEnd"/>
          </w:p>
        </w:tc>
        <w:tc>
          <w:tcPr>
            <w:tcW w:w="1846" w:type="dxa"/>
            <w:tcMar>
              <w:top w:w="100" w:type="dxa"/>
              <w:left w:w="100" w:type="dxa"/>
              <w:bottom w:w="100" w:type="dxa"/>
              <w:right w:w="100" w:type="dxa"/>
            </w:tcMar>
          </w:tcPr>
          <w:p w14:paraId="0B4C35D5" w14:textId="77777777" w:rsidR="00273252" w:rsidRDefault="005C38C7">
            <w:pPr>
              <w:widowControl w:val="0"/>
              <w:spacing w:line="240" w:lineRule="auto"/>
            </w:pPr>
            <w:r>
              <w:t>19</w:t>
            </w:r>
          </w:p>
        </w:tc>
        <w:tc>
          <w:tcPr>
            <w:tcW w:w="2063" w:type="dxa"/>
            <w:tcMar>
              <w:top w:w="100" w:type="dxa"/>
              <w:left w:w="100" w:type="dxa"/>
              <w:bottom w:w="100" w:type="dxa"/>
              <w:right w:w="100" w:type="dxa"/>
            </w:tcMar>
          </w:tcPr>
          <w:p w14:paraId="05B9D54B" w14:textId="77777777" w:rsidR="00273252" w:rsidRDefault="005C38C7">
            <w:pPr>
              <w:widowControl w:val="0"/>
              <w:spacing w:line="240" w:lineRule="auto"/>
            </w:pPr>
            <w:r>
              <w:t>23</w:t>
            </w:r>
          </w:p>
        </w:tc>
      </w:tr>
      <w:tr w:rsidR="00273252" w14:paraId="0C5C2CF2" w14:textId="77777777" w:rsidTr="00D91FD5">
        <w:trPr>
          <w:trHeight w:val="233"/>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6AC3E" w14:textId="77777777" w:rsidR="00273252" w:rsidRDefault="005C38C7">
            <w:pPr>
              <w:widowControl w:val="0"/>
              <w:spacing w:line="240" w:lineRule="auto"/>
            </w:pPr>
            <w:proofErr w:type="spellStart"/>
            <w:r>
              <w:t>Tussen</w:t>
            </w:r>
            <w:proofErr w:type="spellEnd"/>
            <w:r>
              <w:t xml:space="preserve"> 2000 </w:t>
            </w:r>
            <w:proofErr w:type="spellStart"/>
            <w:r>
              <w:t>en</w:t>
            </w:r>
            <w:proofErr w:type="spellEnd"/>
            <w:r>
              <w:t xml:space="preserve"> 3000 </w:t>
            </w:r>
            <w:proofErr w:type="spellStart"/>
            <w:r>
              <w:t>punten</w:t>
            </w:r>
            <w:proofErr w:type="spellEnd"/>
          </w:p>
        </w:tc>
        <w:tc>
          <w:tcPr>
            <w:tcW w:w="1846" w:type="dxa"/>
            <w:tcMar>
              <w:top w:w="100" w:type="dxa"/>
              <w:left w:w="100" w:type="dxa"/>
              <w:bottom w:w="100" w:type="dxa"/>
              <w:right w:w="100" w:type="dxa"/>
            </w:tcMar>
          </w:tcPr>
          <w:p w14:paraId="1E2A864A" w14:textId="77777777" w:rsidR="00273252" w:rsidRDefault="005C38C7">
            <w:pPr>
              <w:widowControl w:val="0"/>
              <w:spacing w:line="240" w:lineRule="auto"/>
            </w:pPr>
            <w:r>
              <w:t>35</w:t>
            </w:r>
          </w:p>
        </w:tc>
        <w:tc>
          <w:tcPr>
            <w:tcW w:w="2063" w:type="dxa"/>
            <w:tcMar>
              <w:top w:w="100" w:type="dxa"/>
              <w:left w:w="100" w:type="dxa"/>
              <w:bottom w:w="100" w:type="dxa"/>
              <w:right w:w="100" w:type="dxa"/>
            </w:tcMar>
          </w:tcPr>
          <w:p w14:paraId="606E8E76" w14:textId="77777777" w:rsidR="00273252" w:rsidRDefault="005C38C7">
            <w:pPr>
              <w:widowControl w:val="0"/>
              <w:spacing w:line="240" w:lineRule="auto"/>
            </w:pPr>
            <w:r>
              <w:t>30</w:t>
            </w:r>
          </w:p>
        </w:tc>
      </w:tr>
      <w:tr w:rsidR="00273252" w14:paraId="5C640B93" w14:textId="77777777" w:rsidTr="00D91FD5">
        <w:trPr>
          <w:trHeight w:val="221"/>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4FEDB" w14:textId="77777777" w:rsidR="00273252" w:rsidRDefault="005C38C7">
            <w:pPr>
              <w:widowControl w:val="0"/>
              <w:spacing w:line="240" w:lineRule="auto"/>
            </w:pPr>
            <w:proofErr w:type="spellStart"/>
            <w:r>
              <w:t>Tussen</w:t>
            </w:r>
            <w:proofErr w:type="spellEnd"/>
            <w:r>
              <w:t xml:space="preserve"> 3000 </w:t>
            </w:r>
            <w:proofErr w:type="spellStart"/>
            <w:r>
              <w:t>en</w:t>
            </w:r>
            <w:proofErr w:type="spellEnd"/>
            <w:r>
              <w:t xml:space="preserve"> 4000 </w:t>
            </w:r>
            <w:proofErr w:type="spellStart"/>
            <w:r>
              <w:t>punten</w:t>
            </w:r>
            <w:proofErr w:type="spellEnd"/>
          </w:p>
        </w:tc>
        <w:tc>
          <w:tcPr>
            <w:tcW w:w="1846" w:type="dxa"/>
            <w:tcMar>
              <w:top w:w="100" w:type="dxa"/>
              <w:left w:w="100" w:type="dxa"/>
              <w:bottom w:w="100" w:type="dxa"/>
              <w:right w:w="100" w:type="dxa"/>
            </w:tcMar>
          </w:tcPr>
          <w:p w14:paraId="5721E136" w14:textId="77777777" w:rsidR="00273252" w:rsidRDefault="005C38C7">
            <w:pPr>
              <w:widowControl w:val="0"/>
              <w:spacing w:line="240" w:lineRule="auto"/>
            </w:pPr>
            <w:r>
              <w:t>15</w:t>
            </w:r>
          </w:p>
        </w:tc>
        <w:tc>
          <w:tcPr>
            <w:tcW w:w="2063" w:type="dxa"/>
            <w:tcMar>
              <w:top w:w="100" w:type="dxa"/>
              <w:left w:w="100" w:type="dxa"/>
              <w:bottom w:w="100" w:type="dxa"/>
              <w:right w:w="100" w:type="dxa"/>
            </w:tcMar>
          </w:tcPr>
          <w:p w14:paraId="49C9C3A9" w14:textId="77777777" w:rsidR="00273252" w:rsidRDefault="005C38C7">
            <w:pPr>
              <w:widowControl w:val="0"/>
              <w:spacing w:line="240" w:lineRule="auto"/>
            </w:pPr>
            <w:r>
              <w:t>14</w:t>
            </w:r>
          </w:p>
        </w:tc>
      </w:tr>
      <w:tr w:rsidR="00273252" w14:paraId="1AC259D9" w14:textId="77777777" w:rsidTr="00D91FD5">
        <w:trPr>
          <w:trHeight w:val="233"/>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CF6CC" w14:textId="77777777" w:rsidR="00273252" w:rsidRDefault="005C38C7">
            <w:pPr>
              <w:widowControl w:val="0"/>
              <w:spacing w:line="240" w:lineRule="auto"/>
            </w:pPr>
            <w:proofErr w:type="spellStart"/>
            <w:r>
              <w:t>Tussen</w:t>
            </w:r>
            <w:proofErr w:type="spellEnd"/>
            <w:r>
              <w:t xml:space="preserve"> 4000 </w:t>
            </w:r>
            <w:proofErr w:type="spellStart"/>
            <w:r>
              <w:t>en</w:t>
            </w:r>
            <w:proofErr w:type="spellEnd"/>
            <w:r>
              <w:t xml:space="preserve"> 5000 </w:t>
            </w:r>
            <w:proofErr w:type="spellStart"/>
            <w:r>
              <w:t>punten</w:t>
            </w:r>
            <w:proofErr w:type="spellEnd"/>
          </w:p>
        </w:tc>
        <w:tc>
          <w:tcPr>
            <w:tcW w:w="1846" w:type="dxa"/>
            <w:tcMar>
              <w:top w:w="100" w:type="dxa"/>
              <w:left w:w="100" w:type="dxa"/>
              <w:bottom w:w="100" w:type="dxa"/>
              <w:right w:w="100" w:type="dxa"/>
            </w:tcMar>
          </w:tcPr>
          <w:p w14:paraId="4334B545" w14:textId="77777777" w:rsidR="00273252" w:rsidRDefault="005C38C7">
            <w:pPr>
              <w:widowControl w:val="0"/>
              <w:spacing w:line="240" w:lineRule="auto"/>
            </w:pPr>
            <w:r>
              <w:t>14</w:t>
            </w:r>
          </w:p>
        </w:tc>
        <w:tc>
          <w:tcPr>
            <w:tcW w:w="2063" w:type="dxa"/>
            <w:tcMar>
              <w:top w:w="100" w:type="dxa"/>
              <w:left w:w="100" w:type="dxa"/>
              <w:bottom w:w="100" w:type="dxa"/>
              <w:right w:w="100" w:type="dxa"/>
            </w:tcMar>
          </w:tcPr>
          <w:p w14:paraId="581AE4A4" w14:textId="77777777" w:rsidR="00273252" w:rsidRDefault="005C38C7">
            <w:pPr>
              <w:widowControl w:val="0"/>
              <w:spacing w:line="240" w:lineRule="auto"/>
            </w:pPr>
            <w:r>
              <w:t>15</w:t>
            </w:r>
          </w:p>
        </w:tc>
      </w:tr>
      <w:tr w:rsidR="00273252" w14:paraId="7CF00658" w14:textId="77777777" w:rsidTr="00D91FD5">
        <w:trPr>
          <w:trHeight w:val="233"/>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D8D62" w14:textId="77777777" w:rsidR="00273252" w:rsidRDefault="005C38C7">
            <w:pPr>
              <w:widowControl w:val="0"/>
              <w:spacing w:line="240" w:lineRule="auto"/>
            </w:pPr>
            <w:proofErr w:type="spellStart"/>
            <w:r>
              <w:t>Tussen</w:t>
            </w:r>
            <w:proofErr w:type="spellEnd"/>
            <w:r>
              <w:t xml:space="preserve"> 5000 </w:t>
            </w:r>
            <w:proofErr w:type="spellStart"/>
            <w:r>
              <w:t>en</w:t>
            </w:r>
            <w:proofErr w:type="spellEnd"/>
            <w:r>
              <w:t xml:space="preserve"> 7500 </w:t>
            </w:r>
            <w:proofErr w:type="spellStart"/>
            <w:r>
              <w:t>punten</w:t>
            </w:r>
            <w:proofErr w:type="spellEnd"/>
          </w:p>
        </w:tc>
        <w:tc>
          <w:tcPr>
            <w:tcW w:w="1846" w:type="dxa"/>
            <w:tcMar>
              <w:top w:w="100" w:type="dxa"/>
              <w:left w:w="100" w:type="dxa"/>
              <w:bottom w:w="100" w:type="dxa"/>
              <w:right w:w="100" w:type="dxa"/>
            </w:tcMar>
          </w:tcPr>
          <w:p w14:paraId="1625C13F" w14:textId="77777777" w:rsidR="00273252" w:rsidRDefault="005C38C7">
            <w:pPr>
              <w:widowControl w:val="0"/>
              <w:spacing w:line="240" w:lineRule="auto"/>
            </w:pPr>
            <w:r>
              <w:t>19</w:t>
            </w:r>
          </w:p>
        </w:tc>
        <w:tc>
          <w:tcPr>
            <w:tcW w:w="2063" w:type="dxa"/>
            <w:tcMar>
              <w:top w:w="100" w:type="dxa"/>
              <w:left w:w="100" w:type="dxa"/>
              <w:bottom w:w="100" w:type="dxa"/>
              <w:right w:w="100" w:type="dxa"/>
            </w:tcMar>
          </w:tcPr>
          <w:p w14:paraId="41733CCB" w14:textId="77777777" w:rsidR="00273252" w:rsidRDefault="005C38C7">
            <w:pPr>
              <w:widowControl w:val="0"/>
              <w:spacing w:line="240" w:lineRule="auto"/>
            </w:pPr>
            <w:r>
              <w:t>21</w:t>
            </w:r>
          </w:p>
        </w:tc>
      </w:tr>
      <w:tr w:rsidR="00273252" w14:paraId="62E7D2CF" w14:textId="77777777" w:rsidTr="00D91FD5">
        <w:trPr>
          <w:trHeight w:val="221"/>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04C91" w14:textId="77777777" w:rsidR="00273252" w:rsidRDefault="005C38C7">
            <w:pPr>
              <w:widowControl w:val="0"/>
              <w:spacing w:line="240" w:lineRule="auto"/>
            </w:pPr>
            <w:proofErr w:type="spellStart"/>
            <w:r>
              <w:t>Tussen</w:t>
            </w:r>
            <w:proofErr w:type="spellEnd"/>
            <w:r>
              <w:t xml:space="preserve"> 7500 </w:t>
            </w:r>
            <w:proofErr w:type="spellStart"/>
            <w:r>
              <w:t>en</w:t>
            </w:r>
            <w:proofErr w:type="spellEnd"/>
            <w:r>
              <w:t xml:space="preserve"> 10.000 </w:t>
            </w:r>
            <w:proofErr w:type="spellStart"/>
            <w:r>
              <w:t>punten</w:t>
            </w:r>
            <w:proofErr w:type="spellEnd"/>
          </w:p>
        </w:tc>
        <w:tc>
          <w:tcPr>
            <w:tcW w:w="1846" w:type="dxa"/>
            <w:tcMar>
              <w:top w:w="100" w:type="dxa"/>
              <w:left w:w="100" w:type="dxa"/>
              <w:bottom w:w="100" w:type="dxa"/>
              <w:right w:w="100" w:type="dxa"/>
            </w:tcMar>
          </w:tcPr>
          <w:p w14:paraId="1AF60E0D" w14:textId="77777777" w:rsidR="00273252" w:rsidRDefault="005C38C7">
            <w:pPr>
              <w:widowControl w:val="0"/>
              <w:spacing w:line="240" w:lineRule="auto"/>
            </w:pPr>
            <w:r>
              <w:t>9</w:t>
            </w:r>
          </w:p>
        </w:tc>
        <w:tc>
          <w:tcPr>
            <w:tcW w:w="2063" w:type="dxa"/>
            <w:tcMar>
              <w:top w:w="100" w:type="dxa"/>
              <w:left w:w="100" w:type="dxa"/>
              <w:bottom w:w="100" w:type="dxa"/>
              <w:right w:w="100" w:type="dxa"/>
            </w:tcMar>
          </w:tcPr>
          <w:p w14:paraId="6C85C51D" w14:textId="77777777" w:rsidR="00273252" w:rsidRDefault="005C38C7">
            <w:pPr>
              <w:widowControl w:val="0"/>
              <w:spacing w:line="240" w:lineRule="auto"/>
            </w:pPr>
            <w:r>
              <w:t>8</w:t>
            </w:r>
          </w:p>
        </w:tc>
      </w:tr>
      <w:tr w:rsidR="00273252" w14:paraId="13E00E5E" w14:textId="77777777" w:rsidTr="00D91FD5">
        <w:trPr>
          <w:trHeight w:val="221"/>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F30FA" w14:textId="77777777" w:rsidR="00273252" w:rsidRDefault="005C38C7">
            <w:pPr>
              <w:widowControl w:val="0"/>
              <w:spacing w:line="240" w:lineRule="auto"/>
            </w:pPr>
            <w:proofErr w:type="spellStart"/>
            <w:r>
              <w:lastRenderedPageBreak/>
              <w:t>Tussen</w:t>
            </w:r>
            <w:proofErr w:type="spellEnd"/>
            <w:r>
              <w:t xml:space="preserve"> 10.000 </w:t>
            </w:r>
            <w:proofErr w:type="spellStart"/>
            <w:r>
              <w:t>en</w:t>
            </w:r>
            <w:proofErr w:type="spellEnd"/>
            <w:r>
              <w:t xml:space="preserve"> 15.000 </w:t>
            </w:r>
            <w:proofErr w:type="spellStart"/>
            <w:r>
              <w:t>punten</w:t>
            </w:r>
            <w:proofErr w:type="spellEnd"/>
          </w:p>
        </w:tc>
        <w:tc>
          <w:tcPr>
            <w:tcW w:w="1846" w:type="dxa"/>
            <w:tcMar>
              <w:top w:w="100" w:type="dxa"/>
              <w:left w:w="100" w:type="dxa"/>
              <w:bottom w:w="100" w:type="dxa"/>
              <w:right w:w="100" w:type="dxa"/>
            </w:tcMar>
          </w:tcPr>
          <w:p w14:paraId="7A56E898" w14:textId="77777777" w:rsidR="00273252" w:rsidRDefault="005C38C7">
            <w:pPr>
              <w:widowControl w:val="0"/>
              <w:spacing w:line="240" w:lineRule="auto"/>
            </w:pPr>
            <w:r>
              <w:t>12</w:t>
            </w:r>
          </w:p>
        </w:tc>
        <w:tc>
          <w:tcPr>
            <w:tcW w:w="2063" w:type="dxa"/>
            <w:tcMar>
              <w:top w:w="100" w:type="dxa"/>
              <w:left w:w="100" w:type="dxa"/>
              <w:bottom w:w="100" w:type="dxa"/>
              <w:right w:w="100" w:type="dxa"/>
            </w:tcMar>
          </w:tcPr>
          <w:p w14:paraId="73260022" w14:textId="77777777" w:rsidR="00273252" w:rsidRDefault="005C38C7">
            <w:pPr>
              <w:widowControl w:val="0"/>
              <w:spacing w:line="240" w:lineRule="auto"/>
            </w:pPr>
            <w:r>
              <w:t>15</w:t>
            </w:r>
          </w:p>
        </w:tc>
      </w:tr>
      <w:tr w:rsidR="00273252" w14:paraId="2AC362A6" w14:textId="77777777" w:rsidTr="00D91FD5">
        <w:trPr>
          <w:trHeight w:val="208"/>
        </w:trPr>
        <w:tc>
          <w:tcPr>
            <w:tcW w:w="31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3E2ED" w14:textId="77777777" w:rsidR="00273252" w:rsidRDefault="005C38C7">
            <w:pPr>
              <w:widowControl w:val="0"/>
              <w:spacing w:line="240" w:lineRule="auto"/>
            </w:pPr>
            <w:r>
              <w:t xml:space="preserve">Meer </w:t>
            </w:r>
            <w:proofErr w:type="spellStart"/>
            <w:r>
              <w:t>dan</w:t>
            </w:r>
            <w:proofErr w:type="spellEnd"/>
            <w:r>
              <w:t xml:space="preserve"> 15.000 </w:t>
            </w:r>
            <w:proofErr w:type="spellStart"/>
            <w:r>
              <w:t>punten</w:t>
            </w:r>
            <w:proofErr w:type="spellEnd"/>
          </w:p>
        </w:tc>
        <w:tc>
          <w:tcPr>
            <w:tcW w:w="1846" w:type="dxa"/>
            <w:tcMar>
              <w:top w:w="100" w:type="dxa"/>
              <w:left w:w="100" w:type="dxa"/>
              <w:bottom w:w="100" w:type="dxa"/>
              <w:right w:w="100" w:type="dxa"/>
            </w:tcMar>
          </w:tcPr>
          <w:p w14:paraId="6575491B" w14:textId="77777777" w:rsidR="00273252" w:rsidRDefault="005C38C7">
            <w:pPr>
              <w:widowControl w:val="0"/>
              <w:spacing w:line="240" w:lineRule="auto"/>
            </w:pPr>
            <w:r>
              <w:t>7</w:t>
            </w:r>
          </w:p>
        </w:tc>
        <w:tc>
          <w:tcPr>
            <w:tcW w:w="2063" w:type="dxa"/>
            <w:tcMar>
              <w:top w:w="100" w:type="dxa"/>
              <w:left w:w="100" w:type="dxa"/>
              <w:bottom w:w="100" w:type="dxa"/>
              <w:right w:w="100" w:type="dxa"/>
            </w:tcMar>
          </w:tcPr>
          <w:p w14:paraId="5F8274B0" w14:textId="77777777" w:rsidR="00273252" w:rsidRDefault="005C38C7">
            <w:pPr>
              <w:widowControl w:val="0"/>
              <w:spacing w:line="240" w:lineRule="auto"/>
            </w:pPr>
            <w:r>
              <w:t>7</w:t>
            </w:r>
          </w:p>
        </w:tc>
      </w:tr>
    </w:tbl>
    <w:p w14:paraId="24AC4490" w14:textId="77777777" w:rsidR="00273252" w:rsidRDefault="00273252">
      <w:pPr>
        <w:widowControl w:val="0"/>
        <w:pBdr>
          <w:top w:val="nil"/>
          <w:left w:val="nil"/>
          <w:bottom w:val="nil"/>
          <w:right w:val="nil"/>
          <w:between w:val="nil"/>
        </w:pBdr>
        <w:spacing w:line="360" w:lineRule="auto"/>
      </w:pPr>
    </w:p>
    <w:p w14:paraId="136ED6CF" w14:textId="21679EB5" w:rsidR="00273252" w:rsidRPr="007E08CF" w:rsidRDefault="007E08CF">
      <w:pPr>
        <w:widowControl w:val="0"/>
        <w:spacing w:line="360" w:lineRule="auto"/>
        <w:rPr>
          <w:b/>
          <w:lang w:val="nl-BE"/>
        </w:rPr>
      </w:pPr>
      <w:r>
        <w:rPr>
          <w:lang w:val="nl-BE"/>
        </w:rPr>
        <w:t xml:space="preserve">De Vergunde Zorgaanbieder heeft via de geïntegreerde registratie (GIR) enkel zicht op het totale budget van de gebruiker, er werd niet gerekend met uitgesplitst budgetten per overeenkomst. </w:t>
      </w:r>
      <w:r w:rsidR="005C38C7" w:rsidRPr="007E08CF">
        <w:rPr>
          <w:lang w:val="nl-BE"/>
        </w:rPr>
        <w:t>Als cliënt X een deel van zijn PVB inzette bij voorziening A en een deel bij voorziening B, dan kregen zowel A als B het volledige bedrag van het totale PVB van de cliënt te zien. Hetzelfde als een persoon zijn budget deels inzette bij niet vergund zorgaanbod en deels bij een vergunde zorgaanbieder; ook in dat geval krijgt de vergunde zorgaanbieder in de GIR het totale PVB van de betrokken budgethouder te zien.</w:t>
      </w:r>
      <w:r>
        <w:rPr>
          <w:lang w:val="nl-BE"/>
        </w:rPr>
        <w:t xml:space="preserve"> </w:t>
      </w:r>
      <w:r w:rsidR="005C38C7" w:rsidRPr="007E08CF">
        <w:rPr>
          <w:lang w:val="nl-BE"/>
        </w:rPr>
        <w:t xml:space="preserve">Dit beeld zien we terug in </w:t>
      </w:r>
      <w:r w:rsidR="00931646" w:rsidRPr="007E08CF">
        <w:rPr>
          <w:b/>
          <w:lang w:val="nl-BE"/>
        </w:rPr>
        <w:t>grafiek</w:t>
      </w:r>
      <w:r w:rsidR="005C38C7" w:rsidRPr="007E08CF">
        <w:rPr>
          <w:b/>
          <w:lang w:val="nl-BE"/>
        </w:rPr>
        <w:t xml:space="preserve"> a).</w:t>
      </w:r>
    </w:p>
    <w:p w14:paraId="64EFBFFD" w14:textId="77777777" w:rsidR="007E08CF" w:rsidRPr="007E08CF" w:rsidRDefault="007E08CF">
      <w:pPr>
        <w:widowControl w:val="0"/>
        <w:spacing w:line="360" w:lineRule="auto"/>
        <w:rPr>
          <w:lang w:val="nl-BE"/>
        </w:rPr>
      </w:pPr>
    </w:p>
    <w:p w14:paraId="1E3374BB" w14:textId="485FC704" w:rsidR="00273252" w:rsidRDefault="00931646">
      <w:pPr>
        <w:widowControl w:val="0"/>
        <w:spacing w:line="360" w:lineRule="auto"/>
        <w:rPr>
          <w:lang w:val="nl-BE"/>
        </w:rPr>
      </w:pPr>
      <w:r w:rsidRPr="007E08CF">
        <w:rPr>
          <w:b/>
          <w:lang w:val="nl-BE"/>
        </w:rPr>
        <w:t xml:space="preserve">Grafiek </w:t>
      </w:r>
      <w:r w:rsidR="005C38C7" w:rsidRPr="007E08CF">
        <w:rPr>
          <w:b/>
          <w:lang w:val="nl-BE"/>
        </w:rPr>
        <w:t>b)</w:t>
      </w:r>
      <w:r w:rsidR="005C38C7" w:rsidRPr="007E08CF">
        <w:rPr>
          <w:lang w:val="nl-BE"/>
        </w:rPr>
        <w:t xml:space="preserve"> benadert meer de actuele realiteit van de vergunde zorgaanbieders, zonder echter rekening te kunnen houden met de keuzes die de individuele budgethouders zullen maken eens correctiefase 2 feitelijk wordt doorgevoerd.</w:t>
      </w:r>
    </w:p>
    <w:p w14:paraId="5C1199AD" w14:textId="23C20A52" w:rsidR="00D91FD5" w:rsidRPr="007E08CF" w:rsidRDefault="00D91FD5" w:rsidP="00D91FD5">
      <w:pPr>
        <w:widowControl w:val="0"/>
        <w:pBdr>
          <w:top w:val="nil"/>
          <w:left w:val="nil"/>
          <w:bottom w:val="nil"/>
          <w:right w:val="nil"/>
          <w:between w:val="nil"/>
        </w:pBdr>
        <w:spacing w:line="360" w:lineRule="auto"/>
        <w:rPr>
          <w:lang w:val="nl-BE"/>
        </w:rPr>
      </w:pPr>
      <w:r>
        <w:rPr>
          <w:lang w:val="nl-BE"/>
        </w:rPr>
        <w:br/>
      </w:r>
      <w:r w:rsidRPr="007E08CF">
        <w:rPr>
          <w:lang w:val="nl-BE"/>
        </w:rPr>
        <w:t xml:space="preserve">De impact op niveau van de VZA is een afgeleide van de impact van CF2 op de individuele budgetten. Alle berekeningen die het VAPH heeft uitgevoerd </w:t>
      </w:r>
      <w:proofErr w:type="spellStart"/>
      <w:r w:rsidRPr="007E08CF">
        <w:rPr>
          <w:lang w:val="nl-BE"/>
        </w:rPr>
        <w:t>ikv</w:t>
      </w:r>
      <w:proofErr w:type="spellEnd"/>
      <w:r w:rsidRPr="007E08CF">
        <w:rPr>
          <w:lang w:val="nl-BE"/>
        </w:rPr>
        <w:t xml:space="preserve"> CF2 zijn steeds op het niveau van de individuele budgethouders gebeurd.</w:t>
      </w:r>
    </w:p>
    <w:p w14:paraId="2A41667A" w14:textId="77777777" w:rsidR="00D91FD5" w:rsidRPr="007E08CF" w:rsidRDefault="00D91FD5" w:rsidP="00D91FD5">
      <w:pPr>
        <w:widowControl w:val="0"/>
        <w:spacing w:line="360" w:lineRule="auto"/>
        <w:rPr>
          <w:lang w:val="nl-BE"/>
        </w:rPr>
      </w:pPr>
    </w:p>
    <w:p w14:paraId="2A052DFD" w14:textId="740D1E85" w:rsidR="00D91FD5" w:rsidRPr="007E08CF" w:rsidRDefault="00D91FD5" w:rsidP="00D91FD5">
      <w:pPr>
        <w:widowControl w:val="0"/>
        <w:spacing w:line="360" w:lineRule="auto"/>
        <w:rPr>
          <w:lang w:val="nl-BE"/>
        </w:rPr>
      </w:pPr>
      <w:r w:rsidRPr="007E08CF">
        <w:rPr>
          <w:lang w:val="nl-BE"/>
        </w:rPr>
        <w:t>Heel wat budgethouders zetten hun PVB gespreid in over verschillende zorgaanbieders, al dan niet vergund</w:t>
      </w:r>
      <w:r>
        <w:rPr>
          <w:lang w:val="nl-BE"/>
        </w:rPr>
        <w:t xml:space="preserve"> of combineren met cashbesteding</w:t>
      </w:r>
      <w:r w:rsidRPr="007E08CF">
        <w:rPr>
          <w:lang w:val="nl-BE"/>
        </w:rPr>
        <w:t xml:space="preserve">. </w:t>
      </w:r>
      <w:r>
        <w:rPr>
          <w:lang w:val="nl-BE"/>
        </w:rPr>
        <w:t>Het VAPH</w:t>
      </w:r>
      <w:r w:rsidRPr="007E08CF">
        <w:rPr>
          <w:lang w:val="nl-BE"/>
        </w:rPr>
        <w:t xml:space="preserve"> we</w:t>
      </w:r>
      <w:r>
        <w:rPr>
          <w:lang w:val="nl-BE"/>
        </w:rPr>
        <w:t>e</w:t>
      </w:r>
      <w:r w:rsidRPr="007E08CF">
        <w:rPr>
          <w:lang w:val="nl-BE"/>
        </w:rPr>
        <w:t>t niet of budgethouders in het licht van de aanpassingen van de budgetten hun besteding zullen wijzigen of verder continueren.  Afhankelijk daarvan zal ook het effect van CF2 voor de VZA anders zijn.</w:t>
      </w:r>
      <w:r>
        <w:rPr>
          <w:lang w:val="nl-BE"/>
        </w:rPr>
        <w:t xml:space="preserve"> Daarom wordt ervoor gekozen om beide cijfergegevens mee te geven. </w:t>
      </w:r>
    </w:p>
    <w:p w14:paraId="43C6B28C" w14:textId="77777777" w:rsidR="00273252" w:rsidRPr="007E08CF" w:rsidRDefault="00273252">
      <w:pPr>
        <w:widowControl w:val="0"/>
        <w:pBdr>
          <w:top w:val="nil"/>
          <w:left w:val="nil"/>
          <w:bottom w:val="nil"/>
          <w:right w:val="nil"/>
          <w:between w:val="nil"/>
        </w:pBdr>
        <w:spacing w:line="360" w:lineRule="auto"/>
        <w:rPr>
          <w:lang w:val="nl-BE"/>
        </w:rPr>
      </w:pPr>
    </w:p>
    <w:p w14:paraId="38BC8FB5" w14:textId="77777777" w:rsidR="00273252" w:rsidRPr="007E08CF" w:rsidRDefault="005C38C7">
      <w:pPr>
        <w:widowControl w:val="0"/>
        <w:pBdr>
          <w:top w:val="nil"/>
          <w:left w:val="nil"/>
          <w:bottom w:val="nil"/>
          <w:right w:val="nil"/>
          <w:between w:val="nil"/>
        </w:pBdr>
        <w:spacing w:line="360" w:lineRule="auto"/>
        <w:rPr>
          <w:lang w:val="nl-BE"/>
        </w:rPr>
      </w:pPr>
      <w:r w:rsidRPr="007E08CF">
        <w:rPr>
          <w:lang w:val="nl-BE"/>
        </w:rPr>
        <w:t>In januari - februari 2020 zullen infosessies georganiseerd worden waarop de wijze van berekening van impact CF2 zal worden toegelicht. Na deze infosessies zal er ook de mogelijkheid geboden worden tot bespreking van het dossier van de eigen voorziening.</w:t>
      </w:r>
    </w:p>
    <w:p w14:paraId="34E1ED58" w14:textId="77777777" w:rsidR="00273252" w:rsidRPr="007E08CF" w:rsidRDefault="00273252">
      <w:pPr>
        <w:widowControl w:val="0"/>
        <w:pBdr>
          <w:top w:val="nil"/>
          <w:left w:val="nil"/>
          <w:bottom w:val="nil"/>
          <w:right w:val="nil"/>
          <w:between w:val="nil"/>
        </w:pBdr>
        <w:spacing w:line="360" w:lineRule="auto"/>
        <w:rPr>
          <w:lang w:val="nl-BE"/>
        </w:rPr>
      </w:pPr>
    </w:p>
    <w:p w14:paraId="5A5B1399" w14:textId="77777777" w:rsidR="00273252" w:rsidRPr="007E08CF" w:rsidRDefault="005C38C7">
      <w:pPr>
        <w:widowControl w:val="0"/>
        <w:pBdr>
          <w:top w:val="nil"/>
          <w:left w:val="nil"/>
          <w:bottom w:val="nil"/>
          <w:right w:val="nil"/>
          <w:between w:val="nil"/>
        </w:pBdr>
        <w:spacing w:line="360" w:lineRule="auto"/>
        <w:rPr>
          <w:lang w:val="nl-BE"/>
        </w:rPr>
      </w:pPr>
      <w:r w:rsidRPr="007E08CF">
        <w:rPr>
          <w:lang w:val="nl-BE"/>
        </w:rPr>
        <w:t xml:space="preserve">In de infonota “INF/19/68 Coaching voor vergunde zorgaanbieders gevat door correctiefase 2” wordt beschreven hoe u als vergunde zorgaanbieder kan intekenen op een </w:t>
      </w:r>
      <w:proofErr w:type="spellStart"/>
      <w:r w:rsidRPr="007E08CF">
        <w:rPr>
          <w:lang w:val="nl-BE"/>
        </w:rPr>
        <w:t>coachingtraject</w:t>
      </w:r>
      <w:proofErr w:type="spellEnd"/>
      <w:r w:rsidRPr="007E08CF">
        <w:rPr>
          <w:lang w:val="nl-BE"/>
        </w:rPr>
        <w:t xml:space="preserve">. Eén van de voorwaarden om in aanmerking te komen voor deze </w:t>
      </w:r>
      <w:proofErr w:type="spellStart"/>
      <w:r w:rsidRPr="007E08CF">
        <w:rPr>
          <w:lang w:val="nl-BE"/>
        </w:rPr>
        <w:t>coachingtrajecten</w:t>
      </w:r>
      <w:proofErr w:type="spellEnd"/>
      <w:r w:rsidRPr="007E08CF">
        <w:rPr>
          <w:lang w:val="nl-BE"/>
        </w:rPr>
        <w:t xml:space="preserve"> is dat uw organisatie meer dan </w:t>
      </w:r>
      <w:r w:rsidRPr="007E08CF">
        <w:rPr>
          <w:b/>
          <w:i/>
          <w:lang w:val="nl-BE"/>
        </w:rPr>
        <w:t>10% zorggebonden middelen verliest</w:t>
      </w:r>
      <w:r w:rsidRPr="007E08CF">
        <w:rPr>
          <w:lang w:val="nl-BE"/>
        </w:rPr>
        <w:t xml:space="preserve"> als gevolg van correctiefase 2. In het geïndividualiseerde overzicht dat in bijlage wordt ter beschikking gesteld vindt u daarom terug of </w:t>
      </w:r>
      <w:r w:rsidRPr="007E08CF">
        <w:rPr>
          <w:lang w:val="nl-BE"/>
        </w:rPr>
        <w:lastRenderedPageBreak/>
        <w:t>uw organisatie volgens het VAPH wel of niet voldoet aan deze instapvoorwaarde.</w:t>
      </w:r>
    </w:p>
    <w:p w14:paraId="730BAB1F" w14:textId="77777777" w:rsidR="00273252" w:rsidRPr="007E08CF" w:rsidRDefault="00273252">
      <w:pPr>
        <w:widowControl w:val="0"/>
        <w:pBdr>
          <w:top w:val="nil"/>
          <w:left w:val="nil"/>
          <w:bottom w:val="nil"/>
          <w:right w:val="nil"/>
          <w:between w:val="nil"/>
        </w:pBdr>
        <w:spacing w:line="360" w:lineRule="auto"/>
        <w:rPr>
          <w:lang w:val="nl-BE"/>
        </w:rPr>
      </w:pPr>
    </w:p>
    <w:p w14:paraId="21B0BC99" w14:textId="3658B978" w:rsidR="00273252" w:rsidRPr="007E08CF" w:rsidRDefault="00D91FD5">
      <w:pPr>
        <w:widowControl w:val="0"/>
        <w:pBdr>
          <w:top w:val="nil"/>
          <w:left w:val="nil"/>
          <w:bottom w:val="nil"/>
          <w:right w:val="nil"/>
          <w:between w:val="nil"/>
        </w:pBdr>
        <w:spacing w:line="360" w:lineRule="auto"/>
        <w:rPr>
          <w:b/>
          <w:lang w:val="nl-BE"/>
        </w:rPr>
      </w:pPr>
      <w:r>
        <w:rPr>
          <w:b/>
          <w:lang w:val="nl-BE"/>
        </w:rPr>
        <w:br/>
      </w:r>
      <w:r w:rsidR="005C38C7" w:rsidRPr="007E08CF">
        <w:rPr>
          <w:b/>
          <w:lang w:val="nl-BE"/>
        </w:rPr>
        <w:t xml:space="preserve">De </w:t>
      </w:r>
      <w:r w:rsidR="00B14FB4">
        <w:rPr>
          <w:b/>
          <w:lang w:val="nl-BE"/>
        </w:rPr>
        <w:t xml:space="preserve">bijgevoegde </w:t>
      </w:r>
      <w:r w:rsidR="005C38C7" w:rsidRPr="007E08CF">
        <w:rPr>
          <w:b/>
          <w:lang w:val="nl-BE"/>
        </w:rPr>
        <w:t xml:space="preserve">tabel: </w:t>
      </w:r>
    </w:p>
    <w:p w14:paraId="144008A2" w14:textId="7DA6E0B0" w:rsidR="00273252" w:rsidRDefault="007E08CF">
      <w:pPr>
        <w:widowControl w:val="0"/>
        <w:pBdr>
          <w:top w:val="nil"/>
          <w:left w:val="nil"/>
          <w:bottom w:val="nil"/>
          <w:right w:val="nil"/>
          <w:between w:val="nil"/>
        </w:pBdr>
        <w:spacing w:line="360" w:lineRule="auto"/>
        <w:rPr>
          <w:lang w:val="nl-BE"/>
        </w:rPr>
      </w:pPr>
      <w:r>
        <w:rPr>
          <w:lang w:val="nl-BE"/>
        </w:rPr>
        <w:t xml:space="preserve">De tabel wordt u via een aparte mail toegestuurd. Op basis van een voorbeeld wordt hieronder een toelichting gegeven. </w:t>
      </w:r>
    </w:p>
    <w:p w14:paraId="0606C563" w14:textId="77777777" w:rsidR="007E08CF" w:rsidRPr="007E08CF" w:rsidRDefault="007E08CF">
      <w:pPr>
        <w:widowControl w:val="0"/>
        <w:pBdr>
          <w:top w:val="nil"/>
          <w:left w:val="nil"/>
          <w:bottom w:val="nil"/>
          <w:right w:val="nil"/>
          <w:between w:val="nil"/>
        </w:pBdr>
        <w:spacing w:line="360" w:lineRule="auto"/>
        <w:rPr>
          <w:lang w:val="nl-BE"/>
        </w:rPr>
      </w:pPr>
    </w:p>
    <w:p w14:paraId="7797FA87" w14:textId="77777777" w:rsidR="00273252" w:rsidRPr="007E08CF" w:rsidRDefault="005C38C7">
      <w:pPr>
        <w:widowControl w:val="0"/>
        <w:pBdr>
          <w:top w:val="nil"/>
          <w:left w:val="nil"/>
          <w:bottom w:val="nil"/>
          <w:right w:val="nil"/>
          <w:between w:val="nil"/>
        </w:pBdr>
        <w:spacing w:line="360" w:lineRule="auto"/>
        <w:rPr>
          <w:b/>
          <w:lang w:val="nl-BE"/>
        </w:rPr>
      </w:pPr>
      <w:r w:rsidRPr="007E08CF">
        <w:rPr>
          <w:b/>
          <w:lang w:val="nl-BE"/>
        </w:rPr>
        <w:t xml:space="preserve">Over wie gaat dit? </w:t>
      </w:r>
    </w:p>
    <w:p w14:paraId="1C72F86B" w14:textId="77777777" w:rsidR="00273252" w:rsidRPr="007E08CF" w:rsidRDefault="00273252">
      <w:pPr>
        <w:widowControl w:val="0"/>
        <w:pBdr>
          <w:top w:val="nil"/>
          <w:left w:val="nil"/>
          <w:bottom w:val="nil"/>
          <w:right w:val="nil"/>
          <w:between w:val="nil"/>
        </w:pBdr>
        <w:spacing w:line="360" w:lineRule="auto"/>
        <w:rPr>
          <w:lang w:val="nl-BE"/>
        </w:rPr>
      </w:pPr>
    </w:p>
    <w:p w14:paraId="379AF99B" w14:textId="77777777" w:rsidR="00D91FD5" w:rsidRDefault="005C38C7">
      <w:pPr>
        <w:widowControl w:val="0"/>
        <w:pBdr>
          <w:top w:val="nil"/>
          <w:left w:val="nil"/>
          <w:bottom w:val="nil"/>
          <w:right w:val="nil"/>
          <w:between w:val="nil"/>
        </w:pBdr>
        <w:spacing w:line="360" w:lineRule="auto"/>
        <w:rPr>
          <w:b/>
          <w:lang w:val="nl-BE"/>
        </w:rPr>
      </w:pPr>
      <w:r w:rsidRPr="007E08CF">
        <w:rPr>
          <w:lang w:val="nl-BE"/>
        </w:rPr>
        <w:t xml:space="preserve">Het betreft enkel </w:t>
      </w:r>
      <w:r w:rsidR="00D91FD5">
        <w:rPr>
          <w:lang w:val="nl-BE"/>
        </w:rPr>
        <w:t xml:space="preserve">CF2 </w:t>
      </w:r>
      <w:r w:rsidR="00B14FB4">
        <w:rPr>
          <w:lang w:val="nl-BE"/>
        </w:rPr>
        <w:t>gebruikers</w:t>
      </w:r>
      <w:r w:rsidR="00B14FB4" w:rsidRPr="007E08CF">
        <w:rPr>
          <w:lang w:val="nl-BE"/>
        </w:rPr>
        <w:t xml:space="preserve"> </w:t>
      </w:r>
      <w:r w:rsidRPr="007E08CF">
        <w:rPr>
          <w:lang w:val="nl-BE"/>
        </w:rPr>
        <w:t>én</w:t>
      </w:r>
      <w:r w:rsidR="00D91FD5">
        <w:rPr>
          <w:lang w:val="nl-BE"/>
        </w:rPr>
        <w:t xml:space="preserve"> de aanpassingen aan hun zorggebonden punten volgens de toestand </w:t>
      </w:r>
      <w:r w:rsidRPr="007E08CF">
        <w:rPr>
          <w:lang w:val="nl-BE"/>
        </w:rPr>
        <w:t xml:space="preserve">op </w:t>
      </w:r>
      <w:r w:rsidRPr="007E08CF">
        <w:rPr>
          <w:b/>
          <w:lang w:val="nl-BE"/>
        </w:rPr>
        <w:t>31.12.2016</w:t>
      </w:r>
      <w:r w:rsidRPr="007E08CF">
        <w:rPr>
          <w:lang w:val="nl-BE"/>
        </w:rPr>
        <w:t>. Dat wil zeggen dat deze cijfers geen rekening houden met andere gerealiseerde instroom, of wijzigingen in de overeenkomsten na 1.1.17</w:t>
      </w:r>
      <w:r w:rsidR="002B230E">
        <w:rPr>
          <w:lang w:val="nl-BE"/>
        </w:rPr>
        <w:t xml:space="preserve">, zoals bv een andere inzet van budgetten of wijzigingen van </w:t>
      </w:r>
      <w:proofErr w:type="spellStart"/>
      <w:r w:rsidR="002B230E">
        <w:rPr>
          <w:lang w:val="nl-BE"/>
        </w:rPr>
        <w:t>VZA’s</w:t>
      </w:r>
      <w:proofErr w:type="spellEnd"/>
      <w:r w:rsidR="007E08CF">
        <w:rPr>
          <w:rStyle w:val="Voetnootmarkering"/>
          <w:lang w:val="nl-BE"/>
        </w:rPr>
        <w:footnoteReference w:id="1"/>
      </w:r>
      <w:r w:rsidRPr="007E08CF">
        <w:rPr>
          <w:lang w:val="nl-BE"/>
        </w:rPr>
        <w:t xml:space="preserve">. </w:t>
      </w:r>
      <w:r w:rsidR="00D91FD5">
        <w:rPr>
          <w:lang w:val="nl-BE"/>
        </w:rPr>
        <w:t xml:space="preserve"> Belangrijk is ook dat naar aanleiding van CF2 bij sommige </w:t>
      </w:r>
      <w:proofErr w:type="spellStart"/>
      <w:r w:rsidR="00D91FD5">
        <w:rPr>
          <w:lang w:val="nl-BE"/>
        </w:rPr>
        <w:t>VZA’s</w:t>
      </w:r>
      <w:proofErr w:type="spellEnd"/>
      <w:r w:rsidR="00D91FD5">
        <w:rPr>
          <w:lang w:val="nl-BE"/>
        </w:rPr>
        <w:t xml:space="preserve"> RTH – punten zullen toegevoegd worden aan de erkenningen: aangezien de tabellen de evolutie in zorggebonden punten weergeven, werd dit niet opgenomen in de cijfers. </w:t>
      </w:r>
      <w:r w:rsidR="00D91FD5">
        <w:rPr>
          <w:lang w:val="nl-BE"/>
        </w:rPr>
        <w:br/>
      </w:r>
      <w:r w:rsidR="00D91FD5">
        <w:rPr>
          <w:lang w:val="nl-BE"/>
        </w:rPr>
        <w:br/>
      </w:r>
      <w:r w:rsidR="00D91FD5">
        <w:rPr>
          <w:b/>
          <w:lang w:val="nl-BE"/>
        </w:rPr>
        <w:t xml:space="preserve">Wanneer komt men in aanmerking voor het criterium ‘meer dan 10% daling in zorggebonden punten’ voor de </w:t>
      </w:r>
      <w:proofErr w:type="spellStart"/>
      <w:r w:rsidR="00D91FD5">
        <w:rPr>
          <w:b/>
          <w:lang w:val="nl-BE"/>
        </w:rPr>
        <w:t>coachingstrajecten</w:t>
      </w:r>
      <w:proofErr w:type="spellEnd"/>
      <w:r w:rsidR="00D91FD5">
        <w:rPr>
          <w:b/>
          <w:lang w:val="nl-BE"/>
        </w:rPr>
        <w:t xml:space="preserve">? </w:t>
      </w:r>
    </w:p>
    <w:p w14:paraId="4907AB83" w14:textId="77777777" w:rsidR="00D91FD5" w:rsidRDefault="00D91FD5">
      <w:pPr>
        <w:widowControl w:val="0"/>
        <w:pBdr>
          <w:top w:val="nil"/>
          <w:left w:val="nil"/>
          <w:bottom w:val="nil"/>
          <w:right w:val="nil"/>
          <w:between w:val="nil"/>
        </w:pBdr>
        <w:spacing w:line="360" w:lineRule="auto"/>
        <w:rPr>
          <w:b/>
          <w:lang w:val="nl-BE"/>
        </w:rPr>
      </w:pPr>
    </w:p>
    <w:p w14:paraId="01B0DF97" w14:textId="5FB205A3" w:rsidR="00273252" w:rsidRPr="00D91FD5" w:rsidRDefault="00D91FD5">
      <w:pPr>
        <w:widowControl w:val="0"/>
        <w:pBdr>
          <w:top w:val="nil"/>
          <w:left w:val="nil"/>
          <w:bottom w:val="nil"/>
          <w:right w:val="nil"/>
          <w:between w:val="nil"/>
        </w:pBdr>
        <w:spacing w:line="360" w:lineRule="auto"/>
        <w:rPr>
          <w:lang w:val="nl-BE"/>
        </w:rPr>
      </w:pPr>
      <w:r>
        <w:rPr>
          <w:lang w:val="nl-BE"/>
        </w:rPr>
        <w:t xml:space="preserve">Als in kolom B het percentage lager is dan 90%. </w:t>
      </w:r>
      <w:r>
        <w:rPr>
          <w:lang w:val="nl-BE"/>
        </w:rPr>
        <w:br/>
      </w:r>
    </w:p>
    <w:p w14:paraId="797E589A" w14:textId="77777777" w:rsidR="00273252" w:rsidRPr="00D91FD5" w:rsidRDefault="00273252">
      <w:pPr>
        <w:widowControl w:val="0"/>
        <w:pBdr>
          <w:top w:val="nil"/>
          <w:left w:val="nil"/>
          <w:bottom w:val="nil"/>
          <w:right w:val="nil"/>
          <w:between w:val="nil"/>
        </w:pBdr>
        <w:spacing w:line="360" w:lineRule="auto"/>
        <w:rPr>
          <w:lang w:val="nl-BE"/>
        </w:rPr>
      </w:pPr>
    </w:p>
    <w:p w14:paraId="7F1A075A" w14:textId="77777777" w:rsidR="00273252" w:rsidRPr="00D91FD5" w:rsidRDefault="005C38C7">
      <w:pPr>
        <w:widowControl w:val="0"/>
        <w:pBdr>
          <w:top w:val="nil"/>
          <w:left w:val="nil"/>
          <w:bottom w:val="nil"/>
          <w:right w:val="nil"/>
          <w:between w:val="nil"/>
        </w:pBdr>
        <w:spacing w:line="360" w:lineRule="auto"/>
        <w:rPr>
          <w:b/>
          <w:lang w:val="nl-BE"/>
        </w:rPr>
      </w:pPr>
      <w:r w:rsidRPr="00D91FD5">
        <w:rPr>
          <w:b/>
          <w:lang w:val="nl-BE"/>
        </w:rPr>
        <w:t xml:space="preserve">Toelichting: </w:t>
      </w:r>
    </w:p>
    <w:p w14:paraId="2498FEC2" w14:textId="77777777" w:rsidR="00273252" w:rsidRPr="00D91FD5" w:rsidRDefault="00273252">
      <w:pPr>
        <w:widowControl w:val="0"/>
        <w:pBdr>
          <w:top w:val="nil"/>
          <w:left w:val="nil"/>
          <w:bottom w:val="nil"/>
          <w:right w:val="nil"/>
          <w:between w:val="nil"/>
        </w:pBdr>
        <w:spacing w:line="360" w:lineRule="auto"/>
        <w:rPr>
          <w:lang w:val="nl-BE"/>
        </w:rPr>
      </w:pPr>
    </w:p>
    <w:p w14:paraId="1C722415" w14:textId="5B7268EB" w:rsidR="00273252" w:rsidRPr="002B230E" w:rsidRDefault="005C38C7">
      <w:pPr>
        <w:widowControl w:val="0"/>
        <w:pBdr>
          <w:top w:val="nil"/>
          <w:left w:val="nil"/>
          <w:bottom w:val="nil"/>
          <w:right w:val="nil"/>
          <w:between w:val="nil"/>
        </w:pBdr>
        <w:spacing w:line="360" w:lineRule="auto"/>
        <w:rPr>
          <w:lang w:val="nl-BE"/>
        </w:rPr>
      </w:pPr>
      <w:r w:rsidRPr="00D91FD5">
        <w:rPr>
          <w:b/>
          <w:lang w:val="nl-BE"/>
        </w:rPr>
        <w:t xml:space="preserve">Kolom A: </w:t>
      </w:r>
      <w:r w:rsidRPr="00D91FD5">
        <w:rPr>
          <w:lang w:val="nl-BE"/>
        </w:rPr>
        <w:t xml:space="preserve">Elke VZA krijgt een aangepast overzicht. Men kan zijn eigen </w:t>
      </w:r>
      <w:r w:rsidR="00DD48A0">
        <w:rPr>
          <w:lang w:val="nl-BE"/>
        </w:rPr>
        <w:t xml:space="preserve">resultaat </w:t>
      </w:r>
      <w:r w:rsidRPr="002B230E">
        <w:rPr>
          <w:lang w:val="nl-BE"/>
        </w:rPr>
        <w:t xml:space="preserve">zien staan in verhouding met de (geanonimiseerde) andere </w:t>
      </w:r>
      <w:proofErr w:type="spellStart"/>
      <w:r w:rsidRPr="002B230E">
        <w:rPr>
          <w:lang w:val="nl-BE"/>
        </w:rPr>
        <w:t>VZA’s</w:t>
      </w:r>
      <w:proofErr w:type="spellEnd"/>
      <w:r w:rsidRPr="002B230E">
        <w:rPr>
          <w:lang w:val="nl-BE"/>
        </w:rPr>
        <w:t xml:space="preserve">. </w:t>
      </w:r>
    </w:p>
    <w:p w14:paraId="61DEF7AB" w14:textId="77777777" w:rsidR="00273252" w:rsidRPr="002B230E" w:rsidRDefault="00273252">
      <w:pPr>
        <w:widowControl w:val="0"/>
        <w:pBdr>
          <w:top w:val="nil"/>
          <w:left w:val="nil"/>
          <w:bottom w:val="nil"/>
          <w:right w:val="nil"/>
          <w:between w:val="nil"/>
        </w:pBdr>
        <w:spacing w:line="360" w:lineRule="auto"/>
        <w:rPr>
          <w:b/>
          <w:lang w:val="nl-BE"/>
        </w:rPr>
      </w:pPr>
    </w:p>
    <w:p w14:paraId="41D0443F" w14:textId="77777777" w:rsidR="00273252" w:rsidRPr="002B230E" w:rsidRDefault="005C38C7">
      <w:pPr>
        <w:widowControl w:val="0"/>
        <w:pBdr>
          <w:top w:val="nil"/>
          <w:left w:val="nil"/>
          <w:bottom w:val="nil"/>
          <w:right w:val="nil"/>
          <w:between w:val="nil"/>
        </w:pBdr>
        <w:spacing w:line="360" w:lineRule="auto"/>
        <w:rPr>
          <w:lang w:val="nl-BE"/>
        </w:rPr>
      </w:pPr>
      <w:r w:rsidRPr="002B230E">
        <w:rPr>
          <w:b/>
          <w:lang w:val="nl-BE"/>
        </w:rPr>
        <w:t xml:space="preserve">Kolom B/C: </w:t>
      </w:r>
      <w:r w:rsidRPr="002B230E">
        <w:rPr>
          <w:lang w:val="nl-BE"/>
        </w:rPr>
        <w:t xml:space="preserve">Impact van correctiefase 2 op de </w:t>
      </w:r>
      <w:proofErr w:type="spellStart"/>
      <w:r w:rsidRPr="002B230E">
        <w:rPr>
          <w:lang w:val="nl-BE"/>
        </w:rPr>
        <w:t>VZA’s</w:t>
      </w:r>
      <w:proofErr w:type="spellEnd"/>
      <w:r w:rsidRPr="002B230E">
        <w:rPr>
          <w:lang w:val="nl-BE"/>
        </w:rPr>
        <w:t xml:space="preserve"> op basis van de </w:t>
      </w:r>
      <w:proofErr w:type="spellStart"/>
      <w:r w:rsidRPr="002B230E">
        <w:rPr>
          <w:lang w:val="nl-BE"/>
        </w:rPr>
        <w:t>PVB’s</w:t>
      </w:r>
      <w:proofErr w:type="spellEnd"/>
      <w:r w:rsidRPr="002B230E">
        <w:rPr>
          <w:lang w:val="nl-BE"/>
        </w:rPr>
        <w:t xml:space="preserve"> van de cliënten (totaal PVB zonder rekening te houden met de feitelijke inzet bij de betrokken zorgaanbieder).</w:t>
      </w:r>
      <w:r w:rsidRPr="002B230E">
        <w:rPr>
          <w:lang w:val="nl-BE"/>
        </w:rPr>
        <w:br/>
      </w:r>
      <w:r w:rsidRPr="002B230E">
        <w:rPr>
          <w:lang w:val="nl-BE"/>
        </w:rPr>
        <w:br/>
        <w:t xml:space="preserve">De impact wordt weergegeven door het totaal punten na CF2, en een percentage dat de verhouding weergeeft tussen de punten </w:t>
      </w:r>
      <w:proofErr w:type="spellStart"/>
      <w:r w:rsidRPr="002B230E">
        <w:rPr>
          <w:lang w:val="nl-BE"/>
        </w:rPr>
        <w:t>obv</w:t>
      </w:r>
      <w:proofErr w:type="spellEnd"/>
      <w:r w:rsidRPr="002B230E">
        <w:rPr>
          <w:lang w:val="nl-BE"/>
        </w:rPr>
        <w:t xml:space="preserve"> 31.12.2016 en het totaal na CF2. </w:t>
      </w:r>
      <w:r w:rsidRPr="002B230E">
        <w:rPr>
          <w:lang w:val="nl-BE"/>
        </w:rPr>
        <w:br/>
      </w:r>
      <w:r w:rsidRPr="002B230E">
        <w:rPr>
          <w:lang w:val="nl-BE"/>
        </w:rPr>
        <w:lastRenderedPageBreak/>
        <w:br/>
      </w:r>
      <w:r w:rsidRPr="002B230E">
        <w:rPr>
          <w:b/>
          <w:lang w:val="nl-BE"/>
        </w:rPr>
        <w:t xml:space="preserve">Kolom D/E: </w:t>
      </w:r>
      <w:r w:rsidRPr="002B230E">
        <w:rPr>
          <w:lang w:val="nl-BE"/>
        </w:rPr>
        <w:t xml:space="preserve">Impact van correctiefase 2 op de </w:t>
      </w:r>
      <w:proofErr w:type="spellStart"/>
      <w:r w:rsidRPr="002B230E">
        <w:rPr>
          <w:lang w:val="nl-BE"/>
        </w:rPr>
        <w:t>VZA’s</w:t>
      </w:r>
      <w:proofErr w:type="spellEnd"/>
      <w:r w:rsidRPr="002B230E">
        <w:rPr>
          <w:lang w:val="nl-BE"/>
        </w:rPr>
        <w:t xml:space="preserve"> op basis van de overeenkomsten die de individuele budgethouders op 31/12/2016 hadden afgesloten met de betrokken VZA (deel van het PVB dat feitelijk wordt ingezet bij de betrokken zorgaanbieder).</w:t>
      </w:r>
    </w:p>
    <w:p w14:paraId="6DD6F8A7" w14:textId="77777777" w:rsidR="00273252" w:rsidRPr="002B230E" w:rsidRDefault="00273252">
      <w:pPr>
        <w:widowControl w:val="0"/>
        <w:pBdr>
          <w:top w:val="nil"/>
          <w:left w:val="nil"/>
          <w:bottom w:val="nil"/>
          <w:right w:val="nil"/>
          <w:between w:val="nil"/>
        </w:pBdr>
        <w:spacing w:line="360" w:lineRule="auto"/>
        <w:rPr>
          <w:lang w:val="nl-BE"/>
        </w:rPr>
      </w:pPr>
    </w:p>
    <w:p w14:paraId="6B0E21B7" w14:textId="453D0BF1" w:rsidR="00273252" w:rsidRPr="002B230E" w:rsidRDefault="005C38C7">
      <w:pPr>
        <w:widowControl w:val="0"/>
        <w:pBdr>
          <w:top w:val="nil"/>
          <w:left w:val="nil"/>
          <w:bottom w:val="nil"/>
          <w:right w:val="nil"/>
          <w:between w:val="nil"/>
        </w:pBdr>
        <w:spacing w:line="360" w:lineRule="auto"/>
        <w:rPr>
          <w:lang w:val="nl-BE"/>
        </w:rPr>
      </w:pPr>
      <w:r w:rsidRPr="002B230E">
        <w:rPr>
          <w:lang w:val="nl-BE"/>
        </w:rPr>
        <w:t xml:space="preserve">De impact wordt weergegeven door het totaal punten na CF2, en een percentage dat de verhouding weergeeft tussen de punten </w:t>
      </w:r>
      <w:proofErr w:type="spellStart"/>
      <w:r w:rsidRPr="002B230E">
        <w:rPr>
          <w:lang w:val="nl-BE"/>
        </w:rPr>
        <w:t>obv</w:t>
      </w:r>
      <w:proofErr w:type="spellEnd"/>
      <w:r w:rsidRPr="002B230E">
        <w:rPr>
          <w:lang w:val="nl-BE"/>
        </w:rPr>
        <w:t xml:space="preserve"> 31.12.2016 en het totaal na CF2. </w:t>
      </w:r>
      <w:r w:rsidR="00BE7017">
        <w:rPr>
          <w:lang w:val="nl-BE"/>
        </w:rPr>
        <w:br/>
      </w:r>
    </w:p>
    <w:p w14:paraId="18305DD9" w14:textId="5D985688" w:rsidR="00FF2E88" w:rsidRPr="00BE7017" w:rsidRDefault="00FF2E88">
      <w:pPr>
        <w:rPr>
          <w:noProof/>
          <w:lang w:val="nl-BE"/>
        </w:rPr>
      </w:pPr>
      <w:r w:rsidRPr="00FF2E88">
        <w:rPr>
          <w:noProof/>
          <w:lang w:val="nl-BE"/>
        </w:rPr>
        <w:drawing>
          <wp:inline distT="0" distB="0" distL="0" distR="0" wp14:anchorId="4C6DE011" wp14:editId="2E39BC5A">
            <wp:extent cx="3962604" cy="401975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62604" cy="4019757"/>
                    </a:xfrm>
                    <a:prstGeom prst="rect">
                      <a:avLst/>
                    </a:prstGeom>
                  </pic:spPr>
                </pic:pic>
              </a:graphicData>
            </a:graphic>
          </wp:inline>
        </w:drawing>
      </w:r>
      <w:r w:rsidR="00BE7017">
        <w:rPr>
          <w:noProof/>
          <w:lang w:val="nl-BE"/>
        </w:rPr>
        <w:br/>
      </w:r>
      <w:r w:rsidR="00BE7017">
        <w:rPr>
          <w:i/>
          <w:noProof/>
          <w:vertAlign w:val="subscript"/>
          <w:lang w:val="nl-BE"/>
        </w:rPr>
        <w:t xml:space="preserve">Ter illustratie. </w:t>
      </w:r>
    </w:p>
    <w:p w14:paraId="128D04C2" w14:textId="77777777" w:rsidR="00273252" w:rsidRDefault="00273252">
      <w:pPr>
        <w:rPr>
          <w:rFonts w:ascii="Arial" w:eastAsia="Arial" w:hAnsi="Arial" w:cs="Arial"/>
          <w:b/>
        </w:rPr>
      </w:pPr>
    </w:p>
    <w:p w14:paraId="46FC3F6C" w14:textId="77777777" w:rsidR="00273252" w:rsidRDefault="00273252">
      <w:pPr>
        <w:pBdr>
          <w:top w:val="nil"/>
          <w:left w:val="nil"/>
          <w:bottom w:val="nil"/>
          <w:right w:val="nil"/>
          <w:between w:val="nil"/>
        </w:pBdr>
      </w:pPr>
    </w:p>
    <w:p w14:paraId="14F0572D" w14:textId="77777777" w:rsidR="00970BD5" w:rsidRDefault="00970BD5">
      <w:pPr>
        <w:pBdr>
          <w:top w:val="nil"/>
          <w:left w:val="nil"/>
          <w:bottom w:val="nil"/>
          <w:right w:val="nil"/>
          <w:between w:val="nil"/>
        </w:pBdr>
      </w:pPr>
    </w:p>
    <w:p w14:paraId="2639E169" w14:textId="77777777" w:rsidR="00970BD5" w:rsidRDefault="00970BD5">
      <w:pPr>
        <w:pBdr>
          <w:top w:val="nil"/>
          <w:left w:val="nil"/>
          <w:bottom w:val="nil"/>
          <w:right w:val="nil"/>
          <w:between w:val="nil"/>
        </w:pBdr>
      </w:pPr>
    </w:p>
    <w:p w14:paraId="158940A1" w14:textId="77777777" w:rsidR="00970BD5" w:rsidRDefault="00970BD5">
      <w:pPr>
        <w:pBdr>
          <w:top w:val="nil"/>
          <w:left w:val="nil"/>
          <w:bottom w:val="nil"/>
          <w:right w:val="nil"/>
          <w:between w:val="nil"/>
        </w:pBdr>
      </w:pPr>
    </w:p>
    <w:p w14:paraId="634D1D88" w14:textId="6F8EA328" w:rsidR="00970BD5" w:rsidRPr="00970BD5" w:rsidRDefault="00970BD5">
      <w:pPr>
        <w:pBdr>
          <w:top w:val="nil"/>
          <w:left w:val="nil"/>
          <w:bottom w:val="nil"/>
          <w:right w:val="nil"/>
          <w:between w:val="nil"/>
        </w:pBdr>
        <w:rPr>
          <w:lang w:val="nl-BE"/>
        </w:rPr>
      </w:pPr>
      <w:r w:rsidRPr="00970BD5">
        <w:rPr>
          <w:lang w:val="nl-BE"/>
        </w:rPr>
        <w:t>James Van Casteren</w:t>
      </w:r>
    </w:p>
    <w:p w14:paraId="2072CF7D" w14:textId="60AB49C4" w:rsidR="00970BD5" w:rsidRPr="00970BD5" w:rsidRDefault="00970BD5">
      <w:pPr>
        <w:pBdr>
          <w:top w:val="nil"/>
          <w:left w:val="nil"/>
          <w:bottom w:val="nil"/>
          <w:right w:val="nil"/>
          <w:between w:val="nil"/>
        </w:pBdr>
        <w:rPr>
          <w:lang w:val="nl-BE"/>
        </w:rPr>
      </w:pPr>
      <w:r w:rsidRPr="00970BD5">
        <w:rPr>
          <w:lang w:val="nl-BE"/>
        </w:rPr>
        <w:t>Administrateur – Generaal VAPH</w:t>
      </w:r>
    </w:p>
    <w:sectPr w:rsidR="00970BD5" w:rsidRPr="00970BD5">
      <w:headerReference w:type="even" r:id="rId13"/>
      <w:headerReference w:type="default" r:id="rId14"/>
      <w:footerReference w:type="even" r:id="rId15"/>
      <w:footerReference w:type="default" r:id="rId16"/>
      <w:headerReference w:type="first" r:id="rId17"/>
      <w:footerReference w:type="first" r:id="rId18"/>
      <w:pgSz w:w="11906" w:h="16838"/>
      <w:pgMar w:top="1133" w:right="1133" w:bottom="1870" w:left="1870" w:header="0" w:footer="720" w:gutter="0"/>
      <w:pgNumType w:start="1"/>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2FF430" w15:done="0"/>
  <w15:commentEx w15:paraId="56CB74AF" w15:done="0"/>
  <w15:commentEx w15:paraId="252E32F8" w15:done="0"/>
  <w15:commentEx w15:paraId="6C59AC62" w15:done="0"/>
  <w15:commentEx w15:paraId="56484400" w15:done="0"/>
  <w15:commentEx w15:paraId="2D659974" w15:done="0"/>
  <w15:commentEx w15:paraId="4E0BA6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2FF430" w16cid:durableId="21895423"/>
  <w16cid:commentId w16cid:paraId="56CB74AF" w16cid:durableId="218916AA"/>
  <w16cid:commentId w16cid:paraId="252E32F8" w16cid:durableId="218955ED"/>
  <w16cid:commentId w16cid:paraId="6C59AC62" w16cid:durableId="218956B1"/>
  <w16cid:commentId w16cid:paraId="56484400" w16cid:durableId="218916AB"/>
  <w16cid:commentId w16cid:paraId="2D659974" w16cid:durableId="218916AC"/>
  <w16cid:commentId w16cid:paraId="4E0BA696" w16cid:durableId="218957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255A5" w14:textId="77777777" w:rsidR="00BB70C2" w:rsidRDefault="00BB70C2">
      <w:pPr>
        <w:spacing w:line="240" w:lineRule="auto"/>
      </w:pPr>
      <w:r>
        <w:separator/>
      </w:r>
    </w:p>
  </w:endnote>
  <w:endnote w:type="continuationSeparator" w:id="0">
    <w:p w14:paraId="20A33AE4" w14:textId="77777777" w:rsidR="00BB70C2" w:rsidRDefault="00BB70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70FAE" w14:textId="77777777" w:rsidR="00434BB4" w:rsidRDefault="00434BB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00079" w14:textId="77777777" w:rsidR="00434BB4" w:rsidRDefault="00434BB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82BBA" w14:textId="77777777" w:rsidR="00273252" w:rsidRDefault="00273252">
    <w:pPr>
      <w:pBdr>
        <w:top w:val="nil"/>
        <w:left w:val="nil"/>
        <w:bottom w:val="nil"/>
        <w:right w:val="nil"/>
        <w:between w:val="nil"/>
      </w:pBdr>
    </w:pPr>
  </w:p>
  <w:p w14:paraId="22C240B2" w14:textId="77777777" w:rsidR="00273252" w:rsidRDefault="005C38C7">
    <w:pPr>
      <w:pBdr>
        <w:top w:val="nil"/>
        <w:left w:val="nil"/>
        <w:bottom w:val="nil"/>
        <w:right w:val="nil"/>
        <w:between w:val="nil"/>
      </w:pBdr>
    </w:pPr>
    <w:r>
      <w:rPr>
        <w:noProof/>
        <w:lang w:val="nl-BE"/>
      </w:rPr>
      <w:drawing>
        <wp:inline distT="114300" distB="114300" distL="114300" distR="114300" wp14:anchorId="163386C5" wp14:editId="51C5E252">
          <wp:extent cx="1364840" cy="566738"/>
          <wp:effectExtent l="0" t="0" r="0" b="0"/>
          <wp:docPr id="5" name="image3.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3.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1C1714">
      <w:rPr>
        <w:noProof/>
      </w:rPr>
      <w:t>1</w:t>
    </w:r>
    <w:r>
      <w:fldChar w:fldCharType="end"/>
    </w:r>
    <w:r>
      <w:t xml:space="preserve"> van </w:t>
    </w:r>
    <w:r>
      <w:fldChar w:fldCharType="begin"/>
    </w:r>
    <w:r>
      <w:instrText>NUMPAGES</w:instrText>
    </w:r>
    <w:r>
      <w:fldChar w:fldCharType="separate"/>
    </w:r>
    <w:r w:rsidR="001C1714">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F50AF" w14:textId="77777777" w:rsidR="00BB70C2" w:rsidRDefault="00BB70C2">
      <w:pPr>
        <w:spacing w:line="240" w:lineRule="auto"/>
      </w:pPr>
      <w:r>
        <w:separator/>
      </w:r>
    </w:p>
  </w:footnote>
  <w:footnote w:type="continuationSeparator" w:id="0">
    <w:p w14:paraId="1A7778D2" w14:textId="77777777" w:rsidR="00BB70C2" w:rsidRDefault="00BB70C2">
      <w:pPr>
        <w:spacing w:line="240" w:lineRule="auto"/>
      </w:pPr>
      <w:r>
        <w:continuationSeparator/>
      </w:r>
    </w:p>
  </w:footnote>
  <w:footnote w:id="1">
    <w:p w14:paraId="0CECDC20" w14:textId="6F8619C4" w:rsidR="007E08CF" w:rsidRPr="002B230E" w:rsidRDefault="007E08CF">
      <w:pPr>
        <w:pStyle w:val="Voetnoottekst"/>
        <w:rPr>
          <w:lang w:val="nl-BE"/>
        </w:rPr>
      </w:pPr>
      <w:r>
        <w:rPr>
          <w:rStyle w:val="Voetnootmarkering"/>
        </w:rPr>
        <w:footnoteRef/>
      </w:r>
      <w:r w:rsidRPr="002B230E">
        <w:rPr>
          <w:lang w:val="nl-BE"/>
        </w:rPr>
        <w:t xml:space="preserve"> </w:t>
      </w:r>
      <w:r>
        <w:rPr>
          <w:lang w:val="nl-BE"/>
        </w:rPr>
        <w:t xml:space="preserve">Bij deze cijfers werd wel reeds rekening gehouden met uitstroom door overlijdens, of personen die reeds beschikken over een nieuwe terbeschikkingstelling (zoals bv noodsituatie, 7/7 procedure,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C70FA" w14:textId="3CB72EA3" w:rsidR="00434BB4" w:rsidRDefault="00434BB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6F11C" w14:textId="5A84FBA1" w:rsidR="00273252" w:rsidRDefault="00273252">
    <w:pPr>
      <w:pBdr>
        <w:top w:val="nil"/>
        <w:left w:val="nil"/>
        <w:bottom w:val="nil"/>
        <w:right w:val="nil"/>
        <w:between w:val="nil"/>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337D" w14:textId="4B41F740" w:rsidR="00273252" w:rsidRDefault="00273252">
    <w:pPr>
      <w:pBdr>
        <w:top w:val="nil"/>
        <w:left w:val="nil"/>
        <w:bottom w:val="nil"/>
        <w:right w:val="nil"/>
        <w:between w:val="nil"/>
      </w:pBdr>
    </w:pPr>
  </w:p>
  <w:p w14:paraId="00D1F597" w14:textId="77777777" w:rsidR="00273252" w:rsidRDefault="00273252">
    <w:pPr>
      <w:pBdr>
        <w:top w:val="nil"/>
        <w:left w:val="nil"/>
        <w:bottom w:val="nil"/>
        <w:right w:val="nil"/>
        <w:between w:val="nil"/>
      </w:pBdr>
      <w:rPr>
        <w:sz w:val="54"/>
        <w:szCs w:val="54"/>
      </w:rPr>
    </w:pPr>
  </w:p>
  <w:p w14:paraId="11C757A8" w14:textId="77777777" w:rsidR="00273252" w:rsidRDefault="005C38C7">
    <w:pPr>
      <w:pBdr>
        <w:top w:val="nil"/>
        <w:left w:val="nil"/>
        <w:bottom w:val="nil"/>
        <w:right w:val="nil"/>
        <w:between w:val="nil"/>
      </w:pBdr>
    </w:pPr>
    <w:r>
      <w:rPr>
        <w:noProof/>
        <w:lang w:val="nl-BE"/>
      </w:rPr>
      <w:drawing>
        <wp:inline distT="114300" distB="114300" distL="114300" distR="114300" wp14:anchorId="30E534AB" wp14:editId="642262C2">
          <wp:extent cx="1405278" cy="642938"/>
          <wp:effectExtent l="0" t="0" r="0" b="0"/>
          <wp:docPr id="1" name="image5.png" descr="logo_vaph_word_300dpi.png"/>
          <wp:cNvGraphicFramePr/>
          <a:graphic xmlns:a="http://schemas.openxmlformats.org/drawingml/2006/main">
            <a:graphicData uri="http://schemas.openxmlformats.org/drawingml/2006/picture">
              <pic:pic xmlns:pic="http://schemas.openxmlformats.org/drawingml/2006/picture">
                <pic:nvPicPr>
                  <pic:cNvPr id="0" name="image5.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C6257"/>
    <w:multiLevelType w:val="multilevel"/>
    <w:tmpl w:val="F11EC6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elman, Kurt">
    <w15:presenceInfo w15:providerId="AD" w15:userId="S::kurt.asselman@vlaanderen.be::50b5b9ff-69a2-4a58-bcd9-63dab28fbd7e"/>
  </w15:person>
  <w15:person w15:author="Asselman, Kurt [2]">
    <w15:presenceInfo w15:providerId="AD" w15:userId="S::kurt.asselman@vlaanderen.be::50b5b9ff-69a2-4a58-bcd9-63dab28fbd7e"/>
  </w15:person>
  <w15:person w15:author="Asselman, Kurt [3]">
    <w15:presenceInfo w15:providerId="AD" w15:userId="S::kurt.asselman@vlaanderen.be::50b5b9ff-69a2-4a58-bcd9-63dab28fbd7e"/>
  </w15:person>
  <w15:person w15:author="Asselman, Kurt [4]">
    <w15:presenceInfo w15:providerId="AD" w15:userId="S::kurt.asselman@vlaanderen.be::50b5b9ff-69a2-4a58-bcd9-63dab28fb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73252"/>
    <w:rsid w:val="00014E53"/>
    <w:rsid w:val="000E471A"/>
    <w:rsid w:val="001C1714"/>
    <w:rsid w:val="0022704C"/>
    <w:rsid w:val="00271AD0"/>
    <w:rsid w:val="00273252"/>
    <w:rsid w:val="002B230E"/>
    <w:rsid w:val="002C3993"/>
    <w:rsid w:val="00407C6F"/>
    <w:rsid w:val="00434BB4"/>
    <w:rsid w:val="00506C4B"/>
    <w:rsid w:val="00577083"/>
    <w:rsid w:val="005C38C7"/>
    <w:rsid w:val="0068396B"/>
    <w:rsid w:val="00707930"/>
    <w:rsid w:val="007E08CF"/>
    <w:rsid w:val="00931646"/>
    <w:rsid w:val="00970BD5"/>
    <w:rsid w:val="00B14FB4"/>
    <w:rsid w:val="00BB70C2"/>
    <w:rsid w:val="00BE7017"/>
    <w:rsid w:val="00D91FD5"/>
    <w:rsid w:val="00DD48A0"/>
    <w:rsid w:val="00ED1118"/>
    <w:rsid w:val="00FF2E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B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FF2E8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E88"/>
    <w:rPr>
      <w:rFonts w:ascii="Tahoma" w:hAnsi="Tahoma" w:cs="Tahoma"/>
      <w:sz w:val="16"/>
      <w:szCs w:val="16"/>
    </w:rPr>
  </w:style>
  <w:style w:type="paragraph" w:styleId="Koptekst">
    <w:name w:val="header"/>
    <w:basedOn w:val="Standaard"/>
    <w:link w:val="KoptekstChar"/>
    <w:uiPriority w:val="99"/>
    <w:unhideWhenUsed/>
    <w:rsid w:val="00434BB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34BB4"/>
  </w:style>
  <w:style w:type="paragraph" w:styleId="Voettekst">
    <w:name w:val="footer"/>
    <w:basedOn w:val="Standaard"/>
    <w:link w:val="VoettekstChar"/>
    <w:uiPriority w:val="99"/>
    <w:unhideWhenUsed/>
    <w:rsid w:val="00434BB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34BB4"/>
  </w:style>
  <w:style w:type="character" w:styleId="Hyperlink">
    <w:name w:val="Hyperlink"/>
    <w:basedOn w:val="Standaardalinea-lettertype"/>
    <w:uiPriority w:val="99"/>
    <w:unhideWhenUsed/>
    <w:rsid w:val="00931646"/>
    <w:rPr>
      <w:color w:val="0000FF" w:themeColor="hyperlink"/>
      <w:u w:val="single"/>
    </w:rPr>
  </w:style>
  <w:style w:type="character" w:styleId="Verwijzingopmerking">
    <w:name w:val="annotation reference"/>
    <w:basedOn w:val="Standaardalinea-lettertype"/>
    <w:uiPriority w:val="99"/>
    <w:semiHidden/>
    <w:unhideWhenUsed/>
    <w:rsid w:val="00931646"/>
    <w:rPr>
      <w:sz w:val="16"/>
      <w:szCs w:val="16"/>
    </w:rPr>
  </w:style>
  <w:style w:type="paragraph" w:styleId="Tekstopmerking">
    <w:name w:val="annotation text"/>
    <w:basedOn w:val="Standaard"/>
    <w:link w:val="TekstopmerkingChar"/>
    <w:uiPriority w:val="99"/>
    <w:semiHidden/>
    <w:unhideWhenUsed/>
    <w:rsid w:val="009316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1646"/>
    <w:rPr>
      <w:sz w:val="20"/>
      <w:szCs w:val="20"/>
    </w:rPr>
  </w:style>
  <w:style w:type="paragraph" w:styleId="Onderwerpvanopmerking">
    <w:name w:val="annotation subject"/>
    <w:basedOn w:val="Tekstopmerking"/>
    <w:next w:val="Tekstopmerking"/>
    <w:link w:val="OnderwerpvanopmerkingChar"/>
    <w:uiPriority w:val="99"/>
    <w:semiHidden/>
    <w:unhideWhenUsed/>
    <w:rsid w:val="00931646"/>
    <w:rPr>
      <w:b/>
      <w:bCs/>
    </w:rPr>
  </w:style>
  <w:style w:type="character" w:customStyle="1" w:styleId="OnderwerpvanopmerkingChar">
    <w:name w:val="Onderwerp van opmerking Char"/>
    <w:basedOn w:val="TekstopmerkingChar"/>
    <w:link w:val="Onderwerpvanopmerking"/>
    <w:uiPriority w:val="99"/>
    <w:semiHidden/>
    <w:rsid w:val="00931646"/>
    <w:rPr>
      <w:b/>
      <w:bCs/>
      <w:sz w:val="20"/>
      <w:szCs w:val="20"/>
    </w:rPr>
  </w:style>
  <w:style w:type="paragraph" w:styleId="Voetnoottekst">
    <w:name w:val="footnote text"/>
    <w:basedOn w:val="Standaard"/>
    <w:link w:val="VoetnoottekstChar"/>
    <w:uiPriority w:val="99"/>
    <w:semiHidden/>
    <w:unhideWhenUsed/>
    <w:rsid w:val="007E08C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E08CF"/>
    <w:rPr>
      <w:sz w:val="20"/>
      <w:szCs w:val="20"/>
    </w:rPr>
  </w:style>
  <w:style w:type="character" w:styleId="Voetnootmarkering">
    <w:name w:val="footnote reference"/>
    <w:basedOn w:val="Standaardalinea-lettertype"/>
    <w:uiPriority w:val="99"/>
    <w:semiHidden/>
    <w:unhideWhenUsed/>
    <w:rsid w:val="007E08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FF2E8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E88"/>
    <w:rPr>
      <w:rFonts w:ascii="Tahoma" w:hAnsi="Tahoma" w:cs="Tahoma"/>
      <w:sz w:val="16"/>
      <w:szCs w:val="16"/>
    </w:rPr>
  </w:style>
  <w:style w:type="paragraph" w:styleId="Koptekst">
    <w:name w:val="header"/>
    <w:basedOn w:val="Standaard"/>
    <w:link w:val="KoptekstChar"/>
    <w:uiPriority w:val="99"/>
    <w:unhideWhenUsed/>
    <w:rsid w:val="00434BB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34BB4"/>
  </w:style>
  <w:style w:type="paragraph" w:styleId="Voettekst">
    <w:name w:val="footer"/>
    <w:basedOn w:val="Standaard"/>
    <w:link w:val="VoettekstChar"/>
    <w:uiPriority w:val="99"/>
    <w:unhideWhenUsed/>
    <w:rsid w:val="00434BB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34BB4"/>
  </w:style>
  <w:style w:type="character" w:styleId="Hyperlink">
    <w:name w:val="Hyperlink"/>
    <w:basedOn w:val="Standaardalinea-lettertype"/>
    <w:uiPriority w:val="99"/>
    <w:unhideWhenUsed/>
    <w:rsid w:val="00931646"/>
    <w:rPr>
      <w:color w:val="0000FF" w:themeColor="hyperlink"/>
      <w:u w:val="single"/>
    </w:rPr>
  </w:style>
  <w:style w:type="character" w:styleId="Verwijzingopmerking">
    <w:name w:val="annotation reference"/>
    <w:basedOn w:val="Standaardalinea-lettertype"/>
    <w:uiPriority w:val="99"/>
    <w:semiHidden/>
    <w:unhideWhenUsed/>
    <w:rsid w:val="00931646"/>
    <w:rPr>
      <w:sz w:val="16"/>
      <w:szCs w:val="16"/>
    </w:rPr>
  </w:style>
  <w:style w:type="paragraph" w:styleId="Tekstopmerking">
    <w:name w:val="annotation text"/>
    <w:basedOn w:val="Standaard"/>
    <w:link w:val="TekstopmerkingChar"/>
    <w:uiPriority w:val="99"/>
    <w:semiHidden/>
    <w:unhideWhenUsed/>
    <w:rsid w:val="0093164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31646"/>
    <w:rPr>
      <w:sz w:val="20"/>
      <w:szCs w:val="20"/>
    </w:rPr>
  </w:style>
  <w:style w:type="paragraph" w:styleId="Onderwerpvanopmerking">
    <w:name w:val="annotation subject"/>
    <w:basedOn w:val="Tekstopmerking"/>
    <w:next w:val="Tekstopmerking"/>
    <w:link w:val="OnderwerpvanopmerkingChar"/>
    <w:uiPriority w:val="99"/>
    <w:semiHidden/>
    <w:unhideWhenUsed/>
    <w:rsid w:val="00931646"/>
    <w:rPr>
      <w:b/>
      <w:bCs/>
    </w:rPr>
  </w:style>
  <w:style w:type="character" w:customStyle="1" w:styleId="OnderwerpvanopmerkingChar">
    <w:name w:val="Onderwerp van opmerking Char"/>
    <w:basedOn w:val="TekstopmerkingChar"/>
    <w:link w:val="Onderwerpvanopmerking"/>
    <w:uiPriority w:val="99"/>
    <w:semiHidden/>
    <w:rsid w:val="00931646"/>
    <w:rPr>
      <w:b/>
      <w:bCs/>
      <w:sz w:val="20"/>
      <w:szCs w:val="20"/>
    </w:rPr>
  </w:style>
  <w:style w:type="paragraph" w:styleId="Voetnoottekst">
    <w:name w:val="footnote text"/>
    <w:basedOn w:val="Standaard"/>
    <w:link w:val="VoetnoottekstChar"/>
    <w:uiPriority w:val="99"/>
    <w:semiHidden/>
    <w:unhideWhenUsed/>
    <w:rsid w:val="007E08C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7E08CF"/>
    <w:rPr>
      <w:sz w:val="20"/>
      <w:szCs w:val="20"/>
    </w:rPr>
  </w:style>
  <w:style w:type="character" w:styleId="Voetnootmarkering">
    <w:name w:val="footnote reference"/>
    <w:basedOn w:val="Standaardalinea-lettertype"/>
    <w:uiPriority w:val="99"/>
    <w:semiHidden/>
    <w:unhideWhenUsed/>
    <w:rsid w:val="007E0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leid@vaph.be" TargetMode="External"/><Relationship Id="rId14" Type="http://schemas.openxmlformats.org/officeDocument/2006/relationships/header" Target="header2.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ws\Downloads\Overzicht%20VZA_CF2_221119%20(+%20ind%202711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ws\Downloads\Overzicht%20VZA_CF2_221119%20(+%20ind%202711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Percentages aanpassing</a:t>
            </a:r>
            <a:r>
              <a:rPr lang="nl-BE" baseline="0"/>
              <a:t> VZA's na CF2 (totale budgetten)</a:t>
            </a:r>
          </a:p>
          <a:p>
            <a:pPr>
              <a:defRPr/>
            </a:pPr>
            <a:endParaRPr lang="nl-BE"/>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'grafiek volledig 208 ind'!$A$6:$A$16</c:f>
              <c:strCache>
                <c:ptCount val="11"/>
                <c:pt idx="0">
                  <c:v>Meer dan 50 % daling</c:v>
                </c:pt>
                <c:pt idx="1">
                  <c:v>Meer dan 40 % daling</c:v>
                </c:pt>
                <c:pt idx="2">
                  <c:v>Meer dan 30 % daling</c:v>
                </c:pt>
                <c:pt idx="3">
                  <c:v>Meer dan 20 % daling</c:v>
                </c:pt>
                <c:pt idx="4">
                  <c:v>Meer dan 10 % daling</c:v>
                </c:pt>
                <c:pt idx="5">
                  <c:v>Tussen 0 en 10 % daling</c:v>
                </c:pt>
                <c:pt idx="6">
                  <c:v>Tussen 0 en 10 % stijging</c:v>
                </c:pt>
                <c:pt idx="7">
                  <c:v>Meer dan 10 % stijging</c:v>
                </c:pt>
                <c:pt idx="8">
                  <c:v>Meer dan 20 % stijging</c:v>
                </c:pt>
                <c:pt idx="9">
                  <c:v>Meer dan 30 % stijging</c:v>
                </c:pt>
                <c:pt idx="10">
                  <c:v>Meer dan 40 % stijging</c:v>
                </c:pt>
              </c:strCache>
            </c:strRef>
          </c:cat>
          <c:val>
            <c:numRef>
              <c:f>'grafiek volledig 208 ind'!$B$6:$B$16</c:f>
              <c:numCache>
                <c:formatCode>General</c:formatCode>
                <c:ptCount val="11"/>
                <c:pt idx="0">
                  <c:v>0</c:v>
                </c:pt>
                <c:pt idx="1">
                  <c:v>1</c:v>
                </c:pt>
                <c:pt idx="2">
                  <c:v>7</c:v>
                </c:pt>
                <c:pt idx="3">
                  <c:v>19</c:v>
                </c:pt>
                <c:pt idx="4">
                  <c:v>36</c:v>
                </c:pt>
                <c:pt idx="5">
                  <c:v>64</c:v>
                </c:pt>
                <c:pt idx="6">
                  <c:v>62</c:v>
                </c:pt>
                <c:pt idx="7">
                  <c:v>15</c:v>
                </c:pt>
                <c:pt idx="8">
                  <c:v>3</c:v>
                </c:pt>
                <c:pt idx="9">
                  <c:v>1</c:v>
                </c:pt>
                <c:pt idx="10">
                  <c:v>0</c:v>
                </c:pt>
              </c:numCache>
            </c:numRef>
          </c:val>
        </c:ser>
        <c:dLbls>
          <c:showLegendKey val="0"/>
          <c:showVal val="0"/>
          <c:showCatName val="0"/>
          <c:showSerName val="0"/>
          <c:showPercent val="0"/>
          <c:showBubbleSize val="0"/>
        </c:dLbls>
        <c:gapWidth val="150"/>
        <c:axId val="165261312"/>
        <c:axId val="165262848"/>
      </c:barChart>
      <c:catAx>
        <c:axId val="165261312"/>
        <c:scaling>
          <c:orientation val="minMax"/>
        </c:scaling>
        <c:delete val="0"/>
        <c:axPos val="b"/>
        <c:majorTickMark val="none"/>
        <c:minorTickMark val="none"/>
        <c:tickLblPos val="nextTo"/>
        <c:crossAx val="165262848"/>
        <c:crosses val="autoZero"/>
        <c:auto val="1"/>
        <c:lblAlgn val="ctr"/>
        <c:lblOffset val="100"/>
        <c:noMultiLvlLbl val="0"/>
      </c:catAx>
      <c:valAx>
        <c:axId val="165262848"/>
        <c:scaling>
          <c:orientation val="minMax"/>
        </c:scaling>
        <c:delete val="0"/>
        <c:axPos val="l"/>
        <c:majorGridlines/>
        <c:numFmt formatCode="General" sourceLinked="1"/>
        <c:majorTickMark val="none"/>
        <c:minorTickMark val="none"/>
        <c:tickLblPos val="nextTo"/>
        <c:crossAx val="165261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Percentages aanpassing VZA's na CF2 (overeenkomsten)</a:t>
            </a:r>
          </a:p>
        </c:rich>
      </c:tx>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'grafiek volledig 208 ov'!$D$6:$D$16</c:f>
              <c:strCache>
                <c:ptCount val="11"/>
                <c:pt idx="0">
                  <c:v>Meer dan 50 % daling</c:v>
                </c:pt>
                <c:pt idx="1">
                  <c:v>Meer dan 40 % daling</c:v>
                </c:pt>
                <c:pt idx="2">
                  <c:v>Meer dan 30 % daling</c:v>
                </c:pt>
                <c:pt idx="3">
                  <c:v>Meer dan 20 % daling</c:v>
                </c:pt>
                <c:pt idx="4">
                  <c:v>Meer dan 10 % daling</c:v>
                </c:pt>
                <c:pt idx="5">
                  <c:v>Tussen 0 en 10 % daling</c:v>
                </c:pt>
                <c:pt idx="6">
                  <c:v>Tussen 0 en 10 % stijging</c:v>
                </c:pt>
                <c:pt idx="7">
                  <c:v>Meer dan 10 % stijging</c:v>
                </c:pt>
                <c:pt idx="8">
                  <c:v>Meer dan 20 % stijging</c:v>
                </c:pt>
                <c:pt idx="9">
                  <c:v>Meer dan 30 % stijging</c:v>
                </c:pt>
                <c:pt idx="10">
                  <c:v>Meer dan 40 % stijging</c:v>
                </c:pt>
              </c:strCache>
            </c:strRef>
          </c:cat>
          <c:val>
            <c:numRef>
              <c:f>'grafiek volledig 208 ov'!$E$6:$E$16</c:f>
              <c:numCache>
                <c:formatCode>General</c:formatCode>
                <c:ptCount val="11"/>
                <c:pt idx="0">
                  <c:v>0</c:v>
                </c:pt>
                <c:pt idx="1">
                  <c:v>2</c:v>
                </c:pt>
                <c:pt idx="2">
                  <c:v>10</c:v>
                </c:pt>
                <c:pt idx="3">
                  <c:v>17</c:v>
                </c:pt>
                <c:pt idx="4">
                  <c:v>38</c:v>
                </c:pt>
                <c:pt idx="5">
                  <c:v>55</c:v>
                </c:pt>
                <c:pt idx="6">
                  <c:v>62</c:v>
                </c:pt>
                <c:pt idx="7">
                  <c:v>18</c:v>
                </c:pt>
                <c:pt idx="8">
                  <c:v>4</c:v>
                </c:pt>
                <c:pt idx="9">
                  <c:v>0</c:v>
                </c:pt>
                <c:pt idx="10">
                  <c:v>2</c:v>
                </c:pt>
              </c:numCache>
            </c:numRef>
          </c:val>
        </c:ser>
        <c:dLbls>
          <c:showLegendKey val="0"/>
          <c:showVal val="0"/>
          <c:showCatName val="0"/>
          <c:showSerName val="0"/>
          <c:showPercent val="0"/>
          <c:showBubbleSize val="0"/>
        </c:dLbls>
        <c:gapWidth val="150"/>
        <c:axId val="165271040"/>
        <c:axId val="165272576"/>
      </c:barChart>
      <c:catAx>
        <c:axId val="165271040"/>
        <c:scaling>
          <c:orientation val="minMax"/>
        </c:scaling>
        <c:delete val="0"/>
        <c:axPos val="b"/>
        <c:majorTickMark val="none"/>
        <c:minorTickMark val="none"/>
        <c:tickLblPos val="nextTo"/>
        <c:crossAx val="165272576"/>
        <c:crosses val="autoZero"/>
        <c:auto val="1"/>
        <c:lblAlgn val="ctr"/>
        <c:lblOffset val="100"/>
        <c:noMultiLvlLbl val="0"/>
      </c:catAx>
      <c:valAx>
        <c:axId val="165272576"/>
        <c:scaling>
          <c:orientation val="minMax"/>
        </c:scaling>
        <c:delete val="0"/>
        <c:axPos val="l"/>
        <c:majorGridlines/>
        <c:numFmt formatCode="General" sourceLinked="1"/>
        <c:majorTickMark val="none"/>
        <c:minorTickMark val="none"/>
        <c:tickLblPos val="nextTo"/>
        <c:crossAx val="16527104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D6B0-408D-415A-B7C0-EF8C7053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1067</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Steenwegen</dc:creator>
  <cp:lastModifiedBy>Ann Allemant</cp:lastModifiedBy>
  <cp:revision>4</cp:revision>
  <cp:lastPrinted>2019-11-28T12:20:00Z</cp:lastPrinted>
  <dcterms:created xsi:type="dcterms:W3CDTF">2019-11-28T12:20:00Z</dcterms:created>
  <dcterms:modified xsi:type="dcterms:W3CDTF">2019-11-28T12:20:00Z</dcterms:modified>
</cp:coreProperties>
</file>