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E3A" w:rsidRDefault="00A81EEE">
      <w:pPr>
        <w:widowControl w:val="0"/>
        <w:spacing w:line="240" w:lineRule="auto"/>
      </w:pPr>
      <w:bookmarkStart w:id="0" w:name="_GoBack"/>
      <w:bookmarkEnd w:id="0"/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1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4E3A" w:rsidRDefault="006A4E3A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6A4E3A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6A4E3A" w:rsidRDefault="00A81EEE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6A4E3A" w:rsidRDefault="00A81EEE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6A4E3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3A" w:rsidRDefault="006A4E3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6A4E3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3A" w:rsidRDefault="006A4E3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14 </w:t>
            </w:r>
            <w:proofErr w:type="spellStart"/>
            <w:r>
              <w:rPr>
                <w:color w:val="666666"/>
              </w:rPr>
              <w:t>december</w:t>
            </w:r>
            <w:proofErr w:type="spellEnd"/>
            <w:r>
              <w:rPr>
                <w:color w:val="666666"/>
              </w:rPr>
              <w:t xml:space="preserve"> 2020</w:t>
            </w:r>
          </w:p>
        </w:tc>
      </w:tr>
      <w:tr w:rsidR="006A4E3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E3A" w:rsidRDefault="006A4E3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INF/20/211</w:t>
            </w:r>
          </w:p>
        </w:tc>
      </w:tr>
      <w:tr w:rsidR="006A4E3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A4E3A" w:rsidRDefault="00A81EEE">
            <w:pPr>
              <w:widowControl w:val="0"/>
            </w:pPr>
            <w:r>
              <w:t xml:space="preserve">Team </w:t>
            </w:r>
            <w:proofErr w:type="spellStart"/>
            <w:r>
              <w:t>Vergunnen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</w:p>
        </w:tc>
      </w:tr>
      <w:tr w:rsidR="006A4E3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A4E3A" w:rsidRDefault="00A81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erkenningen@vaph.be</w:t>
            </w:r>
          </w:p>
        </w:tc>
      </w:tr>
      <w:tr w:rsidR="006A4E3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A4E3A" w:rsidRDefault="00A81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98</w:t>
            </w:r>
          </w:p>
        </w:tc>
      </w:tr>
      <w:tr w:rsidR="006A4E3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4E3A" w:rsidRDefault="00A81EEE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6A4E3A" w:rsidRDefault="006A4E3A">
            <w:pPr>
              <w:widowControl w:val="0"/>
              <w:rPr>
                <w:sz w:val="20"/>
                <w:szCs w:val="20"/>
              </w:rPr>
            </w:pPr>
          </w:p>
        </w:tc>
      </w:tr>
      <w:tr w:rsidR="006A4E3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A81EEE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Herinnering</w:t>
            </w:r>
            <w:proofErr w:type="spellEnd"/>
            <w:r>
              <w:rPr>
                <w:sz w:val="34"/>
                <w:szCs w:val="34"/>
              </w:rPr>
              <w:t xml:space="preserve">: </w:t>
            </w:r>
            <w:proofErr w:type="spellStart"/>
            <w:r>
              <w:rPr>
                <w:sz w:val="34"/>
                <w:szCs w:val="34"/>
              </w:rPr>
              <w:t>aanvullen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aanpassen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gegevens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eigen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organisatie</w:t>
            </w:r>
            <w:proofErr w:type="spellEnd"/>
          </w:p>
        </w:tc>
      </w:tr>
      <w:tr w:rsidR="006A4E3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6A4E3A">
            <w:pPr>
              <w:widowControl w:val="0"/>
              <w:rPr>
                <w:sz w:val="34"/>
                <w:szCs w:val="34"/>
              </w:rPr>
            </w:pPr>
          </w:p>
        </w:tc>
      </w:tr>
      <w:tr w:rsidR="006A4E3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6A4E3A" w:rsidRDefault="006A4E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6A4E3A" w:rsidRDefault="00A81EEE">
      <w:pPr>
        <w:widowControl w:val="0"/>
        <w:spacing w:line="360" w:lineRule="auto"/>
      </w:pPr>
      <w:r>
        <w:t xml:space="preserve">Op 3 </w:t>
      </w:r>
      <w:proofErr w:type="spellStart"/>
      <w:r>
        <w:t>november</w:t>
      </w:r>
      <w:proofErr w:type="spellEnd"/>
      <w:r>
        <w:t xml:space="preserve"> 2020 </w:t>
      </w:r>
      <w:proofErr w:type="spellStart"/>
      <w:r>
        <w:t>ontving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over het </w:t>
      </w:r>
      <w:proofErr w:type="spellStart"/>
      <w:r>
        <w:t>openstellen</w:t>
      </w:r>
      <w:proofErr w:type="spellEnd"/>
      <w:r>
        <w:t xml:space="preserve"> van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(INF/20/178).  Via </w:t>
      </w:r>
      <w:proofErr w:type="spellStart"/>
      <w:r>
        <w:t>onderstaande</w:t>
      </w:r>
      <w:proofErr w:type="spellEnd"/>
      <w:r>
        <w:t xml:space="preserve"> link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infonota</w:t>
      </w:r>
      <w:proofErr w:type="spellEnd"/>
      <w:r>
        <w:t>.</w:t>
      </w:r>
    </w:p>
    <w:p w:rsidR="006A4E3A" w:rsidRDefault="00394432">
      <w:pPr>
        <w:widowControl w:val="0"/>
        <w:spacing w:line="360" w:lineRule="auto"/>
      </w:pPr>
      <w:hyperlink r:id="rId8">
        <w:r w:rsidR="00A81EEE">
          <w:rPr>
            <w:color w:val="1155CC"/>
            <w:u w:val="single"/>
          </w:rPr>
          <w:t>https://www.vaph.be/documenten/infonota-inf20178-het-openstellen-van-de-applicatie-erkenningen</w:t>
        </w:r>
      </w:hyperlink>
    </w:p>
    <w:p w:rsidR="006A4E3A" w:rsidRDefault="006A4E3A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  <w:rPr>
          <w:b/>
        </w:rPr>
      </w:pPr>
      <w:r>
        <w:t xml:space="preserve">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lezen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van </w:t>
      </w:r>
      <w:proofErr w:type="spellStart"/>
      <w:r>
        <w:t>organisaties</w:t>
      </w:r>
      <w:proofErr w:type="spellEnd"/>
      <w:r>
        <w:t xml:space="preserve"> die door het VAPH </w:t>
      </w:r>
      <w:proofErr w:type="spellStart"/>
      <w:r>
        <w:t>vergund</w:t>
      </w:r>
      <w:proofErr w:type="spellEnd"/>
      <w:r>
        <w:t xml:space="preserve">, </w:t>
      </w:r>
      <w:proofErr w:type="spellStart"/>
      <w:r>
        <w:t>erkend</w:t>
      </w:r>
      <w:proofErr w:type="spellEnd"/>
      <w:r>
        <w:t xml:space="preserve"> of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beheerd</w:t>
      </w:r>
      <w:proofErr w:type="spellEnd"/>
      <w:r>
        <w:t xml:space="preserve">. Door het </w:t>
      </w:r>
      <w:proofErr w:type="spellStart"/>
      <w:r>
        <w:t>openstellen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actualiseren</w:t>
      </w:r>
      <w:proofErr w:type="spellEnd"/>
      <w:r>
        <w:t xml:space="preserve">. </w:t>
      </w:r>
      <w:r>
        <w:rPr>
          <w:b/>
        </w:rPr>
        <w:t xml:space="preserve">Het VAPH </w:t>
      </w:r>
      <w:proofErr w:type="spellStart"/>
      <w:r>
        <w:rPr>
          <w:b/>
        </w:rPr>
        <w:t>zal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daarom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bepaalde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gegevens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zelf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actualiseren</w:t>
      </w:r>
      <w:proofErr w:type="spellEnd"/>
      <w:r>
        <w:rPr>
          <w:b/>
        </w:rPr>
        <w:t>.</w:t>
      </w:r>
    </w:p>
    <w:p w:rsidR="00C21DF1" w:rsidRDefault="00C21DF1">
      <w:pPr>
        <w:widowControl w:val="0"/>
        <w:spacing w:line="360" w:lineRule="auto"/>
      </w:pPr>
    </w:p>
    <w:p w:rsidR="00C21DF1" w:rsidRDefault="00C21DF1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</w:pPr>
      <w:proofErr w:type="spellStart"/>
      <w:r>
        <w:lastRenderedPageBreak/>
        <w:t>Aan</w:t>
      </w:r>
      <w:proofErr w:type="spellEnd"/>
      <w:r>
        <w:t xml:space="preserve"> de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om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aanvullingen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nog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vervolledigden</w:t>
      </w:r>
      <w:proofErr w:type="spellEnd"/>
      <w:r>
        <w:t xml:space="preserve">, </w:t>
      </w:r>
      <w:proofErr w:type="spellStart"/>
      <w:r>
        <w:t>oproepen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alsnog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r>
        <w:rPr>
          <w:b/>
        </w:rPr>
        <w:t xml:space="preserve">15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2021</w:t>
      </w:r>
      <w:r>
        <w:t>.</w:t>
      </w:r>
    </w:p>
    <w:p w:rsidR="006A4E3A" w:rsidRDefault="006A4E3A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</w:pPr>
      <w:proofErr w:type="spellStart"/>
      <w:r>
        <w:t>Volgende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nu reeds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via de </w:t>
      </w:r>
      <w:proofErr w:type="spellStart"/>
      <w:r>
        <w:t>applicatie</w:t>
      </w:r>
      <w:proofErr w:type="spellEnd"/>
      <w:r>
        <w:t>: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bijstandsorganisaties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forensische</w:t>
      </w:r>
      <w:proofErr w:type="spellEnd"/>
      <w:r>
        <w:t xml:space="preserve"> VAPH-units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geïnterneerden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groenezorginitiatieven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ODB-units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ouderinitiatieven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projecten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in de </w:t>
      </w:r>
      <w:proofErr w:type="spellStart"/>
      <w:r>
        <w:t>gevangenis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revalidatiecentra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vrijetijdszorgorganisaties</w:t>
      </w:r>
      <w:proofErr w:type="spellEnd"/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●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(</w:t>
      </w:r>
      <w:proofErr w:type="spellStart"/>
      <w:r>
        <w:t>ifv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mijnvaph.be)</w:t>
      </w:r>
    </w:p>
    <w:p w:rsidR="006A4E3A" w:rsidRDefault="006A4E3A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</w:pPr>
      <w:proofErr w:type="spellStart"/>
      <w:r>
        <w:t>Alle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nog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via </w:t>
      </w:r>
      <w:hyperlink r:id="rId9">
        <w:r>
          <w:rPr>
            <w:color w:val="1155CC"/>
            <w:u w:val="single"/>
          </w:rPr>
          <w:t>erkenningen@vaph.be</w:t>
        </w:r>
      </w:hyperlink>
      <w:r>
        <w:t>.</w:t>
      </w:r>
    </w:p>
    <w:p w:rsidR="006A4E3A" w:rsidRDefault="006A4E3A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cruciaal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brengt</w:t>
      </w:r>
      <w:proofErr w:type="spellEnd"/>
      <w:r>
        <w:t xml:space="preserve">, want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2021 </w:t>
      </w:r>
      <w:proofErr w:type="spellStart"/>
      <w:r>
        <w:rPr>
          <w:b/>
        </w:rPr>
        <w:t>zullen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verzending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infonota’s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enkel</w:t>
      </w:r>
      <w:proofErr w:type="spellEnd"/>
      <w:r>
        <w:rPr>
          <w:b/>
        </w:rPr>
        <w:t xml:space="preserve"> nog de e-</w:t>
      </w:r>
      <w:proofErr w:type="spellStart"/>
      <w:r>
        <w:rPr>
          <w:b/>
        </w:rPr>
        <w:t>mailadressen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die in de </w:t>
      </w:r>
      <w:proofErr w:type="spellStart"/>
      <w:r>
        <w:rPr>
          <w:b/>
        </w:rPr>
        <w:t>applicatie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erkenningen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ingebracht</w:t>
      </w:r>
      <w:proofErr w:type="spellEnd"/>
      <w:r>
        <w:t xml:space="preserve">. 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tot de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nog </w:t>
      </w:r>
      <w:proofErr w:type="spellStart"/>
      <w:r>
        <w:t>geen</w:t>
      </w:r>
      <w:proofErr w:type="spellEnd"/>
      <w:r>
        <w:t xml:space="preserve"> e-</w:t>
      </w:r>
      <w:proofErr w:type="spellStart"/>
      <w:r>
        <w:t>mailadressen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15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orde</w:t>
      </w:r>
      <w:proofErr w:type="spellEnd"/>
      <w:r>
        <w:t xml:space="preserve"> is,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infonota’s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>.</w:t>
      </w:r>
    </w:p>
    <w:p w:rsidR="006A4E3A" w:rsidRDefault="006A4E3A">
      <w:pPr>
        <w:widowControl w:val="0"/>
        <w:spacing w:line="360" w:lineRule="auto"/>
      </w:pPr>
    </w:p>
    <w:p w:rsidR="006A4E3A" w:rsidRDefault="00A81EEE">
      <w:pPr>
        <w:widowControl w:val="0"/>
        <w:spacing w:line="360" w:lineRule="auto"/>
      </w:pPr>
      <w:proofErr w:type="spellStart"/>
      <w:r>
        <w:rPr>
          <w:b/>
        </w:rPr>
        <w:t>Vergunde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zorgaanbieders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daarnaast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ook</w:t>
      </w:r>
      <w:proofErr w:type="spellEnd"/>
      <w:r>
        <w:rPr>
          <w:b/>
        </w:rPr>
        <w:t xml:space="preserve"> de  </w:t>
      </w:r>
      <w:proofErr w:type="spellStart"/>
      <w:r>
        <w:rPr>
          <w:b/>
        </w:rPr>
        <w:t>contactgegevens</w:t>
      </w:r>
      <w:proofErr w:type="spellEnd"/>
      <w:r>
        <w:rPr>
          <w:b/>
        </w:rPr>
        <w:t xml:space="preserve"> van de arts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kijken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actualiseren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2021 </w:t>
      </w:r>
      <w:proofErr w:type="spellStart"/>
      <w:r>
        <w:rPr>
          <w:b/>
        </w:rPr>
        <w:t>wekelijks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doorgegeven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het Contact Tracing </w:t>
      </w:r>
      <w:proofErr w:type="spellStart"/>
      <w:r>
        <w:rPr>
          <w:b/>
        </w:rPr>
        <w:t>callcenter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arts is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callcenter</w:t>
      </w:r>
      <w:proofErr w:type="spellEnd"/>
      <w:r>
        <w:t xml:space="preserve"> de </w:t>
      </w:r>
      <w:proofErr w:type="spellStart"/>
      <w:r>
        <w:t>contactpersoon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mogelijke</w:t>
      </w:r>
      <w:proofErr w:type="spellEnd"/>
      <w:r>
        <w:t xml:space="preserve">) </w:t>
      </w:r>
      <w:proofErr w:type="spellStart"/>
      <w:r>
        <w:t>besmetting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. </w:t>
      </w:r>
      <w:proofErr w:type="spellStart"/>
      <w:r>
        <w:t>Gelieve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correct </w:t>
      </w:r>
      <w:proofErr w:type="spellStart"/>
      <w:r>
        <w:t>ingevuld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 xml:space="preserve"> of </w:t>
      </w:r>
      <w:proofErr w:type="spellStart"/>
      <w:r>
        <w:t>aanstelling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arts) </w:t>
      </w:r>
      <w:proofErr w:type="spellStart"/>
      <w:r>
        <w:t>dadelijk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. </w:t>
      </w:r>
      <w:proofErr w:type="spellStart"/>
      <w:r>
        <w:lastRenderedPageBreak/>
        <w:t>Zeker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artsen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werken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e-</w:t>
      </w:r>
      <w:proofErr w:type="spellStart"/>
      <w:r>
        <w:t>mailadres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arts(</w:t>
      </w:r>
      <w:proofErr w:type="spellStart"/>
      <w:r>
        <w:t>en</w:t>
      </w:r>
      <w:proofErr w:type="spellEnd"/>
      <w:r>
        <w:t xml:space="preserve">)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bieden</w:t>
      </w:r>
      <w:proofErr w:type="spellEnd"/>
      <w:r>
        <w:t>.</w:t>
      </w:r>
    </w:p>
    <w:p w:rsidR="006A4E3A" w:rsidRDefault="00A81EEE">
      <w:pPr>
        <w:widowControl w:val="0"/>
        <w:spacing w:line="360" w:lineRule="auto"/>
      </w:pPr>
      <w:r>
        <w:t xml:space="preserve"> </w:t>
      </w:r>
    </w:p>
    <w:p w:rsidR="006A4E3A" w:rsidRDefault="00A81EEE">
      <w:pPr>
        <w:widowControl w:val="0"/>
        <w:spacing w:line="360" w:lineRule="auto"/>
      </w:pPr>
      <w:r>
        <w:t xml:space="preserve">De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raadplegen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actualiseren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organisatiegegevens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via </w:t>
      </w:r>
      <w:proofErr w:type="spellStart"/>
      <w:r>
        <w:t>volgende</w:t>
      </w:r>
      <w:proofErr w:type="spellEnd"/>
      <w:r>
        <w:t xml:space="preserve"> link:</w:t>
      </w:r>
    </w:p>
    <w:p w:rsidR="006A4E3A" w:rsidRDefault="00394432">
      <w:pPr>
        <w:widowControl w:val="0"/>
        <w:spacing w:line="360" w:lineRule="auto"/>
      </w:pPr>
      <w:hyperlink r:id="rId10">
        <w:r w:rsidR="00A81EEE">
          <w:rPr>
            <w:color w:val="1155CC"/>
            <w:u w:val="single"/>
          </w:rPr>
          <w:t>https://www.vaph.be/documenten/handleiding-hera-applicatie-erkenningen</w:t>
        </w:r>
      </w:hyperlink>
    </w:p>
    <w:p w:rsidR="006A4E3A" w:rsidRDefault="00A81EEE">
      <w:pPr>
        <w:widowControl w:val="0"/>
        <w:spacing w:line="360" w:lineRule="auto"/>
      </w:pPr>
      <w:r>
        <w:t xml:space="preserve">   </w:t>
      </w:r>
    </w:p>
    <w:p w:rsidR="006A4E3A" w:rsidRDefault="00A81EEE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Wij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medewerking</w:t>
      </w:r>
      <w:proofErr w:type="spellEnd"/>
      <w:r>
        <w:t xml:space="preserve">. </w:t>
      </w: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6A4E3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A4E3A" w:rsidRDefault="00A81EE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6A4E3A" w:rsidRDefault="00A81E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6A4E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32" w:rsidRDefault="00394432">
      <w:pPr>
        <w:spacing w:line="240" w:lineRule="auto"/>
      </w:pPr>
      <w:r>
        <w:separator/>
      </w:r>
    </w:p>
  </w:endnote>
  <w:endnote w:type="continuationSeparator" w:id="0">
    <w:p w:rsidR="00394432" w:rsidRDefault="00394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A" w:rsidRDefault="00A81EEE">
    <w:pPr>
      <w:jc w:val="right"/>
    </w:pPr>
    <w:r>
      <w:fldChar w:fldCharType="begin"/>
    </w:r>
    <w:r>
      <w:instrText>PAGE</w:instrText>
    </w:r>
    <w:r>
      <w:fldChar w:fldCharType="separate"/>
    </w:r>
    <w:r w:rsidR="002F39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A" w:rsidRDefault="006A4E3A">
    <w:pPr>
      <w:pBdr>
        <w:top w:val="nil"/>
        <w:left w:val="nil"/>
        <w:bottom w:val="nil"/>
        <w:right w:val="nil"/>
        <w:between w:val="nil"/>
      </w:pBdr>
    </w:pPr>
  </w:p>
  <w:p w:rsidR="006A4E3A" w:rsidRDefault="00A81EE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39F0EE3F" wp14:editId="6AF0C79E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2F39C4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2F39C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32" w:rsidRDefault="00394432">
      <w:pPr>
        <w:spacing w:line="240" w:lineRule="auto"/>
      </w:pPr>
      <w:r>
        <w:separator/>
      </w:r>
    </w:p>
  </w:footnote>
  <w:footnote w:type="continuationSeparator" w:id="0">
    <w:p w:rsidR="00394432" w:rsidRDefault="00394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A" w:rsidRDefault="006A4E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A" w:rsidRDefault="006A4E3A">
    <w:pPr>
      <w:pBdr>
        <w:top w:val="nil"/>
        <w:left w:val="nil"/>
        <w:bottom w:val="nil"/>
        <w:right w:val="nil"/>
        <w:between w:val="nil"/>
      </w:pBdr>
    </w:pPr>
  </w:p>
  <w:p w:rsidR="006A4E3A" w:rsidRDefault="006A4E3A">
    <w:pPr>
      <w:rPr>
        <w:sz w:val="54"/>
        <w:szCs w:val="54"/>
      </w:rPr>
    </w:pPr>
  </w:p>
  <w:p w:rsidR="006A4E3A" w:rsidRDefault="006A4E3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E3A"/>
    <w:rsid w:val="002F39C4"/>
    <w:rsid w:val="00394432"/>
    <w:rsid w:val="005A060E"/>
    <w:rsid w:val="006A4E3A"/>
    <w:rsid w:val="00722FFE"/>
    <w:rsid w:val="00A81EEE"/>
    <w:rsid w:val="00C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0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0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onota-inf20178-het-openstellen-van-de-applicatie-erkenninge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aph.be/documenten/handleiding-hera-applicatie-erkenn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kenningen@vaph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Vanoppen</dc:creator>
  <cp:lastModifiedBy>Ann Allemant</cp:lastModifiedBy>
  <cp:revision>6</cp:revision>
  <cp:lastPrinted>2020-12-15T07:53:00Z</cp:lastPrinted>
  <dcterms:created xsi:type="dcterms:W3CDTF">2020-12-14T09:05:00Z</dcterms:created>
  <dcterms:modified xsi:type="dcterms:W3CDTF">2020-12-15T07:53:00Z</dcterms:modified>
</cp:coreProperties>
</file>