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7A7A45">
            <w:pPr>
              <w:pStyle w:val="VerslagNotaOmzendbrief-2Gerichtaan"/>
            </w:pPr>
            <w:r w:rsidRPr="00746C3B">
              <w:t xml:space="preserve">Gericht aan: </w:t>
            </w:r>
            <w:r w:rsidR="007A7A45">
              <w:t>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4DB7F7FBED0B4C2DA6031A7E36787D01"/>
            </w:placeholder>
            <w:date w:fullDate="2018-12-17T00:00:00Z">
              <w:dateFormat w:val="d MMMM yyyy"/>
              <w:lid w:val="nl-BE"/>
              <w:storeMappedDataAs w:val="dateTime"/>
              <w:calendar w:val="gregorian"/>
            </w:date>
          </w:sdtPr>
          <w:sdtEndPr/>
          <w:sdtContent>
            <w:tc>
              <w:tcPr>
                <w:tcW w:w="6365" w:type="dxa"/>
              </w:tcPr>
              <w:p w:rsidR="00E52FBB" w:rsidRPr="002F0ED6" w:rsidRDefault="002A7113" w:rsidP="002A7113">
                <w:pPr>
                  <w:pStyle w:val="VerslagNotaOmzendbrief-3Tekst"/>
                </w:pPr>
                <w:r>
                  <w:t>17 december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2E41C7" w:rsidP="002E41C7">
            <w:pPr>
              <w:pStyle w:val="VerslagNotaOmzendbrief-3Tekst"/>
            </w:pPr>
            <w:r>
              <w:t>INF/AFZ/18/40</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2A7113" w:rsidP="002A7113">
            <w:pPr>
              <w:pStyle w:val="VerslagNotaOmzendbrief-Kenmerk-Tekst"/>
            </w:pPr>
            <w:r>
              <w:t>Erkenningen</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2A7113" w:rsidP="002A7113">
            <w:pPr>
              <w:pStyle w:val="VerslagNotaOmzendbrief-Kenmerk-Tekst"/>
            </w:pPr>
            <w:r>
              <w:t>erkenningen@vaph.be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2A7113" w:rsidP="002A7113">
            <w:pPr>
              <w:pStyle w:val="VerslagNotaOmzendbrief-Kenmerk-Tekst"/>
            </w:pPr>
            <w:r>
              <w:t>02/225 84 02</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2A7113" w:rsidP="002A7113">
            <w:pPr>
              <w:pStyle w:val="VerslagNotaOmzendbrief-Kenmerk-Tekst"/>
            </w:pPr>
            <w:r>
              <w:t>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4C315B" w:rsidP="00F50C45">
            <w:pPr>
              <w:pStyle w:val="VerslagNotaOmzendbrief-4OnderwerpTitel"/>
            </w:pPr>
            <w:r>
              <w:rPr>
                <w:rFonts w:eastAsia="Times New Roman"/>
                <w:bCs/>
                <w:color w:val="000000"/>
                <w:sz w:val="32"/>
                <w:szCs w:val="32"/>
                <w:lang w:eastAsia="nl-BE"/>
              </w:rPr>
              <w:t>D</w:t>
            </w:r>
            <w:r w:rsidRPr="004C315B">
              <w:rPr>
                <w:rFonts w:eastAsia="Times New Roman"/>
                <w:bCs/>
                <w:color w:val="000000"/>
                <w:sz w:val="32"/>
                <w:szCs w:val="32"/>
                <w:lang w:eastAsia="nl-BE"/>
              </w:rPr>
              <w:t xml:space="preserve">irecte financiering voor geïnterneerden met een handicap: wijze </w:t>
            </w:r>
            <w:r>
              <w:rPr>
                <w:rFonts w:eastAsia="Times New Roman"/>
                <w:bCs/>
                <w:color w:val="000000"/>
                <w:sz w:val="32"/>
                <w:szCs w:val="32"/>
                <w:lang w:eastAsia="nl-BE"/>
              </w:rPr>
              <w:t xml:space="preserve">van </w:t>
            </w:r>
            <w:r w:rsidRPr="004C315B">
              <w:rPr>
                <w:rFonts w:eastAsia="Times New Roman"/>
                <w:bCs/>
                <w:color w:val="000000"/>
                <w:sz w:val="32"/>
                <w:szCs w:val="32"/>
                <w:lang w:eastAsia="nl-BE"/>
              </w:rPr>
              <w:t>registratie van de vergunde zorgaanbieder</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EF373E" w:rsidRPr="00C91754" w:rsidRDefault="004C315B" w:rsidP="006506BC">
      <w:r w:rsidRPr="00C91754">
        <w:t>Geachte mevrouw</w:t>
      </w:r>
    </w:p>
    <w:p w:rsidR="004C315B" w:rsidRPr="00C91754" w:rsidRDefault="004C315B" w:rsidP="006506BC">
      <w:r w:rsidRPr="00C91754">
        <w:t>Geachte heer</w:t>
      </w:r>
    </w:p>
    <w:p w:rsidR="008C65A8" w:rsidRPr="00C91754" w:rsidRDefault="008C65A8" w:rsidP="00C539CA">
      <w:pPr>
        <w:spacing w:after="120" w:line="240" w:lineRule="auto"/>
        <w:ind w:right="690"/>
        <w:rPr>
          <w:rFonts w:eastAsia="Times New Roman"/>
          <w:color w:val="000000"/>
          <w:lang w:eastAsia="nl-BE"/>
        </w:rPr>
      </w:pP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 xml:space="preserve">Op </w:t>
      </w:r>
      <w:r w:rsidRPr="00C91754">
        <w:rPr>
          <w:rFonts w:eastAsia="Times New Roman"/>
          <w:lang w:eastAsia="nl-BE"/>
        </w:rPr>
        <w:t xml:space="preserve">14 december 2018 </w:t>
      </w:r>
      <w:r w:rsidRPr="00C91754">
        <w:rPr>
          <w:rFonts w:eastAsia="Times New Roman"/>
          <w:color w:val="000000"/>
          <w:lang w:eastAsia="nl-BE"/>
        </w:rPr>
        <w:t>keurde de Vlaamse Regering het besluit over de zorg en ondersteuning voor geïnterneerde personen met een handicap door vergunde zorgaanbieder</w:t>
      </w:r>
      <w:r w:rsidR="00662051" w:rsidRPr="00C91754">
        <w:rPr>
          <w:rFonts w:eastAsia="Times New Roman"/>
          <w:color w:val="000000"/>
          <w:lang w:eastAsia="nl-BE"/>
        </w:rPr>
        <w:t>s</w:t>
      </w:r>
      <w:r w:rsidRPr="00C91754">
        <w:rPr>
          <w:rFonts w:eastAsia="Times New Roman"/>
          <w:color w:val="000000"/>
          <w:lang w:eastAsia="nl-BE"/>
        </w:rPr>
        <w:t xml:space="preserve"> goed. Dit besluit van de Vlaamse Regering treedt in werking </w:t>
      </w:r>
      <w:r w:rsidRPr="00C91754">
        <w:rPr>
          <w:rFonts w:eastAsia="Times New Roman"/>
          <w:lang w:eastAsia="nl-BE"/>
        </w:rPr>
        <w:t xml:space="preserve">op 1 januari 2019 </w:t>
      </w:r>
      <w:r w:rsidRPr="00C91754">
        <w:rPr>
          <w:rFonts w:eastAsia="Times New Roman"/>
          <w:color w:val="000000"/>
          <w:lang w:eastAsia="nl-BE"/>
        </w:rPr>
        <w:t xml:space="preserve">en regelt de direct gefinancierde ondersteuning voor geïnterneerden met een handicap die uit een beveiligde setting doorstromen. </w:t>
      </w:r>
    </w:p>
    <w:p w:rsidR="00C539CA" w:rsidRPr="00C91754" w:rsidRDefault="0042712F" w:rsidP="00C539CA">
      <w:pPr>
        <w:spacing w:after="120" w:line="240" w:lineRule="auto"/>
        <w:ind w:right="690"/>
        <w:rPr>
          <w:rFonts w:eastAsia="Times New Roman"/>
          <w:lang w:eastAsia="nl-BE"/>
        </w:rPr>
      </w:pPr>
      <w:r w:rsidRPr="00C91754">
        <w:rPr>
          <w:rFonts w:eastAsia="Times New Roman"/>
          <w:color w:val="000000"/>
          <w:lang w:eastAsia="nl-BE"/>
        </w:rPr>
        <w:t>Het besluit van de Vlaamse Regering van 14 december 2018 en het bijbehorende ministerieel besluit bepalen de wijze van aanvraag van een</w:t>
      </w:r>
      <w:r w:rsidR="00C539CA" w:rsidRPr="00C91754">
        <w:rPr>
          <w:rFonts w:eastAsia="Times New Roman"/>
          <w:color w:val="000000"/>
          <w:lang w:eastAsia="nl-BE"/>
        </w:rPr>
        <w:t xml:space="preserve"> registratie als vergunde zorgaanbieder </w:t>
      </w:r>
      <w:r w:rsidRPr="00C91754">
        <w:rPr>
          <w:rFonts w:eastAsia="Times New Roman"/>
          <w:color w:val="000000"/>
          <w:lang w:eastAsia="nl-BE"/>
        </w:rPr>
        <w:t>voor het aanbieden van ondersteuningsmodules</w:t>
      </w:r>
      <w:r w:rsidR="00EB7198">
        <w:rPr>
          <w:rFonts w:eastAsia="Times New Roman"/>
          <w:color w:val="000000"/>
          <w:lang w:eastAsia="nl-BE"/>
        </w:rPr>
        <w:t>.</w:t>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 xml:space="preserve">Met deze infonota wenst het VAPH u te informeren over de wijze waarop een vergunde zorgaanbieder zich kan registreren voor één of meerdere ondersteuningsmodules binnen de directe financiering voor geïnterneerde personen met een handicap. </w:t>
      </w:r>
    </w:p>
    <w:p w:rsidR="008C65A8" w:rsidRPr="00C91754" w:rsidRDefault="00C539CA" w:rsidP="00C539CA">
      <w:pPr>
        <w:spacing w:after="120" w:line="240" w:lineRule="auto"/>
        <w:ind w:right="690"/>
        <w:rPr>
          <w:rFonts w:eastAsia="Times New Roman"/>
          <w:color w:val="000000"/>
          <w:lang w:eastAsia="nl-BE"/>
        </w:rPr>
      </w:pPr>
      <w:r w:rsidRPr="00C91754">
        <w:rPr>
          <w:rFonts w:eastAsia="Times New Roman"/>
          <w:lang w:eastAsia="nl-BE"/>
        </w:rPr>
        <w:t xml:space="preserve">Op 15 januari 2019 </w:t>
      </w:r>
      <w:r w:rsidRPr="00C91754">
        <w:rPr>
          <w:rFonts w:eastAsia="Times New Roman"/>
          <w:color w:val="000000"/>
          <w:lang w:eastAsia="nl-BE"/>
        </w:rPr>
        <w:t xml:space="preserve">zal het VAPH een uitgebreidere infonota over deze nieuwe regelgeving bezorgen met meer gedetailleerde informatie omtrent de aanvraagprocedure voor geïnterneerde personen met een handicap, de mogelijkheid tot bemiddeling, de subsidiëring van de geregistreerde vergunde zorgaanbieders en de registratie van de overeenkomsten. </w:t>
      </w:r>
      <w:r w:rsidR="00F80D54" w:rsidRPr="00C91754">
        <w:rPr>
          <w:rFonts w:eastAsia="Times New Roman"/>
          <w:color w:val="000000"/>
          <w:lang w:eastAsia="nl-BE"/>
        </w:rPr>
        <w:t xml:space="preserve"> Zodra de definitieve versie van de betrokken besluiten in ons bezit zijn, </w:t>
      </w:r>
      <w:r w:rsidR="00303603" w:rsidRPr="00C91754">
        <w:rPr>
          <w:rFonts w:eastAsia="Times New Roman"/>
          <w:color w:val="000000"/>
          <w:lang w:eastAsia="nl-BE"/>
        </w:rPr>
        <w:t>zullen ze eveneens verspreid worden.</w:t>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lastRenderedPageBreak/>
        <w:t>Daarnaast blijft ook het gekende ondersteuningsaanbod van de projecten voor geïnterneerden en gedetineerden in de gevangenis en de units voor geïnterneerden (forensische VAPH-units)</w:t>
      </w:r>
      <w:r w:rsidR="00772CBE" w:rsidRPr="00C91754">
        <w:rPr>
          <w:rStyle w:val="Voetnootmarkering"/>
          <w:rFonts w:eastAsia="Times New Roman"/>
          <w:color w:val="000000"/>
          <w:lang w:eastAsia="nl-BE"/>
        </w:rPr>
        <w:footnoteReference w:id="1"/>
      </w:r>
      <w:r w:rsidRPr="00C91754">
        <w:rPr>
          <w:rFonts w:eastAsia="Times New Roman"/>
          <w:color w:val="000000"/>
          <w:lang w:eastAsia="nl-BE"/>
        </w:rPr>
        <w:t xml:space="preserve"> bestaan.</w:t>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 xml:space="preserve">In januari en februari 2019 organiseert het VAPH </w:t>
      </w:r>
      <w:r w:rsidR="0061686A" w:rsidRPr="00C91754">
        <w:rPr>
          <w:rFonts w:eastAsia="Times New Roman"/>
          <w:color w:val="000000"/>
          <w:lang w:eastAsia="nl-BE"/>
        </w:rPr>
        <w:t xml:space="preserve">voor de vergunde zorgaanbieders </w:t>
      </w:r>
      <w:r w:rsidRPr="00C91754">
        <w:rPr>
          <w:rFonts w:eastAsia="Times New Roman"/>
          <w:color w:val="000000"/>
          <w:lang w:eastAsia="nl-BE"/>
        </w:rPr>
        <w:t>per hof van beroep infosessies omtrent de directe financiering voor geïnterneerden met een handicap en het justitiële landschap</w:t>
      </w:r>
      <w:r w:rsidR="0061686A" w:rsidRPr="00C91754">
        <w:rPr>
          <w:rFonts w:eastAsia="Times New Roman"/>
          <w:color w:val="000000"/>
          <w:lang w:eastAsia="nl-BE"/>
        </w:rPr>
        <w:t>.</w:t>
      </w:r>
    </w:p>
    <w:p w:rsidR="00C539CA" w:rsidRPr="00C91754" w:rsidRDefault="00C539CA" w:rsidP="00C91754">
      <w:pPr>
        <w:pStyle w:val="Kop1"/>
        <w:rPr>
          <w:rFonts w:eastAsia="Times New Roman"/>
          <w:lang w:eastAsia="nl-BE"/>
        </w:rPr>
      </w:pPr>
      <w:r w:rsidRPr="00C91754">
        <w:rPr>
          <w:rFonts w:eastAsia="Times New Roman"/>
          <w:lang w:eastAsia="nl-BE"/>
        </w:rPr>
        <w:t>Directe financiering voor geïnterneerden</w:t>
      </w:r>
    </w:p>
    <w:p w:rsidR="00C539CA" w:rsidRPr="00C91754" w:rsidRDefault="00C539CA" w:rsidP="00C539CA">
      <w:pPr>
        <w:spacing w:after="160" w:line="240" w:lineRule="auto"/>
        <w:ind w:right="690"/>
        <w:rPr>
          <w:rFonts w:eastAsia="Times New Roman"/>
          <w:lang w:eastAsia="nl-BE"/>
        </w:rPr>
      </w:pPr>
      <w:r w:rsidRPr="00C91754">
        <w:rPr>
          <w:rFonts w:eastAsia="Times New Roman"/>
          <w:color w:val="000000"/>
          <w:lang w:eastAsia="nl-BE"/>
        </w:rPr>
        <w:t>Vanaf 15 januari 2019 kunnen geïnterneerden met een handicap op het ogenblik dat ze uitstromen uit een gevangenis, forensisch psychiatrisch centrum (FPC), een erkende medium security-afdeling binnen de psychiatrie of een forensische VAPH-unit ondersteund worden door vergunde zorgaanbieders die hiervoor rechtstreeks worden vergoed door het VAPH. De persoon met een handicap dient, samen met de beveiligde setting waar hij verblijft, een aanvraag in voor één van de vijf ondersteuningsmodules, namelijk ‘individuele ondersteuning’, ‘</w:t>
      </w:r>
      <w:proofErr w:type="spellStart"/>
      <w:r w:rsidR="006165DF">
        <w:rPr>
          <w:rFonts w:eastAsia="Times New Roman"/>
          <w:color w:val="000000"/>
          <w:lang w:eastAsia="nl-BE"/>
        </w:rPr>
        <w:t>dag</w:t>
      </w:r>
      <w:r w:rsidRPr="00C91754">
        <w:rPr>
          <w:rFonts w:eastAsia="Times New Roman"/>
          <w:color w:val="000000"/>
          <w:lang w:eastAsia="nl-BE"/>
        </w:rPr>
        <w:t>ondersteuning</w:t>
      </w:r>
      <w:proofErr w:type="spellEnd"/>
      <w:r w:rsidRPr="00C91754">
        <w:rPr>
          <w:rFonts w:eastAsia="Times New Roman"/>
          <w:color w:val="000000"/>
          <w:lang w:eastAsia="nl-BE"/>
        </w:rPr>
        <w:t>’, ‘</w:t>
      </w:r>
      <w:r w:rsidR="006165DF">
        <w:rPr>
          <w:rFonts w:eastAsia="Times New Roman"/>
          <w:color w:val="000000"/>
          <w:lang w:eastAsia="nl-BE"/>
        </w:rPr>
        <w:t>woon</w:t>
      </w:r>
      <w:r w:rsidRPr="00C91754">
        <w:rPr>
          <w:rFonts w:eastAsia="Times New Roman"/>
          <w:color w:val="000000"/>
          <w:lang w:eastAsia="nl-BE"/>
        </w:rPr>
        <w:t xml:space="preserve">ondersteuning’, ‘dag- en woonondersteuning’ of ‘dag- en woonondersteuning +’. </w:t>
      </w:r>
    </w:p>
    <w:p w:rsidR="00C539CA" w:rsidRPr="00C91754" w:rsidRDefault="00C539CA" w:rsidP="00C539CA">
      <w:pPr>
        <w:spacing w:after="160" w:line="240" w:lineRule="auto"/>
        <w:ind w:right="690"/>
        <w:rPr>
          <w:rFonts w:eastAsia="Times New Roman"/>
          <w:lang w:eastAsia="nl-BE"/>
        </w:rPr>
      </w:pPr>
      <w:r w:rsidRPr="00C91754">
        <w:rPr>
          <w:rFonts w:eastAsia="Times New Roman"/>
          <w:color w:val="000000"/>
          <w:lang w:eastAsia="nl-BE"/>
        </w:rPr>
        <w:t xml:space="preserve">De module ‘dag- en woonondersteuning +’ kan worden toegewezen indien in het verslag één van de volgende situaties is aangetoond: </w:t>
      </w:r>
    </w:p>
    <w:p w:rsidR="00C539CA" w:rsidRPr="00C91754" w:rsidRDefault="00C539CA" w:rsidP="00C539CA">
      <w:pPr>
        <w:numPr>
          <w:ilvl w:val="0"/>
          <w:numId w:val="24"/>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 xml:space="preserve">de geïnterneerde persoon heeft voltijds dag- en woonondersteuning nodig, er moet voortdurend iemand aanwezig zijn en er moet toezicht uitgeoefend worden binnen gehoorsafstand; </w:t>
      </w:r>
    </w:p>
    <w:p w:rsidR="00C539CA" w:rsidRDefault="00C539CA" w:rsidP="00C539CA">
      <w:pPr>
        <w:numPr>
          <w:ilvl w:val="0"/>
          <w:numId w:val="24"/>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 xml:space="preserve">de geïnterneerde persoon heeft voltijds dag- en woonondersteuning nodig, er moet voortdurend iemand aanwezig zijn zonder dat die persoon voortdurend toezicht moet uitoefenen en de persoon heeft dagelijks ondersteuning nodig op de meeste levensdomeinen, voornamelijk in de vorm van inhoudelijke of praktische begeleiding van een deel van de activiteit. </w:t>
      </w:r>
      <w:r w:rsidRPr="00C91754">
        <w:rPr>
          <w:rFonts w:eastAsia="Times New Roman"/>
          <w:color w:val="000000"/>
          <w:lang w:eastAsia="nl-BE"/>
        </w:rPr>
        <w:br/>
      </w:r>
    </w:p>
    <w:p w:rsidR="00C91754" w:rsidRPr="00C91754" w:rsidRDefault="00C91754" w:rsidP="00C91754">
      <w:pPr>
        <w:pStyle w:val="Kop1"/>
        <w:rPr>
          <w:rFonts w:eastAsia="Times New Roman"/>
          <w:lang w:eastAsia="nl-BE"/>
        </w:rPr>
      </w:pPr>
      <w:r w:rsidRPr="00C91754">
        <w:rPr>
          <w:rFonts w:eastAsia="Times New Roman"/>
          <w:lang w:eastAsia="nl-BE"/>
        </w:rPr>
        <w:t>Doelgroep</w:t>
      </w:r>
    </w:p>
    <w:p w:rsidR="00C539CA" w:rsidRPr="00C91754" w:rsidRDefault="00C539CA" w:rsidP="00C539CA">
      <w:pPr>
        <w:spacing w:after="160" w:line="240" w:lineRule="auto"/>
        <w:ind w:right="690"/>
        <w:rPr>
          <w:rFonts w:eastAsia="Times New Roman"/>
          <w:lang w:eastAsia="nl-BE"/>
        </w:rPr>
      </w:pPr>
      <w:r w:rsidRPr="00C91754">
        <w:rPr>
          <w:rFonts w:eastAsia="Times New Roman"/>
          <w:color w:val="000000"/>
          <w:lang w:eastAsia="nl-BE"/>
        </w:rPr>
        <w:t>Een persoon kan gebruik maken van direct gefinancierde ondersteuning voor geïnterneerden indien hij aan volgende voorwaarden voldoet:</w:t>
      </w:r>
    </w:p>
    <w:p w:rsidR="00C539CA" w:rsidRPr="00C91754" w:rsidRDefault="00C539CA" w:rsidP="00C539CA">
      <w:pPr>
        <w:numPr>
          <w:ilvl w:val="0"/>
          <w:numId w:val="26"/>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geïnterneerd zijn,</w:t>
      </w:r>
    </w:p>
    <w:p w:rsidR="00C539CA" w:rsidRPr="00C91754" w:rsidRDefault="00C539CA" w:rsidP="00C539CA">
      <w:pPr>
        <w:numPr>
          <w:ilvl w:val="0"/>
          <w:numId w:val="26"/>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door het VAPH erkend zijn als persoon met een handicap,</w:t>
      </w:r>
    </w:p>
    <w:p w:rsidR="00C539CA" w:rsidRPr="00C91754" w:rsidRDefault="00C539CA" w:rsidP="00C539CA">
      <w:pPr>
        <w:numPr>
          <w:ilvl w:val="0"/>
          <w:numId w:val="26"/>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 xml:space="preserve">uitstromen uit een gevangenis, forensisch psychiatrisch centrum (FPC), een erkende medium security-afdeling binnen de psychiatrie of een forensische VAPH-unit, </w:t>
      </w:r>
    </w:p>
    <w:p w:rsidR="00C539CA" w:rsidRPr="00C91754" w:rsidRDefault="00C539CA" w:rsidP="00C539CA">
      <w:pPr>
        <w:numPr>
          <w:ilvl w:val="0"/>
          <w:numId w:val="26"/>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een positieve beslissing van het VAPH hebben omtrent toegang tot direct gefinancierde ondersteuning voor geïnterneerden,</w:t>
      </w:r>
    </w:p>
    <w:p w:rsidR="00C539CA" w:rsidRPr="00C91754" w:rsidRDefault="00C539CA" w:rsidP="00C539CA">
      <w:pPr>
        <w:numPr>
          <w:ilvl w:val="0"/>
          <w:numId w:val="26"/>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 xml:space="preserve">behoefte hebben aan </w:t>
      </w:r>
      <w:proofErr w:type="spellStart"/>
      <w:r w:rsidRPr="00C91754">
        <w:rPr>
          <w:rFonts w:eastAsia="Times New Roman"/>
          <w:color w:val="000000"/>
          <w:lang w:eastAsia="nl-BE"/>
        </w:rPr>
        <w:t>handicapspecifieke</w:t>
      </w:r>
      <w:proofErr w:type="spellEnd"/>
      <w:r w:rsidRPr="00C91754">
        <w:rPr>
          <w:rFonts w:eastAsia="Times New Roman"/>
          <w:color w:val="000000"/>
          <w:lang w:eastAsia="nl-BE"/>
        </w:rPr>
        <w:t xml:space="preserve"> ondersteuning (ongeacht de benodigde ondersteuningsvorm en -intensiteit) en forensische </w:t>
      </w:r>
      <w:proofErr w:type="spellStart"/>
      <w:r w:rsidRPr="00C91754">
        <w:rPr>
          <w:rFonts w:eastAsia="Times New Roman"/>
          <w:color w:val="000000"/>
          <w:lang w:eastAsia="nl-BE"/>
        </w:rPr>
        <w:t>know</w:t>
      </w:r>
      <w:proofErr w:type="spellEnd"/>
      <w:r w:rsidRPr="00C91754">
        <w:rPr>
          <w:rFonts w:eastAsia="Times New Roman"/>
          <w:color w:val="000000"/>
          <w:lang w:eastAsia="nl-BE"/>
        </w:rPr>
        <w:t xml:space="preserve"> </w:t>
      </w:r>
      <w:proofErr w:type="spellStart"/>
      <w:r w:rsidRPr="00C91754">
        <w:rPr>
          <w:rFonts w:eastAsia="Times New Roman"/>
          <w:color w:val="000000"/>
          <w:lang w:eastAsia="nl-BE"/>
        </w:rPr>
        <w:t>how</w:t>
      </w:r>
      <w:proofErr w:type="spellEnd"/>
      <w:r w:rsidRPr="00C91754">
        <w:rPr>
          <w:rFonts w:eastAsia="Times New Roman"/>
          <w:color w:val="000000"/>
          <w:lang w:eastAsia="nl-BE"/>
        </w:rPr>
        <w:t>.</w:t>
      </w:r>
    </w:p>
    <w:p w:rsidR="00C539CA" w:rsidRPr="00C91754" w:rsidRDefault="00C539CA" w:rsidP="00B0779F">
      <w:pPr>
        <w:pStyle w:val="Kop1"/>
        <w:rPr>
          <w:rFonts w:eastAsia="Times New Roman"/>
          <w:lang w:eastAsia="nl-BE"/>
        </w:rPr>
      </w:pPr>
      <w:r w:rsidRPr="00C91754">
        <w:rPr>
          <w:rFonts w:eastAsia="Times New Roman"/>
          <w:lang w:eastAsia="nl-BE"/>
        </w:rPr>
        <w:lastRenderedPageBreak/>
        <w:t xml:space="preserve">Voorwaarden voor de vergunde zorgaanbieder </w:t>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 xml:space="preserve">De directe financiering voor geïnterneerden kan enkel ingezet worden bij door het VAPH vergunde zorgaanbieders die zich hiertoe bij het VAPH registreren. Enkel voorzieningen die aan bepaalde specifieke vereisten inzake expertise en/of infrastructuur voldoen, zullen via directe financiering geïnterneerden kunnen ondersteunen. Deze voorwaarden zijn regelgevend verankerd. </w:t>
      </w:r>
      <w:r w:rsidRPr="00C91754">
        <w:rPr>
          <w:rFonts w:eastAsia="Times New Roman"/>
          <w:color w:val="000000"/>
          <w:lang w:eastAsia="nl-BE"/>
        </w:rPr>
        <w:br/>
      </w:r>
      <w:r w:rsidRPr="00C91754">
        <w:rPr>
          <w:rFonts w:eastAsia="Times New Roman"/>
          <w:color w:val="000000"/>
          <w:lang w:eastAsia="nl-BE"/>
        </w:rPr>
        <w:br/>
        <w:t>De vergunde zorgaanbieders dienen te voldoen aan de volgende voorwaarden:</w:t>
      </w:r>
    </w:p>
    <w:p w:rsidR="00C539CA" w:rsidRPr="00C91754" w:rsidRDefault="00C539CA" w:rsidP="00C539CA">
      <w:pPr>
        <w:numPr>
          <w:ilvl w:val="0"/>
          <w:numId w:val="28"/>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geregistreerd zijn bij het VAPH (zie aanvraagformulier als bijlage),</w:t>
      </w:r>
    </w:p>
    <w:p w:rsidR="00C539CA" w:rsidRPr="00C91754" w:rsidRDefault="00C539CA" w:rsidP="00C539CA">
      <w:pPr>
        <w:numPr>
          <w:ilvl w:val="0"/>
          <w:numId w:val="28"/>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bereid zijn om op maat te werken met een forensische doelgroep,</w:t>
      </w:r>
    </w:p>
    <w:p w:rsidR="00C539CA" w:rsidRPr="00C91754" w:rsidRDefault="00C539CA" w:rsidP="00C539CA">
      <w:pPr>
        <w:numPr>
          <w:ilvl w:val="0"/>
          <w:numId w:val="28"/>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beschikken over forensische expertise en opleidingen volgen in functie van de ondersteuning van een forensische doelgroep,</w:t>
      </w:r>
    </w:p>
    <w:p w:rsidR="00C539CA" w:rsidRPr="00C91754" w:rsidRDefault="00C539CA" w:rsidP="00C539CA">
      <w:pPr>
        <w:numPr>
          <w:ilvl w:val="0"/>
          <w:numId w:val="28"/>
        </w:numPr>
        <w:spacing w:after="0" w:line="240" w:lineRule="auto"/>
        <w:ind w:right="690"/>
        <w:textAlignment w:val="baseline"/>
        <w:rPr>
          <w:rFonts w:eastAsia="Times New Roman"/>
          <w:color w:val="000000"/>
          <w:lang w:eastAsia="nl-BE"/>
        </w:rPr>
      </w:pPr>
      <w:r w:rsidRPr="00C91754">
        <w:rPr>
          <w:rFonts w:eastAsia="Times New Roman"/>
          <w:color w:val="000000"/>
          <w:lang w:eastAsia="nl-BE"/>
        </w:rPr>
        <w:t>sectoraal en intersectoraal afstemmen met andere actoren die betrokken zijn bij de ondersteuning van de geïnterneerde personen,</w:t>
      </w:r>
    </w:p>
    <w:p w:rsidR="00C539CA" w:rsidRPr="00C91754" w:rsidRDefault="00C539CA" w:rsidP="00B0779F">
      <w:pPr>
        <w:pStyle w:val="Lijstalinea"/>
        <w:numPr>
          <w:ilvl w:val="0"/>
          <w:numId w:val="28"/>
        </w:numPr>
        <w:spacing w:after="120" w:line="240" w:lineRule="auto"/>
        <w:ind w:right="690"/>
        <w:textAlignment w:val="baseline"/>
        <w:rPr>
          <w:rFonts w:eastAsia="Times New Roman"/>
          <w:color w:val="000000"/>
          <w:lang w:eastAsia="nl-BE"/>
        </w:rPr>
      </w:pPr>
      <w:r w:rsidRPr="00C91754">
        <w:rPr>
          <w:rFonts w:eastAsia="Times New Roman"/>
          <w:color w:val="000000"/>
          <w:lang w:eastAsia="nl-BE"/>
        </w:rPr>
        <w:t>instaan voor opvolging en nazorg van het zorgtraject van de betrokken geïnterneerde personen.</w:t>
      </w:r>
      <w:r w:rsidRPr="00C91754">
        <w:rPr>
          <w:rFonts w:eastAsia="Times New Roman"/>
          <w:color w:val="000000"/>
          <w:lang w:eastAsia="nl-BE"/>
        </w:rPr>
        <w:br/>
      </w:r>
      <w:r w:rsidRPr="00C91754">
        <w:rPr>
          <w:rFonts w:eastAsia="Times New Roman"/>
          <w:color w:val="000000"/>
          <w:lang w:eastAsia="nl-BE"/>
        </w:rPr>
        <w:br/>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 xml:space="preserve">De vergunde zorgaanbieders die woon- of </w:t>
      </w:r>
      <w:proofErr w:type="spellStart"/>
      <w:r w:rsidRPr="00C91754">
        <w:rPr>
          <w:rFonts w:eastAsia="Times New Roman"/>
          <w:color w:val="000000"/>
          <w:lang w:eastAsia="nl-BE"/>
        </w:rPr>
        <w:t>dagondersteuning</w:t>
      </w:r>
      <w:proofErr w:type="spellEnd"/>
      <w:r w:rsidRPr="00C91754">
        <w:rPr>
          <w:rFonts w:eastAsia="Times New Roman"/>
          <w:color w:val="000000"/>
          <w:lang w:eastAsia="nl-BE"/>
        </w:rPr>
        <w:t xml:space="preserve"> willen aanbieden</w:t>
      </w:r>
      <w:r w:rsidR="00EB7198">
        <w:rPr>
          <w:rFonts w:eastAsia="Times New Roman"/>
          <w:color w:val="000000"/>
          <w:lang w:eastAsia="nl-BE"/>
        </w:rPr>
        <w:t>,</w:t>
      </w:r>
      <w:r w:rsidRPr="00C91754">
        <w:rPr>
          <w:rFonts w:eastAsia="Times New Roman"/>
          <w:color w:val="000000"/>
          <w:lang w:eastAsia="nl-BE"/>
        </w:rPr>
        <w:t xml:space="preserve"> moeten naast deze voorwaarden ook voldoen aan de voorwaarde dat ze afhankelijk van de module van ondersteuning die zij willen bieden, beschikken over een aangepaste infrastructuur of bereid zijn op korte termijn de nodige infrastructurele aanpassingen te doen.</w:t>
      </w:r>
    </w:p>
    <w:p w:rsidR="00C539CA" w:rsidRPr="00C91754" w:rsidRDefault="00C539CA" w:rsidP="00C91754">
      <w:pPr>
        <w:pStyle w:val="Kop1"/>
        <w:rPr>
          <w:rFonts w:eastAsia="Times New Roman"/>
          <w:lang w:eastAsia="nl-BE"/>
        </w:rPr>
      </w:pPr>
      <w:r w:rsidRPr="00C91754">
        <w:rPr>
          <w:rFonts w:eastAsia="Times New Roman"/>
          <w:lang w:eastAsia="nl-BE"/>
        </w:rPr>
        <w:t>Aanvraag tot registratie voor direct gefinancierde ondersteuning voor geïnterneerde personen met een handicap</w:t>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 xml:space="preserve">De vergunde zorgaanbieder kan een aanvraag bij het VAPH indienen om zich te registreren voor één of meerdere ondersteuningsmodules. Er kan hiervoor gebruik gemaakt worden van het aanvraagformulier. Het formulier dient ingevuld en ondertekend bezorgd te worden aan het VAPH via </w:t>
      </w:r>
      <w:hyperlink r:id="rId9" w:history="1">
        <w:r w:rsidRPr="00C91754">
          <w:rPr>
            <w:rFonts w:eastAsia="Times New Roman"/>
            <w:color w:val="1155CC"/>
            <w:u w:val="single"/>
            <w:lang w:eastAsia="nl-BE"/>
          </w:rPr>
          <w:t>erkenningen@vaph.be</w:t>
        </w:r>
      </w:hyperlink>
      <w:r w:rsidRPr="00C91754">
        <w:rPr>
          <w:rFonts w:eastAsia="Times New Roman"/>
          <w:color w:val="000000"/>
          <w:lang w:eastAsia="nl-BE"/>
        </w:rPr>
        <w:t>. Het VAPH zal uw aanvraag onderzoeken op volledigheid en keurt de registratie goed indien aan alle voorwaarden is voldaan. Het VAPH verstuurt de beslissingsbrief omtrent de aanvraag tot registratie per e-mail aan de vergunde zorgaanbieder. De registratie heeft standaard een geldigheidsduur van vijf jaar.</w:t>
      </w:r>
    </w:p>
    <w:p w:rsidR="00C945C9" w:rsidRPr="00C91754" w:rsidRDefault="00C539CA" w:rsidP="00C539CA">
      <w:pPr>
        <w:spacing w:after="120" w:line="240" w:lineRule="auto"/>
        <w:ind w:right="690"/>
        <w:rPr>
          <w:rFonts w:eastAsia="Times New Roman"/>
          <w:color w:val="000000"/>
          <w:lang w:eastAsia="nl-BE"/>
        </w:rPr>
      </w:pPr>
      <w:r w:rsidRPr="00C91754">
        <w:rPr>
          <w:rFonts w:eastAsia="Times New Roman"/>
          <w:color w:val="000000"/>
          <w:lang w:eastAsia="nl-BE"/>
        </w:rPr>
        <w:t xml:space="preserve">Deze registratie verplicht de vergunde zorgaanbieder niet tot het effectief bieden van ondersteuning aan een geïnterneerde. Met het eerder vernoemde formulier kan de zorgaanbieder op ieder ogenblik aanvragen om zijn registratie te wijzigen. Het kan bijvoorbeeld gaan om het aanpassen van ondersteuningsmodules of vestigingsplaatsen. </w:t>
      </w:r>
    </w:p>
    <w:p w:rsidR="00C539CA" w:rsidRPr="00C91754" w:rsidRDefault="00C539CA" w:rsidP="00C539CA">
      <w:pPr>
        <w:spacing w:after="120" w:line="240" w:lineRule="auto"/>
        <w:ind w:right="690"/>
        <w:rPr>
          <w:rFonts w:eastAsia="Times New Roman"/>
          <w:lang w:eastAsia="nl-BE"/>
        </w:rPr>
      </w:pPr>
      <w:r w:rsidRPr="00C91754">
        <w:rPr>
          <w:rFonts w:eastAsia="Times New Roman"/>
          <w:color w:val="000000"/>
          <w:lang w:eastAsia="nl-BE"/>
        </w:rPr>
        <w:t>Indien een vergunde zorgaanbieder een persoon via direct gefinancierde ondersteuning voor geïnterneerden wenst te ondersteunen, dient de vergunde zorgaanbieder echter wel over een goedkeuring van het VAPH te beschikken voor de desbetreffende module alvorens hiervoor een individuele dienstverleningsovereenkomst kan afgesloten worden.</w:t>
      </w:r>
    </w:p>
    <w:p w:rsidR="00C539CA" w:rsidRPr="00C91754" w:rsidRDefault="00C539CA" w:rsidP="00C539CA">
      <w:pPr>
        <w:spacing w:after="0" w:line="240" w:lineRule="auto"/>
        <w:rPr>
          <w:rFonts w:eastAsia="Times New Roman"/>
          <w:lang w:eastAsia="nl-BE"/>
        </w:rPr>
      </w:pPr>
    </w:p>
    <w:p w:rsidR="00772CBE" w:rsidRPr="00C91754" w:rsidRDefault="00772CBE" w:rsidP="00C539CA">
      <w:pPr>
        <w:spacing w:after="0" w:line="240" w:lineRule="auto"/>
        <w:rPr>
          <w:rFonts w:eastAsia="Times New Roman"/>
          <w:lang w:eastAsia="nl-BE"/>
        </w:rPr>
      </w:pPr>
    </w:p>
    <w:p w:rsidR="00C539CA" w:rsidRPr="00C91754" w:rsidRDefault="00C539CA" w:rsidP="00C91754">
      <w:pPr>
        <w:pStyle w:val="Kop1"/>
        <w:rPr>
          <w:rFonts w:eastAsia="Times New Roman"/>
          <w:lang w:eastAsia="nl-BE"/>
        </w:rPr>
      </w:pPr>
      <w:r w:rsidRPr="00C91754">
        <w:rPr>
          <w:rFonts w:eastAsia="Times New Roman"/>
          <w:lang w:eastAsia="nl-BE"/>
        </w:rPr>
        <w:lastRenderedPageBreak/>
        <w:t>Wijze van subsidiëring</w:t>
      </w:r>
    </w:p>
    <w:p w:rsidR="00C539CA" w:rsidRPr="00C91754" w:rsidRDefault="00C539CA" w:rsidP="00C539CA">
      <w:pPr>
        <w:spacing w:after="160" w:line="240" w:lineRule="auto"/>
        <w:ind w:right="690"/>
        <w:rPr>
          <w:rFonts w:eastAsia="Times New Roman"/>
          <w:lang w:eastAsia="nl-BE"/>
        </w:rPr>
      </w:pPr>
      <w:r w:rsidRPr="00C91754">
        <w:rPr>
          <w:rFonts w:eastAsia="Times New Roman"/>
          <w:color w:val="000000"/>
          <w:lang w:eastAsia="nl-BE"/>
        </w:rPr>
        <w:t>Het VAPH voorziet in een subsidie per (ondersteunings-)module, uitgedrukt in personeelspunten en werkingsmiddelen.</w:t>
      </w:r>
    </w:p>
    <w:p w:rsidR="008C65A8" w:rsidRPr="00C91754" w:rsidRDefault="008C65A8" w:rsidP="00C539CA">
      <w:pPr>
        <w:spacing w:after="160" w:line="240" w:lineRule="auto"/>
        <w:ind w:right="690"/>
        <w:rPr>
          <w:rFonts w:eastAsia="Times New Roman"/>
          <w:color w:val="000000"/>
          <w:lang w:eastAsia="nl-BE"/>
        </w:rPr>
      </w:pPr>
    </w:p>
    <w:p w:rsidR="00C539CA" w:rsidRDefault="00C539CA" w:rsidP="00C539CA">
      <w:pPr>
        <w:spacing w:after="160" w:line="240" w:lineRule="auto"/>
        <w:ind w:right="690"/>
        <w:rPr>
          <w:rFonts w:eastAsia="Times New Roman"/>
          <w:color w:val="000000"/>
          <w:lang w:eastAsia="nl-BE"/>
        </w:rPr>
      </w:pPr>
      <w:r w:rsidRPr="00C91754">
        <w:rPr>
          <w:rFonts w:eastAsia="Times New Roman"/>
          <w:color w:val="000000"/>
          <w:lang w:eastAsia="nl-BE"/>
        </w:rPr>
        <w:t>De subsidiëring per ondersteuningsmodule bedraagt op jaarbasis:</w:t>
      </w:r>
    </w:p>
    <w:p w:rsidR="00EB7198" w:rsidRDefault="00EB7198" w:rsidP="00C539CA">
      <w:pPr>
        <w:spacing w:after="160" w:line="240" w:lineRule="auto"/>
        <w:ind w:right="690"/>
        <w:rPr>
          <w:rFonts w:eastAsia="Times New Roman"/>
          <w:color w:val="000000"/>
          <w:lang w:eastAsia="nl-BE"/>
        </w:rPr>
      </w:pPr>
    </w:p>
    <w:tbl>
      <w:tblPr>
        <w:tblW w:w="0" w:type="auto"/>
        <w:tblCellMar>
          <w:top w:w="15" w:type="dxa"/>
          <w:left w:w="15" w:type="dxa"/>
          <w:bottom w:w="15" w:type="dxa"/>
          <w:right w:w="15" w:type="dxa"/>
        </w:tblCellMar>
        <w:tblLook w:val="04A0" w:firstRow="1" w:lastRow="0" w:firstColumn="1" w:lastColumn="0" w:noHBand="0" w:noVBand="1"/>
      </w:tblPr>
      <w:tblGrid>
        <w:gridCol w:w="3564"/>
        <w:gridCol w:w="2450"/>
        <w:gridCol w:w="2471"/>
      </w:tblGrid>
      <w:tr w:rsidR="00EB7198" w:rsidRPr="00C91754" w:rsidTr="00792517">
        <w:trPr>
          <w:trHeight w:val="500"/>
        </w:trPr>
        <w:tc>
          <w:tcPr>
            <w:tcW w:w="0" w:type="auto"/>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p>
        </w:tc>
        <w:tc>
          <w:tcPr>
            <w:tcW w:w="0" w:type="auto"/>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Pr>
                <w:rFonts w:eastAsia="Times New Roman"/>
                <w:color w:val="000000"/>
                <w:lang w:eastAsia="nl-BE"/>
              </w:rPr>
              <w:t xml:space="preserve">  </w:t>
            </w:r>
            <w:r w:rsidRPr="00C91754">
              <w:rPr>
                <w:rFonts w:eastAsia="Times New Roman"/>
                <w:color w:val="000000"/>
                <w:lang w:eastAsia="nl-BE"/>
              </w:rPr>
              <w:t>personeelspunten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Pr>
                <w:rFonts w:eastAsia="Times New Roman"/>
                <w:color w:val="000000"/>
                <w:lang w:eastAsia="nl-BE"/>
              </w:rPr>
              <w:t xml:space="preserve">  </w:t>
            </w:r>
            <w:r w:rsidRPr="00C91754">
              <w:rPr>
                <w:rFonts w:eastAsia="Times New Roman"/>
                <w:color w:val="000000"/>
                <w:lang w:eastAsia="nl-BE"/>
              </w:rPr>
              <w:t>werkingsmiddelen</w:t>
            </w:r>
          </w:p>
        </w:tc>
      </w:tr>
      <w:tr w:rsidR="00EB7198" w:rsidRPr="00C91754" w:rsidTr="00EB7198">
        <w:trPr>
          <w:trHeight w:val="540"/>
        </w:trPr>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individuele ondersteuning</w:t>
            </w:r>
          </w:p>
        </w:tc>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19,2504</w:t>
            </w:r>
          </w:p>
        </w:tc>
        <w:tc>
          <w:tcPr>
            <w:tcW w:w="0" w:type="auto"/>
            <w:tcBorders>
              <w:top w:val="single" w:sz="8" w:space="0" w:color="000000"/>
              <w:left w:val="single" w:sz="4" w:space="0" w:color="000000"/>
              <w:bottom w:val="single" w:sz="8" w:space="0" w:color="000000"/>
              <w:right w:val="single" w:sz="8" w:space="0" w:color="000000"/>
            </w:tcBorders>
            <w:tcMar>
              <w:top w:w="100" w:type="dxa"/>
              <w:left w:w="80" w:type="dxa"/>
              <w:bottom w:w="100" w:type="dxa"/>
              <w:right w:w="80" w:type="dxa"/>
            </w:tcMar>
            <w:vAlign w:val="bottom"/>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€ 1.434,04</w:t>
            </w:r>
          </w:p>
        </w:tc>
      </w:tr>
      <w:tr w:rsidR="00EB7198" w:rsidRPr="00C91754" w:rsidTr="00792517">
        <w:trPr>
          <w:trHeight w:val="500"/>
        </w:trPr>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hideMark/>
          </w:tcPr>
          <w:p w:rsidR="00EB7198" w:rsidRPr="00C91754" w:rsidRDefault="00EB7198" w:rsidP="00EB7198">
            <w:pPr>
              <w:spacing w:after="0" w:line="240" w:lineRule="auto"/>
              <w:ind w:left="-60" w:right="690" w:hanging="60"/>
              <w:jc w:val="center"/>
              <w:rPr>
                <w:rFonts w:eastAsia="Times New Roman"/>
                <w:lang w:eastAsia="nl-BE"/>
              </w:rPr>
            </w:pPr>
            <w:r w:rsidRPr="00C91754">
              <w:rPr>
                <w:rFonts w:eastAsia="Times New Roman"/>
                <w:color w:val="000000"/>
                <w:lang w:eastAsia="nl-BE"/>
              </w:rPr>
              <w:t xml:space="preserve">  </w:t>
            </w:r>
            <w:proofErr w:type="spellStart"/>
            <w:r w:rsidRPr="00C91754">
              <w:rPr>
                <w:rFonts w:eastAsia="Times New Roman"/>
                <w:color w:val="000000"/>
                <w:lang w:eastAsia="nl-BE"/>
              </w:rPr>
              <w:t>dagondersteuning</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37,8132</w:t>
            </w:r>
          </w:p>
        </w:tc>
        <w:tc>
          <w:tcPr>
            <w:tcW w:w="0" w:type="auto"/>
            <w:tcBorders>
              <w:top w:val="single" w:sz="8" w:space="0" w:color="000000"/>
              <w:left w:val="single" w:sz="4" w:space="0" w:color="000000"/>
              <w:bottom w:val="single" w:sz="8"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€ 2.816,87</w:t>
            </w:r>
          </w:p>
        </w:tc>
      </w:tr>
      <w:tr w:rsidR="00EB7198" w:rsidRPr="00C91754" w:rsidTr="00792517">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woonondersteuning</w:t>
            </w:r>
          </w:p>
        </w:tc>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right="690"/>
              <w:jc w:val="center"/>
              <w:rPr>
                <w:rFonts w:eastAsia="Times New Roman"/>
                <w:lang w:eastAsia="nl-BE"/>
              </w:rPr>
            </w:pPr>
            <w:r w:rsidRPr="00C91754">
              <w:rPr>
                <w:rFonts w:eastAsia="Times New Roman"/>
                <w:color w:val="000000"/>
                <w:lang w:eastAsia="nl-BE"/>
              </w:rPr>
              <w:t>48,1260</w:t>
            </w:r>
          </w:p>
        </w:tc>
        <w:tc>
          <w:tcPr>
            <w:tcW w:w="0" w:type="auto"/>
            <w:tcBorders>
              <w:top w:val="single" w:sz="8" w:space="0" w:color="000000"/>
              <w:left w:val="single" w:sz="4" w:space="0" w:color="000000"/>
              <w:bottom w:val="single" w:sz="8"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right="690"/>
              <w:jc w:val="center"/>
              <w:rPr>
                <w:rFonts w:eastAsia="Times New Roman"/>
                <w:lang w:eastAsia="nl-BE"/>
              </w:rPr>
            </w:pPr>
            <w:r w:rsidRPr="00C91754">
              <w:rPr>
                <w:rFonts w:eastAsia="Times New Roman"/>
                <w:color w:val="000000"/>
                <w:lang w:eastAsia="nl-BE"/>
              </w:rPr>
              <w:t>€ 3.585,11</w:t>
            </w:r>
          </w:p>
        </w:tc>
      </w:tr>
      <w:tr w:rsidR="00EB7198" w:rsidRPr="00C91754" w:rsidTr="00792517">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EB7198" w:rsidRPr="00C91754" w:rsidRDefault="00EB7198" w:rsidP="00792517">
            <w:pPr>
              <w:spacing w:after="0" w:line="240" w:lineRule="auto"/>
              <w:ind w:left="-60" w:right="690" w:hanging="60"/>
              <w:jc w:val="center"/>
              <w:rPr>
                <w:rFonts w:eastAsia="Times New Roman"/>
                <w:lang w:eastAsia="nl-BE"/>
              </w:rPr>
            </w:pPr>
            <w:r>
              <w:rPr>
                <w:rFonts w:eastAsia="Times New Roman"/>
                <w:lang w:eastAsia="nl-BE"/>
              </w:rPr>
              <w:t>dag- en woonondersteuning</w:t>
            </w:r>
          </w:p>
        </w:tc>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61,8762</w:t>
            </w:r>
          </w:p>
        </w:tc>
        <w:tc>
          <w:tcPr>
            <w:tcW w:w="0" w:type="auto"/>
            <w:tcBorders>
              <w:top w:val="single" w:sz="8" w:space="0" w:color="000000"/>
              <w:left w:val="single" w:sz="4" w:space="0" w:color="000000"/>
              <w:bottom w:val="single" w:sz="8"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€ 4.609,42</w:t>
            </w:r>
          </w:p>
        </w:tc>
      </w:tr>
      <w:tr w:rsidR="00EB7198" w:rsidRPr="00C91754" w:rsidTr="00792517">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EB7198" w:rsidRPr="00C91754" w:rsidRDefault="00EB7198" w:rsidP="00792517">
            <w:pPr>
              <w:spacing w:after="0" w:line="240" w:lineRule="auto"/>
              <w:ind w:left="-60" w:right="690" w:hanging="60"/>
              <w:jc w:val="center"/>
              <w:rPr>
                <w:rFonts w:eastAsia="Times New Roman"/>
                <w:lang w:eastAsia="nl-BE"/>
              </w:rPr>
            </w:pPr>
            <w:r>
              <w:rPr>
                <w:rFonts w:eastAsia="Times New Roman"/>
                <w:color w:val="000000"/>
                <w:lang w:eastAsia="nl-BE"/>
              </w:rPr>
              <w:t xml:space="preserve">   </w:t>
            </w:r>
            <w:r w:rsidRPr="00C91754">
              <w:rPr>
                <w:rFonts w:eastAsia="Times New Roman"/>
                <w:color w:val="000000"/>
                <w:lang w:eastAsia="nl-BE"/>
              </w:rPr>
              <w:t>dag- en woonondersteuning +</w:t>
            </w:r>
          </w:p>
        </w:tc>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79,7516</w:t>
            </w:r>
          </w:p>
        </w:tc>
        <w:tc>
          <w:tcPr>
            <w:tcW w:w="0" w:type="auto"/>
            <w:tcBorders>
              <w:top w:val="single" w:sz="8" w:space="0" w:color="000000"/>
              <w:left w:val="single" w:sz="4" w:space="0" w:color="000000"/>
              <w:bottom w:val="single" w:sz="8" w:space="0" w:color="000000"/>
              <w:right w:val="single" w:sz="8" w:space="0" w:color="000000"/>
            </w:tcBorders>
            <w:tcMar>
              <w:top w:w="100" w:type="dxa"/>
              <w:left w:w="80" w:type="dxa"/>
              <w:bottom w:w="100" w:type="dxa"/>
              <w:right w:w="80" w:type="dxa"/>
            </w:tcMar>
            <w:vAlign w:val="bottom"/>
            <w:hideMark/>
          </w:tcPr>
          <w:p w:rsidR="00EB7198" w:rsidRPr="00C91754" w:rsidRDefault="00EB7198" w:rsidP="00792517">
            <w:pPr>
              <w:spacing w:after="0" w:line="240" w:lineRule="auto"/>
              <w:ind w:left="-60" w:right="690" w:hanging="60"/>
              <w:jc w:val="center"/>
              <w:rPr>
                <w:rFonts w:eastAsia="Times New Roman"/>
                <w:lang w:eastAsia="nl-BE"/>
              </w:rPr>
            </w:pPr>
            <w:r w:rsidRPr="00C91754">
              <w:rPr>
                <w:rFonts w:eastAsia="Times New Roman"/>
                <w:color w:val="000000"/>
                <w:lang w:eastAsia="nl-BE"/>
              </w:rPr>
              <w:t>€ 5.941,04</w:t>
            </w:r>
          </w:p>
        </w:tc>
      </w:tr>
    </w:tbl>
    <w:p w:rsidR="00EB7198" w:rsidRDefault="00EB7198" w:rsidP="00C539CA">
      <w:pPr>
        <w:spacing w:after="160" w:line="240" w:lineRule="auto"/>
        <w:ind w:right="690"/>
        <w:rPr>
          <w:rFonts w:eastAsia="Times New Roman"/>
          <w:color w:val="000000"/>
          <w:lang w:eastAsia="nl-BE"/>
        </w:rPr>
      </w:pPr>
    </w:p>
    <w:p w:rsidR="00C539CA" w:rsidRPr="00C91754" w:rsidRDefault="00C539CA" w:rsidP="00C539CA">
      <w:pPr>
        <w:spacing w:after="160" w:line="240" w:lineRule="auto"/>
        <w:ind w:right="690"/>
        <w:rPr>
          <w:rFonts w:eastAsia="Times New Roman"/>
          <w:lang w:eastAsia="nl-BE"/>
        </w:rPr>
      </w:pPr>
      <w:r w:rsidRPr="00C91754">
        <w:rPr>
          <w:rFonts w:eastAsia="Times New Roman"/>
          <w:color w:val="000000"/>
          <w:lang w:eastAsia="nl-BE"/>
        </w:rPr>
        <w:t>De modules kunnen niet met elkaar worden gecombineerd  en de subsidie wordt pro rata aangepast aan de duur van de begeleidingsovereenkomst.</w:t>
      </w:r>
    </w:p>
    <w:p w:rsidR="00C539CA" w:rsidRDefault="00C539CA" w:rsidP="00C539CA">
      <w:pPr>
        <w:spacing w:after="160" w:line="240" w:lineRule="auto"/>
        <w:ind w:right="690"/>
        <w:rPr>
          <w:rFonts w:eastAsia="Times New Roman"/>
          <w:color w:val="000000"/>
          <w:lang w:eastAsia="nl-BE"/>
        </w:rPr>
      </w:pPr>
      <w:r w:rsidRPr="00C91754">
        <w:rPr>
          <w:rFonts w:eastAsia="Times New Roman"/>
          <w:color w:val="000000"/>
          <w:lang w:eastAsia="nl-BE"/>
        </w:rPr>
        <w:t>De subsidiëring verloopt op dezelfde wijze als de subsidiëring van andere diensten die werken met personeelspunten en werkingsmiddelen.</w:t>
      </w:r>
    </w:p>
    <w:p w:rsidR="00EB7198" w:rsidRPr="00C91754" w:rsidRDefault="00EB7198" w:rsidP="00C539CA">
      <w:pPr>
        <w:spacing w:after="160" w:line="240" w:lineRule="auto"/>
        <w:ind w:right="690"/>
        <w:rPr>
          <w:rFonts w:eastAsia="Times New Roman"/>
          <w:lang w:eastAsia="nl-BE"/>
        </w:rPr>
      </w:pPr>
    </w:p>
    <w:p w:rsidR="00C539CA" w:rsidRPr="00C91754" w:rsidRDefault="00C539CA" w:rsidP="00C91754">
      <w:pPr>
        <w:pStyle w:val="Kop1"/>
        <w:rPr>
          <w:rFonts w:eastAsia="Times New Roman"/>
          <w:lang w:eastAsia="nl-BE"/>
        </w:rPr>
      </w:pPr>
      <w:r w:rsidRPr="00C91754">
        <w:rPr>
          <w:rFonts w:eastAsia="Times New Roman"/>
          <w:lang w:eastAsia="nl-BE"/>
        </w:rPr>
        <w:t xml:space="preserve">Aanvraagprocedure voor de persoon met een handicap </w:t>
      </w:r>
    </w:p>
    <w:p w:rsidR="00C539CA" w:rsidRPr="00C91754" w:rsidRDefault="00C539CA" w:rsidP="00C539CA">
      <w:pPr>
        <w:spacing w:after="0" w:line="240" w:lineRule="auto"/>
        <w:ind w:right="690"/>
        <w:rPr>
          <w:rFonts w:eastAsia="Times New Roman"/>
          <w:lang w:eastAsia="nl-BE"/>
        </w:rPr>
      </w:pPr>
      <w:r w:rsidRPr="00C91754">
        <w:rPr>
          <w:rFonts w:eastAsia="Times New Roman"/>
          <w:color w:val="000000"/>
          <w:lang w:eastAsia="nl-BE"/>
        </w:rPr>
        <w:t>Een persoon met een handicap dient een goedkeuring te hebben van het VAPH om gebruik te maken van een bepaalde module van ondersteuning voor geïnterneerde personen met een handicap. Hiervoor zal op 15 januari 2019 een aanvraagformulier ter beschikking worden gesteld. Dit formulier zal vanaf 15 januari 2019 eveneens gebruikt worden voor de aanvraag van ondersteuning door een forensische VAPH-unit.</w:t>
      </w:r>
    </w:p>
    <w:p w:rsidR="000338B1" w:rsidRDefault="000338B1" w:rsidP="00C539CA">
      <w:pPr>
        <w:spacing w:after="160" w:line="240" w:lineRule="auto"/>
        <w:ind w:right="690"/>
        <w:rPr>
          <w:rFonts w:eastAsia="Times New Roman"/>
          <w:color w:val="000000"/>
          <w:lang w:eastAsia="nl-BE"/>
        </w:rPr>
      </w:pPr>
    </w:p>
    <w:p w:rsidR="00C539CA" w:rsidRPr="00C91754" w:rsidRDefault="00C539CA" w:rsidP="00C539CA">
      <w:pPr>
        <w:spacing w:after="160" w:line="240" w:lineRule="auto"/>
        <w:ind w:right="690"/>
        <w:rPr>
          <w:rFonts w:eastAsia="Times New Roman"/>
          <w:lang w:eastAsia="nl-BE"/>
        </w:rPr>
      </w:pPr>
      <w:r w:rsidRPr="00C91754">
        <w:rPr>
          <w:rFonts w:eastAsia="Times New Roman"/>
          <w:color w:val="000000"/>
          <w:lang w:eastAsia="nl-BE"/>
        </w:rPr>
        <w:t>Het budget dat beschikbaar is voor directe financiering van geïnterneerde personen met een handicap is gelimiteerd. Bij het bepalen wie eerst in aanmerking komt, houdt het VAPH rekening met de datum en het uur van ontvangst van het aanvraagformulier directe financiering geïnterneerden bij het VAPH.</w:t>
      </w:r>
    </w:p>
    <w:p w:rsidR="00C539CA" w:rsidRPr="00C91754" w:rsidRDefault="00C539CA" w:rsidP="00C91754">
      <w:pPr>
        <w:pStyle w:val="Kop1"/>
        <w:rPr>
          <w:rFonts w:eastAsia="Times New Roman"/>
          <w:lang w:eastAsia="nl-BE"/>
        </w:rPr>
      </w:pPr>
      <w:r w:rsidRPr="00C91754">
        <w:rPr>
          <w:rFonts w:eastAsia="Times New Roman"/>
          <w:lang w:eastAsia="nl-BE"/>
        </w:rPr>
        <w:lastRenderedPageBreak/>
        <w:t>Bemiddeling</w:t>
      </w:r>
    </w:p>
    <w:p w:rsidR="000338B1" w:rsidRDefault="00C539CA" w:rsidP="00C539CA">
      <w:pPr>
        <w:rPr>
          <w:rFonts w:eastAsia="Times New Roman"/>
          <w:color w:val="000000"/>
          <w:lang w:eastAsia="nl-BE"/>
        </w:rPr>
      </w:pPr>
      <w:r w:rsidRPr="00C91754">
        <w:rPr>
          <w:rFonts w:eastAsia="Times New Roman"/>
          <w:color w:val="000000"/>
          <w:lang w:eastAsia="nl-BE"/>
        </w:rPr>
        <w:t>Als de persoon met een handicap moeilijkheden ervaart bij het vinden van een vergunde zorgaanbieder kan hij aan het VAPH casemanagement of collectieve bemiddeling</w:t>
      </w:r>
      <w:r w:rsidR="00187BB2" w:rsidRPr="00C91754">
        <w:rPr>
          <w:rStyle w:val="Voetnootmarkering"/>
          <w:rFonts w:eastAsia="Times New Roman"/>
          <w:color w:val="000000"/>
          <w:lang w:eastAsia="nl-BE"/>
        </w:rPr>
        <w:footnoteReference w:id="2"/>
      </w:r>
      <w:r w:rsidRPr="00C91754">
        <w:rPr>
          <w:rFonts w:eastAsia="Times New Roman"/>
          <w:color w:val="000000"/>
          <w:lang w:eastAsia="nl-BE"/>
        </w:rPr>
        <w:t xml:space="preserve"> vragen. </w:t>
      </w:r>
    </w:p>
    <w:p w:rsidR="004C315B" w:rsidRPr="00C91754" w:rsidRDefault="00C539CA" w:rsidP="00C539CA">
      <w:r w:rsidRPr="00C91754">
        <w:rPr>
          <w:rFonts w:eastAsia="Times New Roman"/>
          <w:color w:val="000000"/>
          <w:lang w:eastAsia="nl-BE"/>
        </w:rPr>
        <w:t>In het kader van de regelgeving voor geïnterneerden dient men echter niet te voldoen aan de voorwaarde ‘ intensieve bijstand van een bijstandsorganisatie’ en dient men de bijstandsorganisatie niet uit te nodigen voor de collectieve bemiddeling.</w:t>
      </w:r>
    </w:p>
    <w:p w:rsidR="004C315B" w:rsidRDefault="004C315B" w:rsidP="006506BC"/>
    <w:p w:rsidR="000338B1" w:rsidRDefault="000338B1" w:rsidP="000338B1">
      <w:pPr>
        <w:pStyle w:val="Kop1"/>
      </w:pPr>
      <w:r>
        <w:t xml:space="preserve">Vragen in verband met </w:t>
      </w:r>
      <w:r w:rsidR="005511C0">
        <w:t>e</w:t>
      </w:r>
      <w:r>
        <w:t>e</w:t>
      </w:r>
      <w:r w:rsidR="005511C0">
        <w:t>n</w:t>
      </w:r>
      <w:r>
        <w:t xml:space="preserve"> aanvraag tot registratie</w:t>
      </w:r>
    </w:p>
    <w:p w:rsidR="00C91754" w:rsidRDefault="000338B1" w:rsidP="006506BC">
      <w:r>
        <w:t xml:space="preserve">Indien u vragen heeft bij uw aanvraag tot registratie, dan kunt u mailen naar </w:t>
      </w:r>
      <w:hyperlink r:id="rId10" w:history="1">
        <w:r w:rsidRPr="004D20D6">
          <w:rPr>
            <w:rStyle w:val="Hyperlink"/>
          </w:rPr>
          <w:t>erkenningen@vaph.be</w:t>
        </w:r>
      </w:hyperlink>
      <w:r>
        <w:t xml:space="preserve"> of bellen naar het nummer 02/225.84.02.</w:t>
      </w:r>
    </w:p>
    <w:p w:rsidR="000338B1" w:rsidRDefault="000338B1" w:rsidP="006506BC"/>
    <w:p w:rsidR="000338B1" w:rsidRDefault="000338B1" w:rsidP="006506BC"/>
    <w:p w:rsidR="000338B1" w:rsidRPr="00C91754" w:rsidRDefault="000338B1" w:rsidP="006506BC"/>
    <w:p w:rsidR="008C65A8" w:rsidRPr="00C91754" w:rsidRDefault="008C65A8" w:rsidP="006506BC">
      <w:r w:rsidRPr="00C91754">
        <w:t>Met vriendelijke groeten,</w:t>
      </w:r>
    </w:p>
    <w:p w:rsidR="008C65A8" w:rsidRPr="00C91754" w:rsidRDefault="008C65A8" w:rsidP="006506BC"/>
    <w:p w:rsidR="008C65A8" w:rsidRPr="00C91754" w:rsidRDefault="008C65A8" w:rsidP="006506BC"/>
    <w:p w:rsidR="008C65A8" w:rsidRPr="00C91754" w:rsidRDefault="008C65A8" w:rsidP="006506BC"/>
    <w:p w:rsidR="008C65A8" w:rsidRPr="00C91754" w:rsidRDefault="008C65A8" w:rsidP="006506BC">
      <w:r w:rsidRPr="00C91754">
        <w:t>James Van Casteren,</w:t>
      </w:r>
    </w:p>
    <w:p w:rsidR="008C65A8" w:rsidRPr="00C91754" w:rsidRDefault="008C65A8" w:rsidP="006506BC">
      <w:r w:rsidRPr="00C91754">
        <w:t>Administrateur – generaal VAPH</w:t>
      </w:r>
    </w:p>
    <w:p w:rsidR="004C315B" w:rsidRPr="00C91754" w:rsidRDefault="004C315B" w:rsidP="006506BC"/>
    <w:p w:rsidR="004C315B" w:rsidRPr="00C91754" w:rsidRDefault="004C315B" w:rsidP="006506BC"/>
    <w:p w:rsidR="004C315B" w:rsidRPr="00C91754" w:rsidRDefault="004C315B" w:rsidP="006506BC"/>
    <w:sectPr w:rsidR="004C315B" w:rsidRPr="00C91754" w:rsidSect="0085716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98" w:rsidRDefault="00FF5698" w:rsidP="00A13B42">
      <w:r>
        <w:separator/>
      </w:r>
    </w:p>
    <w:p w:rsidR="00FF5698" w:rsidRDefault="00FF5698"/>
  </w:endnote>
  <w:endnote w:type="continuationSeparator" w:id="0">
    <w:p w:rsidR="00FF5698" w:rsidRDefault="00FF5698" w:rsidP="00A13B42">
      <w:r>
        <w:continuationSeparator/>
      </w:r>
    </w:p>
    <w:p w:rsidR="00FF5698" w:rsidRDefault="00FF5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BE" w:rsidRDefault="00772C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90AC7">
      <w:rPr>
        <w:noProof/>
      </w:rPr>
      <w:t>2</w:t>
    </w:r>
    <w:r w:rsidRPr="00516E9E">
      <w:fldChar w:fldCharType="end"/>
    </w:r>
    <w:r w:rsidRPr="00516E9E">
      <w:t xml:space="preserve"> van </w:t>
    </w:r>
    <w:r w:rsidR="00FF5698">
      <w:fldChar w:fldCharType="begin"/>
    </w:r>
    <w:r w:rsidR="00FF5698">
      <w:instrText xml:space="preserve"> NUMPAGES   \* MERGEFORMAT </w:instrText>
    </w:r>
    <w:r w:rsidR="00FF5698">
      <w:fldChar w:fldCharType="separate"/>
    </w:r>
    <w:r w:rsidR="00990AC7">
      <w:rPr>
        <w:noProof/>
      </w:rPr>
      <w:t>5</w:t>
    </w:r>
    <w:r w:rsidR="00FF569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90AC7">
      <w:rPr>
        <w:noProof/>
      </w:rPr>
      <w:t>1</w:t>
    </w:r>
    <w:r w:rsidRPr="00516E9E">
      <w:fldChar w:fldCharType="end"/>
    </w:r>
    <w:r w:rsidRPr="00516E9E">
      <w:t xml:space="preserve"> van </w:t>
    </w:r>
    <w:r w:rsidR="00FF5698">
      <w:fldChar w:fldCharType="begin"/>
    </w:r>
    <w:r w:rsidR="00FF5698">
      <w:instrText xml:space="preserve"> NUMPAGES   \* MERGEFORMAT </w:instrText>
    </w:r>
    <w:r w:rsidR="00FF5698">
      <w:fldChar w:fldCharType="separate"/>
    </w:r>
    <w:r w:rsidR="00990AC7">
      <w:rPr>
        <w:noProof/>
      </w:rPr>
      <w:t>5</w:t>
    </w:r>
    <w:r w:rsidR="00FF5698">
      <w:rPr>
        <w:noProof/>
      </w:rPr>
      <w:fldChar w:fldCharType="end"/>
    </w:r>
    <w:r w:rsidRPr="00516E9E">
      <w:rPr>
        <w:noProof/>
        <w:lang w:eastAsia="nl-BE"/>
      </w:rPr>
      <w:drawing>
        <wp:anchor distT="0" distB="0" distL="114300" distR="114300" simplePos="0" relativeHeight="251679744" behindDoc="0" locked="0" layoutInCell="1" allowOverlap="1" wp14:anchorId="0B464FAD" wp14:editId="236B5DF7">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98" w:rsidRDefault="00FF5698" w:rsidP="00692334">
      <w:pPr>
        <w:spacing w:after="0"/>
      </w:pPr>
      <w:r>
        <w:separator/>
      </w:r>
    </w:p>
  </w:footnote>
  <w:footnote w:type="continuationSeparator" w:id="0">
    <w:p w:rsidR="00FF5698" w:rsidRDefault="00FF5698" w:rsidP="00A13B42">
      <w:r>
        <w:continuationSeparator/>
      </w:r>
    </w:p>
    <w:p w:rsidR="00FF5698" w:rsidRDefault="00FF5698"/>
  </w:footnote>
  <w:footnote w:id="1">
    <w:p w:rsidR="00772CBE" w:rsidRDefault="00772CBE" w:rsidP="00772CBE">
      <w:pPr>
        <w:pStyle w:val="Normaalweb"/>
        <w:spacing w:before="0" w:beforeAutospacing="0" w:after="0" w:afterAutospacing="0"/>
      </w:pPr>
      <w:r>
        <w:rPr>
          <w:rStyle w:val="Voetnootmarkering"/>
        </w:rPr>
        <w:footnoteRef/>
      </w:r>
      <w:r>
        <w:t xml:space="preserve"> </w:t>
      </w:r>
      <w:r>
        <w:rPr>
          <w:rFonts w:ascii="Calibri" w:hAnsi="Calibri"/>
          <w:color w:val="000000"/>
          <w:sz w:val="20"/>
          <w:szCs w:val="20"/>
        </w:rPr>
        <w:t xml:space="preserve"> Besluit van de Vlaamse Regering van 24 november 2017 over de erkenning en subsidiëring van voorzieningen die ondersteuning bieden aan personen met een handicap in de gevangenis, en van units voor geïnterneerden</w:t>
      </w:r>
    </w:p>
    <w:p w:rsidR="00772CBE" w:rsidRDefault="00772CBE">
      <w:pPr>
        <w:pStyle w:val="Voetnoottekst"/>
      </w:pPr>
    </w:p>
  </w:footnote>
  <w:footnote w:id="2">
    <w:p w:rsidR="00187BB2" w:rsidRDefault="00187BB2" w:rsidP="00187BB2">
      <w:pPr>
        <w:pStyle w:val="Normaalweb"/>
        <w:spacing w:before="0" w:beforeAutospacing="0" w:after="0" w:afterAutospacing="0"/>
      </w:pPr>
      <w:r>
        <w:rPr>
          <w:rStyle w:val="Voetnootmarkering"/>
        </w:rPr>
        <w:footnoteRef/>
      </w:r>
      <w:r>
        <w:t xml:space="preserve"> </w:t>
      </w:r>
      <w:r>
        <w:rPr>
          <w:rFonts w:ascii="Calibri" w:hAnsi="Calibri"/>
          <w:color w:val="000000"/>
          <w:sz w:val="20"/>
          <w:szCs w:val="20"/>
        </w:rPr>
        <w:t xml:space="preserve"> Besluit van de Vlaamse Regering van 20 juli 2018 over de bemiddeling, de afstemming en de planning in het kader van persoonsvolgende financiering voor meerderjarige personen met een handicap</w:t>
      </w:r>
    </w:p>
    <w:p w:rsidR="00187BB2" w:rsidRDefault="00187BB2">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BE" w:rsidRDefault="00772C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BE" w:rsidRDefault="00772CB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47A14010" wp14:editId="102379F6">
          <wp:extent cx="1382034" cy="9000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34E7E96"/>
    <w:multiLevelType w:val="multilevel"/>
    <w:tmpl w:val="07F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27D71"/>
    <w:multiLevelType w:val="multilevel"/>
    <w:tmpl w:val="727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B0F71AB"/>
    <w:multiLevelType w:val="multilevel"/>
    <w:tmpl w:val="EEE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91F1B"/>
    <w:multiLevelType w:val="multilevel"/>
    <w:tmpl w:val="20E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B5231FF"/>
    <w:multiLevelType w:val="multilevel"/>
    <w:tmpl w:val="7AD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FBA0222"/>
    <w:multiLevelType w:val="multilevel"/>
    <w:tmpl w:val="F3C6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561DF"/>
    <w:multiLevelType w:val="multilevel"/>
    <w:tmpl w:val="F73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A0485B"/>
    <w:multiLevelType w:val="multilevel"/>
    <w:tmpl w:val="FBD0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8BD2CCB"/>
    <w:multiLevelType w:val="multilevel"/>
    <w:tmpl w:val="2D1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15"/>
  </w:num>
  <w:num w:numId="26">
    <w:abstractNumId w:val="10"/>
  </w:num>
  <w:num w:numId="27">
    <w:abstractNumId w:val="20"/>
  </w:num>
  <w:num w:numId="28">
    <w:abstractNumId w:val="21"/>
  </w:num>
  <w:num w:numId="29">
    <w:abstractNumId w:val="24"/>
  </w:num>
  <w:num w:numId="30">
    <w:abstractNumId w:val="18"/>
  </w:num>
  <w:num w:numId="31">
    <w:abstractNumId w:val="22"/>
  </w:num>
  <w:num w:numId="3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13"/>
    <w:rsid w:val="00001D1B"/>
    <w:rsid w:val="00011108"/>
    <w:rsid w:val="00011992"/>
    <w:rsid w:val="000128DC"/>
    <w:rsid w:val="00023FE3"/>
    <w:rsid w:val="000317EF"/>
    <w:rsid w:val="0003380D"/>
    <w:rsid w:val="000338B1"/>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BB2"/>
    <w:rsid w:val="00187D99"/>
    <w:rsid w:val="001953CB"/>
    <w:rsid w:val="001A62BE"/>
    <w:rsid w:val="001A638E"/>
    <w:rsid w:val="001B3CFC"/>
    <w:rsid w:val="001B664A"/>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113"/>
    <w:rsid w:val="002A7A5A"/>
    <w:rsid w:val="002B2667"/>
    <w:rsid w:val="002C0D86"/>
    <w:rsid w:val="002C21EA"/>
    <w:rsid w:val="002D463B"/>
    <w:rsid w:val="002D6719"/>
    <w:rsid w:val="002D77C2"/>
    <w:rsid w:val="002E1FCA"/>
    <w:rsid w:val="002E3241"/>
    <w:rsid w:val="002E41C7"/>
    <w:rsid w:val="002F06A9"/>
    <w:rsid w:val="002F33FA"/>
    <w:rsid w:val="002F406C"/>
    <w:rsid w:val="00301EB0"/>
    <w:rsid w:val="003027E8"/>
    <w:rsid w:val="00303603"/>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49FB"/>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A79DD"/>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2712F"/>
    <w:rsid w:val="00431D42"/>
    <w:rsid w:val="00440131"/>
    <w:rsid w:val="0044212B"/>
    <w:rsid w:val="00445EE8"/>
    <w:rsid w:val="004516A1"/>
    <w:rsid w:val="004533BA"/>
    <w:rsid w:val="00453837"/>
    <w:rsid w:val="004550EE"/>
    <w:rsid w:val="004553A1"/>
    <w:rsid w:val="004623F4"/>
    <w:rsid w:val="00462943"/>
    <w:rsid w:val="004646C3"/>
    <w:rsid w:val="00464EFB"/>
    <w:rsid w:val="004676F8"/>
    <w:rsid w:val="0048169C"/>
    <w:rsid w:val="0048655F"/>
    <w:rsid w:val="00486A04"/>
    <w:rsid w:val="00487CBD"/>
    <w:rsid w:val="00492FDA"/>
    <w:rsid w:val="00493513"/>
    <w:rsid w:val="00493AB3"/>
    <w:rsid w:val="00496E4B"/>
    <w:rsid w:val="004A1C98"/>
    <w:rsid w:val="004A2E47"/>
    <w:rsid w:val="004B0214"/>
    <w:rsid w:val="004B09F7"/>
    <w:rsid w:val="004B4F14"/>
    <w:rsid w:val="004B5097"/>
    <w:rsid w:val="004C315B"/>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11C0"/>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5DF"/>
    <w:rsid w:val="0061686A"/>
    <w:rsid w:val="00616ED4"/>
    <w:rsid w:val="0062114F"/>
    <w:rsid w:val="006346EE"/>
    <w:rsid w:val="006506BC"/>
    <w:rsid w:val="00653EF0"/>
    <w:rsid w:val="0065638B"/>
    <w:rsid w:val="00657F45"/>
    <w:rsid w:val="00660A9B"/>
    <w:rsid w:val="00662051"/>
    <w:rsid w:val="006665CB"/>
    <w:rsid w:val="00681E92"/>
    <w:rsid w:val="00682CCC"/>
    <w:rsid w:val="00686964"/>
    <w:rsid w:val="006910B4"/>
    <w:rsid w:val="00692334"/>
    <w:rsid w:val="006944FD"/>
    <w:rsid w:val="006956D4"/>
    <w:rsid w:val="006A00DF"/>
    <w:rsid w:val="006A0D0D"/>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2CBE"/>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A7A45"/>
    <w:rsid w:val="007B1A55"/>
    <w:rsid w:val="007B4CCF"/>
    <w:rsid w:val="007C4A4C"/>
    <w:rsid w:val="007C5493"/>
    <w:rsid w:val="007C72B9"/>
    <w:rsid w:val="007D2303"/>
    <w:rsid w:val="007D5C70"/>
    <w:rsid w:val="007D6E2B"/>
    <w:rsid w:val="00806ED5"/>
    <w:rsid w:val="00810924"/>
    <w:rsid w:val="0081135B"/>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65A8"/>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0AC7"/>
    <w:rsid w:val="009912E7"/>
    <w:rsid w:val="0099201E"/>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79F"/>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39CA"/>
    <w:rsid w:val="00C540A1"/>
    <w:rsid w:val="00C5549D"/>
    <w:rsid w:val="00C5565C"/>
    <w:rsid w:val="00C62539"/>
    <w:rsid w:val="00C63BFA"/>
    <w:rsid w:val="00C65393"/>
    <w:rsid w:val="00C71CB0"/>
    <w:rsid w:val="00C737B5"/>
    <w:rsid w:val="00C74AE3"/>
    <w:rsid w:val="00C74D95"/>
    <w:rsid w:val="00C8307C"/>
    <w:rsid w:val="00C87873"/>
    <w:rsid w:val="00C91754"/>
    <w:rsid w:val="00C945C9"/>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45EAD"/>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B7198"/>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0D54"/>
    <w:rsid w:val="00F84640"/>
    <w:rsid w:val="00F85E61"/>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D11B1"/>
    <w:rsid w:val="00FE4812"/>
    <w:rsid w:val="00FE500A"/>
    <w:rsid w:val="00FE6DC6"/>
    <w:rsid w:val="00FF0FD8"/>
    <w:rsid w:val="00FF56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rsid w:val="00516E9E"/>
    <w:pPr>
      <w:jc w:val="right"/>
    </w:pPr>
  </w:style>
  <w:style w:type="character" w:customStyle="1" w:styleId="VoettekstChar">
    <w:name w:val="Voettekst Char"/>
    <w:basedOn w:val="Standaardalinea-lettertype"/>
    <w:link w:val="Voettekst"/>
    <w:uiPriority w:val="99"/>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772CBE"/>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033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rsid w:val="00516E9E"/>
    <w:pPr>
      <w:jc w:val="right"/>
    </w:pPr>
  </w:style>
  <w:style w:type="character" w:customStyle="1" w:styleId="VoettekstChar">
    <w:name w:val="Voettekst Char"/>
    <w:basedOn w:val="Standaardalinea-lettertype"/>
    <w:link w:val="Voettekst"/>
    <w:uiPriority w:val="99"/>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772CBE"/>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033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758">
      <w:bodyDiv w:val="1"/>
      <w:marLeft w:val="0"/>
      <w:marRight w:val="0"/>
      <w:marTop w:val="0"/>
      <w:marBottom w:val="0"/>
      <w:divBdr>
        <w:top w:val="none" w:sz="0" w:space="0" w:color="auto"/>
        <w:left w:val="none" w:sz="0" w:space="0" w:color="auto"/>
        <w:bottom w:val="none" w:sz="0" w:space="0" w:color="auto"/>
        <w:right w:val="none" w:sz="0" w:space="0" w:color="auto"/>
      </w:divBdr>
    </w:div>
    <w:div w:id="412049397">
      <w:bodyDiv w:val="1"/>
      <w:marLeft w:val="0"/>
      <w:marRight w:val="0"/>
      <w:marTop w:val="0"/>
      <w:marBottom w:val="0"/>
      <w:divBdr>
        <w:top w:val="none" w:sz="0" w:space="0" w:color="auto"/>
        <w:left w:val="none" w:sz="0" w:space="0" w:color="auto"/>
        <w:bottom w:val="none" w:sz="0" w:space="0" w:color="auto"/>
        <w:right w:val="none" w:sz="0" w:space="0" w:color="auto"/>
      </w:divBdr>
    </w:div>
    <w:div w:id="566649573">
      <w:bodyDiv w:val="1"/>
      <w:marLeft w:val="0"/>
      <w:marRight w:val="0"/>
      <w:marTop w:val="0"/>
      <w:marBottom w:val="0"/>
      <w:divBdr>
        <w:top w:val="none" w:sz="0" w:space="0" w:color="auto"/>
        <w:left w:val="none" w:sz="0" w:space="0" w:color="auto"/>
        <w:bottom w:val="none" w:sz="0" w:space="0" w:color="auto"/>
        <w:right w:val="none" w:sz="0" w:space="0" w:color="auto"/>
      </w:divBdr>
    </w:div>
    <w:div w:id="878248717">
      <w:bodyDiv w:val="1"/>
      <w:marLeft w:val="0"/>
      <w:marRight w:val="0"/>
      <w:marTop w:val="0"/>
      <w:marBottom w:val="0"/>
      <w:divBdr>
        <w:top w:val="none" w:sz="0" w:space="0" w:color="auto"/>
        <w:left w:val="none" w:sz="0" w:space="0" w:color="auto"/>
        <w:bottom w:val="none" w:sz="0" w:space="0" w:color="auto"/>
        <w:right w:val="none" w:sz="0" w:space="0" w:color="auto"/>
      </w:divBdr>
    </w:div>
    <w:div w:id="893665811">
      <w:bodyDiv w:val="1"/>
      <w:marLeft w:val="0"/>
      <w:marRight w:val="0"/>
      <w:marTop w:val="0"/>
      <w:marBottom w:val="0"/>
      <w:divBdr>
        <w:top w:val="none" w:sz="0" w:space="0" w:color="auto"/>
        <w:left w:val="none" w:sz="0" w:space="0" w:color="auto"/>
        <w:bottom w:val="none" w:sz="0" w:space="0" w:color="auto"/>
        <w:right w:val="none" w:sz="0" w:space="0" w:color="auto"/>
      </w:divBdr>
      <w:divsChild>
        <w:div w:id="2022775833">
          <w:marLeft w:val="-8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rkenningen@vaph.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kenningen@vaph.b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7F7FBED0B4C2DA6031A7E36787D01"/>
        <w:category>
          <w:name w:val="Algemeen"/>
          <w:gallery w:val="placeholder"/>
        </w:category>
        <w:types>
          <w:type w:val="bbPlcHdr"/>
        </w:types>
        <w:behaviors>
          <w:behavior w:val="content"/>
        </w:behaviors>
        <w:guid w:val="{EA1A506F-0636-4D57-B3C8-C7DE0077528D}"/>
      </w:docPartPr>
      <w:docPartBody>
        <w:p w:rsidR="00D1681F" w:rsidRDefault="00601E52">
          <w:pPr>
            <w:pStyle w:val="4DB7F7FBED0B4C2DA6031A7E36787D01"/>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52"/>
    <w:rsid w:val="001B4290"/>
    <w:rsid w:val="00601E52"/>
    <w:rsid w:val="00D16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EEE711761B49EEA40820D448E929B1">
    <w:name w:val="32EEE711761B49EEA40820D448E929B1"/>
  </w:style>
  <w:style w:type="character" w:styleId="Tekstvantijdelijkeaanduiding">
    <w:name w:val="Placeholder Text"/>
    <w:basedOn w:val="Standaardalinea-lettertype"/>
    <w:uiPriority w:val="99"/>
    <w:semiHidden/>
    <w:rPr>
      <w:color w:val="808080"/>
    </w:rPr>
  </w:style>
  <w:style w:type="paragraph" w:customStyle="1" w:styleId="4DB7F7FBED0B4C2DA6031A7E36787D01">
    <w:name w:val="4DB7F7FBED0B4C2DA6031A7E36787D01"/>
  </w:style>
  <w:style w:type="paragraph" w:customStyle="1" w:styleId="D7A6CE28D55E4DB3929961A9FA802831">
    <w:name w:val="D7A6CE28D55E4DB3929961A9FA802831"/>
  </w:style>
  <w:style w:type="paragraph" w:customStyle="1" w:styleId="C0874203A4D24B2D8E5C075CB6B289FD">
    <w:name w:val="C0874203A4D24B2D8E5C075CB6B289FD"/>
  </w:style>
  <w:style w:type="paragraph" w:customStyle="1" w:styleId="B005AFF9213D4C4F82325293C3283F8E">
    <w:name w:val="B005AFF9213D4C4F82325293C3283F8E"/>
  </w:style>
  <w:style w:type="paragraph" w:customStyle="1" w:styleId="50CFF3484783401D9919E408259F751C">
    <w:name w:val="50CFF3484783401D9919E408259F751C"/>
  </w:style>
  <w:style w:type="paragraph" w:customStyle="1" w:styleId="F6672BA3014B4B58A376ECDD827DE4CD">
    <w:name w:val="F6672BA3014B4B58A376ECDD827DE4CD"/>
  </w:style>
  <w:style w:type="paragraph" w:customStyle="1" w:styleId="978EF1DFAECE41E99EBC69E95AB86A61">
    <w:name w:val="978EF1DFAECE41E99EBC69E95AB86A61"/>
  </w:style>
  <w:style w:type="paragraph" w:customStyle="1" w:styleId="06F0D1D3A0694A5C9979CCB0FF1998F0">
    <w:name w:val="06F0D1D3A0694A5C9979CCB0FF1998F0"/>
  </w:style>
  <w:style w:type="paragraph" w:customStyle="1" w:styleId="5E0B5C682EEF4759854086FF3D3F48E7">
    <w:name w:val="5E0B5C682EEF4759854086FF3D3F48E7"/>
    <w:rsid w:val="00601E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EEE711761B49EEA40820D448E929B1">
    <w:name w:val="32EEE711761B49EEA40820D448E929B1"/>
  </w:style>
  <w:style w:type="character" w:styleId="Tekstvantijdelijkeaanduiding">
    <w:name w:val="Placeholder Text"/>
    <w:basedOn w:val="Standaardalinea-lettertype"/>
    <w:uiPriority w:val="99"/>
    <w:semiHidden/>
    <w:rPr>
      <w:color w:val="808080"/>
    </w:rPr>
  </w:style>
  <w:style w:type="paragraph" w:customStyle="1" w:styleId="4DB7F7FBED0B4C2DA6031A7E36787D01">
    <w:name w:val="4DB7F7FBED0B4C2DA6031A7E36787D01"/>
  </w:style>
  <w:style w:type="paragraph" w:customStyle="1" w:styleId="D7A6CE28D55E4DB3929961A9FA802831">
    <w:name w:val="D7A6CE28D55E4DB3929961A9FA802831"/>
  </w:style>
  <w:style w:type="paragraph" w:customStyle="1" w:styleId="C0874203A4D24B2D8E5C075CB6B289FD">
    <w:name w:val="C0874203A4D24B2D8E5C075CB6B289FD"/>
  </w:style>
  <w:style w:type="paragraph" w:customStyle="1" w:styleId="B005AFF9213D4C4F82325293C3283F8E">
    <w:name w:val="B005AFF9213D4C4F82325293C3283F8E"/>
  </w:style>
  <w:style w:type="paragraph" w:customStyle="1" w:styleId="50CFF3484783401D9919E408259F751C">
    <w:name w:val="50CFF3484783401D9919E408259F751C"/>
  </w:style>
  <w:style w:type="paragraph" w:customStyle="1" w:styleId="F6672BA3014B4B58A376ECDD827DE4CD">
    <w:name w:val="F6672BA3014B4B58A376ECDD827DE4CD"/>
  </w:style>
  <w:style w:type="paragraph" w:customStyle="1" w:styleId="978EF1DFAECE41E99EBC69E95AB86A61">
    <w:name w:val="978EF1DFAECE41E99EBC69E95AB86A61"/>
  </w:style>
  <w:style w:type="paragraph" w:customStyle="1" w:styleId="06F0D1D3A0694A5C9979CCB0FF1998F0">
    <w:name w:val="06F0D1D3A0694A5C9979CCB0FF1998F0"/>
  </w:style>
  <w:style w:type="paragraph" w:customStyle="1" w:styleId="5E0B5C682EEF4759854086FF3D3F48E7">
    <w:name w:val="5E0B5C682EEF4759854086FF3D3F48E7"/>
    <w:rsid w:val="00601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2912-2444-4C36-AF54-6E41F73B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3</TotalTime>
  <Pages>1</Pages>
  <Words>1389</Words>
  <Characters>7643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Vanoppen</dc:creator>
  <cp:lastModifiedBy>Ann Allemant</cp:lastModifiedBy>
  <cp:revision>4</cp:revision>
  <cp:lastPrinted>2018-12-17T12:57:00Z</cp:lastPrinted>
  <dcterms:created xsi:type="dcterms:W3CDTF">2018-12-17T12:57:00Z</dcterms:created>
  <dcterms:modified xsi:type="dcterms:W3CDTF">2018-12-17T12:57:00Z</dcterms:modified>
</cp:coreProperties>
</file>