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FB632E">
            <w:pPr>
              <w:pStyle w:val="VerslagNotaOmzendbrief-Kenmerk-Tekst"/>
            </w:pPr>
            <w:r w:rsidRPr="00C10A6B">
              <w:t>1100/RC/</w:t>
            </w:r>
            <w:r w:rsidR="00515342">
              <w:t>JPVB</w:t>
            </w:r>
            <w:r w:rsidRPr="00C10A6B">
              <w:t>/</w:t>
            </w:r>
            <w:proofErr w:type="spellStart"/>
            <w:r w:rsidRPr="00C10A6B">
              <w:t>gp</w:t>
            </w:r>
            <w:proofErr w:type="spellEnd"/>
            <w:r w:rsidRPr="00C10A6B">
              <w:t>/</w:t>
            </w:r>
            <w:r w:rsidR="00844173">
              <w:t>2</w:t>
            </w:r>
            <w:r w:rsidR="00066F50">
              <w:t>1</w:t>
            </w:r>
            <w:r w:rsidRPr="00C10A6B">
              <w:t>/AdvRC</w:t>
            </w:r>
            <w:r w:rsidR="00FB632E">
              <w:t>26</w:t>
            </w:r>
            <w:r w:rsidRPr="00C10A6B">
              <w:t>-</w:t>
            </w:r>
            <w:r w:rsidR="00FB632E">
              <w:t>10</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10-26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B632E" w:rsidP="006A5CF4">
                <w:pPr>
                  <w:pStyle w:val="VerslagNotaOmzendbrief-Kenmerk-Tekst"/>
                </w:pPr>
                <w:r>
                  <w:t>26 oktober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FB632E">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26</w:t>
            </w:r>
            <w:r w:rsidRPr="00E51769">
              <w:rPr>
                <w:b/>
                <w:color w:val="414141"/>
              </w:rPr>
              <w:t>-</w:t>
            </w:r>
            <w:r w:rsidR="00FB632E">
              <w:rPr>
                <w:b/>
                <w:color w:val="414141"/>
              </w:rPr>
              <w:t>10</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FB632E">
        <w:rPr>
          <w:lang w:val="nl-NL"/>
        </w:rPr>
        <w:t>26</w:t>
      </w:r>
      <w:r w:rsidR="0031404E">
        <w:rPr>
          <w:lang w:val="nl-NL"/>
        </w:rPr>
        <w:t xml:space="preserve"> </w:t>
      </w:r>
      <w:r w:rsidR="00FB632E">
        <w:rPr>
          <w:lang w:val="nl-NL"/>
        </w:rPr>
        <w:t>okto</w:t>
      </w:r>
      <w:r w:rsidR="0031404E">
        <w:rPr>
          <w:lang w:val="nl-NL"/>
        </w:rPr>
        <w:t>ber</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116ECF" w:rsidP="00461EAF">
      <w:pPr>
        <w:pStyle w:val="Kop1"/>
        <w:spacing w:after="0"/>
        <w:rPr>
          <w:sz w:val="22"/>
          <w:szCs w:val="22"/>
        </w:rPr>
      </w:pPr>
      <w:r w:rsidRPr="00116ECF">
        <w:rPr>
          <w:sz w:val="22"/>
          <w:szCs w:val="22"/>
          <w:lang w:val="nl-BE"/>
        </w:rPr>
        <w:t>Project Unic: stand van zaken</w:t>
      </w:r>
      <w:r w:rsidRPr="00116ECF">
        <w:rPr>
          <w:sz w:val="22"/>
          <w:szCs w:val="22"/>
          <w:lang w:val="en-US"/>
        </w:rPr>
        <w:br/>
        <w:t>DOC/RC/2020/26</w:t>
      </w:r>
      <w:r w:rsidRPr="00116ECF">
        <w:rPr>
          <w:sz w:val="22"/>
          <w:szCs w:val="22"/>
          <w:lang w:val="nl-BE"/>
        </w:rPr>
        <w:t>.10/34</w:t>
      </w:r>
    </w:p>
    <w:p w:rsidR="008C6CD1" w:rsidRDefault="002E0A1F" w:rsidP="004C5DD4">
      <w:pPr>
        <w:spacing w:after="0"/>
      </w:pPr>
      <w:r w:rsidRPr="0041666F">
        <w:t>Het Raadgevend Comité neemt akte van</w:t>
      </w:r>
      <w:r w:rsidR="001F79D2">
        <w:t xml:space="preserve"> </w:t>
      </w:r>
      <w:r w:rsidR="0031404E">
        <w:t xml:space="preserve">de stand van zaken van het </w:t>
      </w:r>
      <w:r w:rsidR="00116ECF">
        <w:t>project Unic</w:t>
      </w:r>
      <w:r w:rsidR="0031404E">
        <w:t>.</w:t>
      </w:r>
      <w:r w:rsidR="005D7DE4">
        <w:t xml:space="preserve"> De leden engageren zich om de oproep tot deelname te verspreiden binnen hun respectieve netwerk.</w:t>
      </w:r>
    </w:p>
    <w:p w:rsidR="008775EF" w:rsidRDefault="00116ECF" w:rsidP="00461EAF">
      <w:pPr>
        <w:pStyle w:val="Kop1"/>
        <w:spacing w:after="0"/>
        <w:rPr>
          <w:sz w:val="22"/>
          <w:szCs w:val="22"/>
          <w:lang w:val="nl-BE"/>
        </w:rPr>
      </w:pPr>
      <w:r w:rsidRPr="00116ECF">
        <w:rPr>
          <w:sz w:val="22"/>
          <w:szCs w:val="22"/>
          <w:lang w:val="nl-BE"/>
        </w:rPr>
        <w:t xml:space="preserve">Basisprincipes van een meer </w:t>
      </w:r>
      <w:proofErr w:type="spellStart"/>
      <w:r w:rsidRPr="00116ECF">
        <w:rPr>
          <w:sz w:val="22"/>
          <w:szCs w:val="22"/>
          <w:lang w:val="nl-BE"/>
        </w:rPr>
        <w:t>vraaggestuurd</w:t>
      </w:r>
      <w:proofErr w:type="spellEnd"/>
      <w:r w:rsidRPr="00116ECF">
        <w:rPr>
          <w:sz w:val="22"/>
          <w:szCs w:val="22"/>
          <w:lang w:val="nl-BE"/>
        </w:rPr>
        <w:t xml:space="preserve"> RTH-beleid</w:t>
      </w:r>
      <w:r w:rsidRPr="00116ECF">
        <w:rPr>
          <w:sz w:val="22"/>
          <w:szCs w:val="22"/>
          <w:lang w:val="en-US"/>
        </w:rPr>
        <w:br/>
      </w:r>
      <w:r w:rsidRPr="00116ECF">
        <w:rPr>
          <w:sz w:val="22"/>
          <w:szCs w:val="22"/>
          <w:lang w:val="nl-BE"/>
        </w:rPr>
        <w:t>DOC/RC/2021/26.10/35</w:t>
      </w:r>
    </w:p>
    <w:p w:rsidR="00EA18E2" w:rsidRDefault="0039317C" w:rsidP="001F79D2">
      <w:pPr>
        <w:spacing w:after="0" w:line="259" w:lineRule="auto"/>
      </w:pPr>
      <w:r>
        <w:t xml:space="preserve">Het comité verstrekt een unaniem positief advies m.b.t. de vier basisprincipes van een meer </w:t>
      </w:r>
      <w:proofErr w:type="spellStart"/>
      <w:r>
        <w:t>vraaggestuurd</w:t>
      </w:r>
      <w:proofErr w:type="spellEnd"/>
      <w:r>
        <w:t xml:space="preserve"> RTH</w:t>
      </w:r>
      <w:r w:rsidR="005E11D6">
        <w:t xml:space="preserve"> en gaat ermee</w:t>
      </w:r>
      <w:r w:rsidR="005E11D6" w:rsidRPr="005E11D6">
        <w:t xml:space="preserve"> akkoord dat de nota aan het kabinet van minister Beke wordt bezorgd </w:t>
      </w:r>
      <w:proofErr w:type="spellStart"/>
      <w:r w:rsidR="005E11D6" w:rsidRPr="005E11D6">
        <w:t>i</w:t>
      </w:r>
      <w:r w:rsidR="005E11D6">
        <w:t>.</w:t>
      </w:r>
      <w:r w:rsidR="005E11D6" w:rsidRPr="005E11D6">
        <w:t>f</w:t>
      </w:r>
      <w:r w:rsidR="005E11D6">
        <w:t>.</w:t>
      </w:r>
      <w:r w:rsidR="005E11D6" w:rsidRPr="005E11D6">
        <w:t>v</w:t>
      </w:r>
      <w:proofErr w:type="spellEnd"/>
      <w:r w:rsidR="005E11D6">
        <w:t>.</w:t>
      </w:r>
      <w:r w:rsidR="005E11D6" w:rsidRPr="005E11D6">
        <w:t xml:space="preserve"> het politiek toetsen van de voorgestelde principes</w:t>
      </w:r>
      <w:r>
        <w:t xml:space="preserve">. Het comité dringt wel aan op het betrekken van de stakeholders bij de uitwerking van de operationalisering van deze principes, en vraagt dat een plan van aanpak </w:t>
      </w:r>
      <w:proofErr w:type="spellStart"/>
      <w:r>
        <w:t>terzake</w:t>
      </w:r>
      <w:proofErr w:type="spellEnd"/>
      <w:r>
        <w:t xml:space="preserve"> zou worden voorgelegd op zijn zitting van </w:t>
      </w:r>
      <w:r w:rsidR="007A2B12">
        <w:t xml:space="preserve">30 </w:t>
      </w:r>
      <w:r>
        <w:t>november</w:t>
      </w:r>
      <w:r w:rsidR="0031404E">
        <w:t>.</w:t>
      </w:r>
      <w:r>
        <w:t xml:space="preserve"> </w:t>
      </w:r>
    </w:p>
    <w:p w:rsidR="00D84E23" w:rsidRDefault="00116ECF" w:rsidP="00461EAF">
      <w:pPr>
        <w:pStyle w:val="Kop1"/>
        <w:spacing w:after="0"/>
        <w:rPr>
          <w:sz w:val="22"/>
          <w:szCs w:val="22"/>
          <w:lang w:val="nl-BE"/>
        </w:rPr>
      </w:pPr>
      <w:r w:rsidRPr="00116ECF">
        <w:rPr>
          <w:sz w:val="22"/>
          <w:szCs w:val="22"/>
          <w:lang w:val="nl-BE"/>
        </w:rPr>
        <w:t>Advies inzet middelen Prioriteitengroep 2</w:t>
      </w:r>
      <w:r w:rsidRPr="00116ECF">
        <w:rPr>
          <w:sz w:val="22"/>
          <w:szCs w:val="22"/>
          <w:lang w:val="en-US"/>
        </w:rPr>
        <w:br/>
        <w:t>DOC/RC/2021/26.10/36</w:t>
      </w:r>
    </w:p>
    <w:p w:rsidR="00B62479" w:rsidRDefault="007A2B12" w:rsidP="007A2B12">
      <w:pPr>
        <w:spacing w:after="0"/>
      </w:pPr>
      <w:r>
        <w:t xml:space="preserve">Het comité adviseert unaniem om </w:t>
      </w:r>
      <w:proofErr w:type="spellStart"/>
      <w:r>
        <w:t>i.f.v</w:t>
      </w:r>
      <w:proofErr w:type="spellEnd"/>
      <w:r>
        <w:t>. de inzet van de middelen voor prioriteitengroep 2 de volgende uitgangspunten te hanteren:</w:t>
      </w:r>
    </w:p>
    <w:p w:rsidR="007A2B12" w:rsidRDefault="007A2B12" w:rsidP="007A2B12">
      <w:pPr>
        <w:pStyle w:val="Lijstalinea"/>
        <w:numPr>
          <w:ilvl w:val="0"/>
          <w:numId w:val="25"/>
        </w:numPr>
      </w:pPr>
      <w:r>
        <w:t>Het comité acht het aangewezen om zoveel mogelijk wachtenden te ondersteunen met het beschikbare budget van 20 miljoen euro.</w:t>
      </w:r>
    </w:p>
    <w:p w:rsidR="007A2B12" w:rsidRDefault="007A2B12" w:rsidP="007A2B12">
      <w:pPr>
        <w:pStyle w:val="Lijstalinea"/>
        <w:numPr>
          <w:ilvl w:val="0"/>
          <w:numId w:val="25"/>
        </w:numPr>
      </w:pPr>
      <w:r>
        <w:t xml:space="preserve">Conform zijn eerder op 24 november 2020 uitgebrachte advies adviseert het comité </w:t>
      </w:r>
      <w:r w:rsidR="005D7DE4">
        <w:t>om een voorlopig overbruggingsbudget aan betrokkenen ter beschikking te stellen, waarbij hen de legistiek verankerde garantie moet worden geboden dat zij op termijn over hun volledige toegewezen budget zullen kunnen beschikken</w:t>
      </w:r>
      <w:r w:rsidR="008B48B7">
        <w:t xml:space="preserve"> wanneer zij dit effectief nodig hebben</w:t>
      </w:r>
      <w:r w:rsidR="005D7DE4">
        <w:t xml:space="preserve">. </w:t>
      </w:r>
    </w:p>
    <w:p w:rsidR="005D7DE4" w:rsidRPr="008D1090" w:rsidRDefault="00B1230F" w:rsidP="007A2B12">
      <w:pPr>
        <w:pStyle w:val="Lijstalinea"/>
        <w:numPr>
          <w:ilvl w:val="0"/>
          <w:numId w:val="25"/>
        </w:numPr>
      </w:pPr>
      <w:r>
        <w:t>Voormeld individueel overbruggingsbudget zou voldoende substantieel moeten</w:t>
      </w:r>
      <w:r w:rsidR="005E1632">
        <w:t xml:space="preserve"> zijn</w:t>
      </w:r>
      <w:r>
        <w:t xml:space="preserve">; </w:t>
      </w:r>
      <w:r w:rsidR="005E1632" w:rsidRPr="005E1632">
        <w:t xml:space="preserve">hoeveel mensen hierdoor zullen kunnen worden geholpen </w:t>
      </w:r>
      <w:r w:rsidR="00E61042">
        <w:t xml:space="preserve">- en tot welke </w:t>
      </w:r>
      <w:r w:rsidR="00E61042">
        <w:lastRenderedPageBreak/>
        <w:t xml:space="preserve">prioriteringsdatum kan worden teruggegaan - </w:t>
      </w:r>
      <w:r w:rsidR="005E1632" w:rsidRPr="005E1632">
        <w:t xml:space="preserve">hangt af van de gekozen optie: </w:t>
      </w:r>
      <w:proofErr w:type="spellStart"/>
      <w:r w:rsidR="005E1632" w:rsidRPr="005E1632">
        <w:t>bvb</w:t>
      </w:r>
      <w:proofErr w:type="spellEnd"/>
      <w:r w:rsidR="005E1632" w:rsidRPr="005E1632">
        <w:t xml:space="preserve">. aanvulling tot de helft van het toegewezen bedrag of de helft van de </w:t>
      </w:r>
      <w:proofErr w:type="spellStart"/>
      <w:r w:rsidR="005E1632" w:rsidRPr="005E1632">
        <w:t>meervraag</w:t>
      </w:r>
      <w:proofErr w:type="spellEnd"/>
      <w:r w:rsidR="00FD21B5" w:rsidRPr="005E1632">
        <w:t>.</w:t>
      </w:r>
      <w:r w:rsidR="00E61042">
        <w:t xml:space="preserve"> Het comité wenst </w:t>
      </w:r>
      <w:proofErr w:type="spellStart"/>
      <w:r w:rsidR="00E61042">
        <w:t>terzake</w:t>
      </w:r>
      <w:proofErr w:type="spellEnd"/>
      <w:r w:rsidR="00E61042">
        <w:t xml:space="preserve">  een advies te verlenen na akkoord vanwege het politieke beleidsniveau inzake </w:t>
      </w:r>
      <w:r w:rsidR="00844345">
        <w:t xml:space="preserve">onderhavig principieel advies. </w:t>
      </w:r>
      <w:r w:rsidR="006F706D" w:rsidRPr="008D1090">
        <w:t xml:space="preserve">Volgens het comité lijkt het hanteren van een </w:t>
      </w:r>
      <w:proofErr w:type="spellStart"/>
      <w:r w:rsidR="006F706D" w:rsidRPr="008D1090">
        <w:t>prioteringsdatum</w:t>
      </w:r>
      <w:proofErr w:type="spellEnd"/>
      <w:r w:rsidR="006F706D" w:rsidRPr="008D1090">
        <w:t xml:space="preserve"> in de loop van 2018 aangewezen m.b.t. de terbeschikkingstellingen aan de betrokken wachtenden.</w:t>
      </w:r>
    </w:p>
    <w:p w:rsidR="00FD21B5" w:rsidRDefault="00C512F3" w:rsidP="007A2B12">
      <w:pPr>
        <w:pStyle w:val="Lijstalinea"/>
        <w:numPr>
          <w:ilvl w:val="0"/>
          <w:numId w:val="25"/>
        </w:numPr>
      </w:pPr>
      <w:r>
        <w:t xml:space="preserve">Het comité </w:t>
      </w:r>
      <w:r w:rsidR="00900E38">
        <w:t xml:space="preserve">beklemtoont het belang van </w:t>
      </w:r>
      <w:r w:rsidR="004D7577">
        <w:t>systeem</w:t>
      </w:r>
      <w:r w:rsidR="00900E38">
        <w:t xml:space="preserve">hervormingen (o.a. op het vlak van de </w:t>
      </w:r>
      <w:proofErr w:type="spellStart"/>
      <w:r w:rsidR="00900E38">
        <w:t>toeleidingsprocedure</w:t>
      </w:r>
      <w:proofErr w:type="spellEnd"/>
      <w:r w:rsidR="00900E38">
        <w:t xml:space="preserve">) </w:t>
      </w:r>
      <w:r w:rsidR="004D7577">
        <w:t>zoals ook reeds eerder geadviseerd door het comité in november 2020 en aangegeven in het Zorginvesteringsplan van de Vlaamse Regering.</w:t>
      </w:r>
    </w:p>
    <w:p w:rsidR="00116ECF" w:rsidRDefault="00116ECF" w:rsidP="00116ECF">
      <w:pPr>
        <w:pStyle w:val="Kop1"/>
        <w:spacing w:after="0"/>
        <w:rPr>
          <w:sz w:val="22"/>
          <w:szCs w:val="22"/>
          <w:lang w:val="nl-BE"/>
        </w:rPr>
      </w:pPr>
      <w:r w:rsidRPr="00116ECF">
        <w:rPr>
          <w:sz w:val="22"/>
          <w:szCs w:val="22"/>
          <w:lang w:val="nl-BE"/>
        </w:rPr>
        <w:t>Bevraging Prioriteitengroep 3</w:t>
      </w:r>
      <w:r w:rsidRPr="00116ECF">
        <w:rPr>
          <w:sz w:val="22"/>
          <w:szCs w:val="22"/>
          <w:lang w:val="en-US"/>
        </w:rPr>
        <w:br/>
      </w:r>
      <w:r w:rsidRPr="00116ECF">
        <w:rPr>
          <w:sz w:val="22"/>
          <w:szCs w:val="22"/>
          <w:lang w:val="nl-BE"/>
        </w:rPr>
        <w:t>DOC/RC/2021/26.10/37</w:t>
      </w:r>
    </w:p>
    <w:p w:rsidR="00116ECF" w:rsidRPr="00116ECF" w:rsidRDefault="00391C9F" w:rsidP="00116ECF">
      <w:r>
        <w:t xml:space="preserve">Het comité verleent een unaniem positief advies </w:t>
      </w:r>
      <w:r w:rsidR="00C512F3">
        <w:t>m.b.t. het voorstel van uitwerking van de bevraging Prioriteitengroep 3.</w:t>
      </w:r>
    </w:p>
    <w:p w:rsidR="00116ECF" w:rsidRDefault="00116ECF" w:rsidP="00116ECF">
      <w:pPr>
        <w:pStyle w:val="Kop1"/>
        <w:spacing w:after="0"/>
        <w:rPr>
          <w:sz w:val="22"/>
          <w:szCs w:val="22"/>
          <w:lang w:val="en-US"/>
        </w:rPr>
      </w:pPr>
      <w:r w:rsidRPr="00116ECF">
        <w:rPr>
          <w:sz w:val="22"/>
          <w:szCs w:val="22"/>
          <w:lang w:val="nl-BE"/>
        </w:rPr>
        <w:t>Monitoring PVB Q2 2021</w:t>
      </w:r>
      <w:r w:rsidRPr="00116ECF">
        <w:rPr>
          <w:sz w:val="22"/>
          <w:szCs w:val="22"/>
          <w:lang w:val="en-US"/>
        </w:rPr>
        <w:br/>
        <w:t>DOC/RC/2021/26.10/38.1</w:t>
      </w:r>
    </w:p>
    <w:p w:rsidR="00116ECF" w:rsidRPr="00411AD5" w:rsidRDefault="00411AD5" w:rsidP="00116ECF">
      <w:r w:rsidRPr="00411AD5">
        <w:t>Het Raadgevend Comité neemt akte van de rapportering.</w:t>
      </w:r>
    </w:p>
    <w:p w:rsidR="00116ECF" w:rsidRDefault="00116ECF" w:rsidP="00116ECF">
      <w:pPr>
        <w:pStyle w:val="Kop1"/>
        <w:spacing w:after="0"/>
        <w:rPr>
          <w:sz w:val="22"/>
          <w:szCs w:val="22"/>
          <w:lang w:val="en-US"/>
        </w:rPr>
      </w:pPr>
      <w:r w:rsidRPr="00116ECF">
        <w:rPr>
          <w:sz w:val="22"/>
          <w:szCs w:val="22"/>
          <w:lang w:val="nl-BE"/>
        </w:rPr>
        <w:t>Monitoring PAB Q2 2021</w:t>
      </w:r>
      <w:r w:rsidRPr="00116ECF">
        <w:rPr>
          <w:sz w:val="22"/>
          <w:szCs w:val="22"/>
          <w:lang w:val="en-US"/>
        </w:rPr>
        <w:br/>
        <w:t>DOC/RC/2021/26.10/38.2</w:t>
      </w:r>
    </w:p>
    <w:p w:rsidR="00116ECF" w:rsidRPr="00411AD5" w:rsidRDefault="00411AD5" w:rsidP="00116ECF">
      <w:r w:rsidRPr="00411AD5">
        <w:t>Het Raadgevend Comité neemt akte van de rapportering.</w:t>
      </w:r>
      <w:r>
        <w:t xml:space="preserve"> Het com</w:t>
      </w:r>
      <w:r w:rsidR="0089700D">
        <w:t xml:space="preserve">ité </w:t>
      </w:r>
      <w:r w:rsidR="001F6B6D">
        <w:t>herinne</w:t>
      </w:r>
      <w:r w:rsidR="006F40AD">
        <w:t>rt wel</w:t>
      </w:r>
      <w:r w:rsidR="001F6B6D">
        <w:t xml:space="preserve"> </w:t>
      </w:r>
      <w:r w:rsidR="0089700D">
        <w:t xml:space="preserve">aan </w:t>
      </w:r>
      <w:r w:rsidR="006F6F57">
        <w:t>zijn</w:t>
      </w:r>
      <w:r w:rsidR="001F6B6D">
        <w:t xml:space="preserve"> vra</w:t>
      </w:r>
      <w:r w:rsidR="006F6F57">
        <w:t xml:space="preserve">ag </w:t>
      </w:r>
      <w:r w:rsidR="006F40AD">
        <w:t xml:space="preserve">om </w:t>
      </w:r>
      <w:r w:rsidR="001F6B6D">
        <w:t xml:space="preserve">de </w:t>
      </w:r>
      <w:r w:rsidR="00EE44FD">
        <w:t xml:space="preserve">stakeholders van de </w:t>
      </w:r>
      <w:r w:rsidR="001F6B6D">
        <w:t xml:space="preserve">sector personen met een handicap </w:t>
      </w:r>
      <w:r w:rsidR="006F40AD">
        <w:t xml:space="preserve">te </w:t>
      </w:r>
      <w:r w:rsidR="0089700D">
        <w:t>betr</w:t>
      </w:r>
      <w:r w:rsidR="006F40AD">
        <w:t>e</w:t>
      </w:r>
      <w:r w:rsidR="0089700D">
        <w:t xml:space="preserve">kken </w:t>
      </w:r>
      <w:r w:rsidR="00CC608F">
        <w:t xml:space="preserve">bij </w:t>
      </w:r>
      <w:r w:rsidR="001F6B6D">
        <w:t>de</w:t>
      </w:r>
      <w:r w:rsidR="006F6F57">
        <w:t xml:space="preserve"> nadere</w:t>
      </w:r>
      <w:r w:rsidR="001F6B6D">
        <w:t xml:space="preserve"> uitwerking van het beleid rond ondersteuning van minderjarige personen met een handicap</w:t>
      </w:r>
      <w:r w:rsidR="00EE44FD">
        <w:t xml:space="preserve"> </w:t>
      </w:r>
      <w:proofErr w:type="spellStart"/>
      <w:r w:rsidR="00EE44FD">
        <w:t>i.h.k.v</w:t>
      </w:r>
      <w:proofErr w:type="spellEnd"/>
      <w:r w:rsidR="00EE44FD">
        <w:t>. het Zorginvesteringsplan</w:t>
      </w:r>
      <w:r w:rsidR="006F6F57">
        <w:rPr>
          <w:rStyle w:val="Voetnootmarkering"/>
        </w:rPr>
        <w:footnoteReference w:id="1"/>
      </w:r>
      <w:r w:rsidR="001F6B6D">
        <w:t>.</w:t>
      </w:r>
    </w:p>
    <w:p w:rsidR="00116ECF" w:rsidRDefault="00116ECF" w:rsidP="00116ECF">
      <w:pPr>
        <w:pStyle w:val="Kop1"/>
        <w:spacing w:after="0"/>
        <w:rPr>
          <w:sz w:val="22"/>
          <w:szCs w:val="22"/>
          <w:lang w:val="en-US"/>
        </w:rPr>
      </w:pPr>
      <w:r w:rsidRPr="00116ECF">
        <w:rPr>
          <w:sz w:val="22"/>
          <w:szCs w:val="22"/>
          <w:lang w:val="nl-BE"/>
        </w:rPr>
        <w:t>Bestedingsanalyse 2020</w:t>
      </w:r>
      <w:r w:rsidRPr="00116ECF">
        <w:rPr>
          <w:sz w:val="22"/>
          <w:szCs w:val="22"/>
          <w:lang w:val="en-US"/>
        </w:rPr>
        <w:br/>
        <w:t>DOC/RC/2021/26.10/38.3</w:t>
      </w:r>
    </w:p>
    <w:p w:rsidR="00116ECF" w:rsidRPr="00FF3FF7" w:rsidRDefault="00FF3FF7" w:rsidP="00116ECF">
      <w:r w:rsidRPr="00FF3FF7">
        <w:t>Het Raadgevend Comité neemt akte van de analyse.</w:t>
      </w:r>
      <w:r w:rsidR="004F5E44">
        <w:t xml:space="preserve"> </w:t>
      </w:r>
      <w:r w:rsidR="004F5E44" w:rsidRPr="004F5E44">
        <w:t>De cijfers uit deze bestedingsanalyse worden verder gebruikt in de ramingen van de begroting en de monitoring PVB en jaarlijks opnieuw geëvalueerd.</w:t>
      </w:r>
    </w:p>
    <w:p w:rsidR="00116ECF" w:rsidRDefault="00116ECF" w:rsidP="00116ECF">
      <w:pPr>
        <w:pStyle w:val="Kop1"/>
        <w:spacing w:after="0"/>
        <w:rPr>
          <w:sz w:val="22"/>
          <w:szCs w:val="22"/>
          <w:lang w:val="en-US"/>
        </w:rPr>
      </w:pPr>
      <w:r w:rsidRPr="00116ECF">
        <w:rPr>
          <w:sz w:val="22"/>
          <w:szCs w:val="22"/>
          <w:lang w:val="nl-BE"/>
        </w:rPr>
        <w:t xml:space="preserve">Analyses overzicht per subsidie-eenheid 2020 </w:t>
      </w:r>
      <w:r w:rsidRPr="00116ECF">
        <w:rPr>
          <w:sz w:val="22"/>
          <w:szCs w:val="22"/>
          <w:lang w:val="en-US"/>
        </w:rPr>
        <w:br/>
        <w:t>DOC/RC/2021/26.10/38.4</w:t>
      </w:r>
    </w:p>
    <w:p w:rsidR="00116ECF" w:rsidRPr="00935B85" w:rsidRDefault="00FF3FF7" w:rsidP="00116ECF">
      <w:r w:rsidRPr="00FF3FF7">
        <w:rPr>
          <w:lang w:val="en-US"/>
        </w:rPr>
        <w:t xml:space="preserve">Het </w:t>
      </w:r>
      <w:r w:rsidRPr="00935B85">
        <w:t>Raadgevend Comité neemt akte van de analyse.</w:t>
      </w:r>
      <w:r w:rsidR="004E7ED2">
        <w:t xml:space="preserve"> </w:t>
      </w:r>
      <w:r w:rsidR="004E7ED2" w:rsidRPr="004E7ED2">
        <w:t>Deze analyse wordt jaarlijkse verder opgevolgd samen met de bestedingsanalyse en evolutie functies (in het kader van evaluatie PVF)</w:t>
      </w:r>
      <w:r w:rsidR="00603926">
        <w:t>.</w:t>
      </w:r>
      <w:r w:rsidR="004E7ED2" w:rsidRPr="004E7ED2">
        <w:t xml:space="preserve"> De gegevens van die </w:t>
      </w:r>
      <w:r w:rsidR="004E7ED2">
        <w:t>subsidie-eenheden</w:t>
      </w:r>
      <w:r w:rsidR="004E7ED2" w:rsidRPr="004E7ED2">
        <w:t xml:space="preserve"> die sinds 2016 meer dan 5 procent gedaald zijn worden bezorgd aan de desbetreffende organisaties. In h</w:t>
      </w:r>
      <w:r w:rsidR="004E7ED2">
        <w:t>et begeleidend schrijven kan</w:t>
      </w:r>
      <w:r w:rsidR="004E7ED2" w:rsidRPr="004E7ED2">
        <w:t xml:space="preserve"> hen aangeboden worden om eventueel ondersteund te worden door hun werkgeverskoepel. </w:t>
      </w:r>
    </w:p>
    <w:p w:rsidR="00116ECF" w:rsidRDefault="00116ECF" w:rsidP="00116ECF">
      <w:pPr>
        <w:pStyle w:val="Kop1"/>
        <w:spacing w:after="0"/>
        <w:rPr>
          <w:sz w:val="22"/>
          <w:szCs w:val="22"/>
          <w:lang w:val="en-US"/>
        </w:rPr>
      </w:pPr>
      <w:r w:rsidRPr="00116ECF">
        <w:rPr>
          <w:sz w:val="22"/>
          <w:szCs w:val="22"/>
          <w:lang w:val="nl-BE"/>
        </w:rPr>
        <w:t>Nota integratie procedures Noodsituatie/Maatschappelijke Noodzaak</w:t>
      </w:r>
      <w:r w:rsidRPr="00116ECF">
        <w:rPr>
          <w:sz w:val="22"/>
          <w:szCs w:val="22"/>
          <w:lang w:val="en-US"/>
        </w:rPr>
        <w:br/>
        <w:t>DOC/RC/2021/26.10/39</w:t>
      </w:r>
    </w:p>
    <w:p w:rsidR="0016548A" w:rsidRDefault="0016548A" w:rsidP="00F93E87">
      <w:pPr>
        <w:spacing w:after="0"/>
        <w:jc w:val="both"/>
      </w:pPr>
      <w:r>
        <w:t xml:space="preserve">Het Raadgevend Comité verklaart zich, rekening houdend met de vermelde risico’s, unaniem akkoord met de verdere uitwerking van de integratie van de procedures noodsituatie en maatschappelijke noodzaak. Meer specifiek verklaart het Raadgevend Comité zich akkoord met volgende voorstellen: </w:t>
      </w:r>
    </w:p>
    <w:p w:rsidR="0016548A" w:rsidRDefault="0016548A" w:rsidP="00F93E87">
      <w:pPr>
        <w:spacing w:after="0"/>
        <w:jc w:val="both"/>
      </w:pPr>
      <w:r>
        <w:rPr>
          <w:b/>
        </w:rPr>
        <w:t>Inhoudelijk:</w:t>
      </w:r>
      <w:r>
        <w:t xml:space="preserve"> De doelgroep voor de noodprocedure wordt uitgebreid door een extra oorzakelijke factor van de crisissituatie toe te voegen, met name ‘actuele en ernstige zelfverwaarlozing ten </w:t>
      </w:r>
      <w:r>
        <w:lastRenderedPageBreak/>
        <w:t>gevolge van het langdurig ontbreken van een sociale netwerk dat zorg en ondersteuning kan bieden’.</w:t>
      </w:r>
    </w:p>
    <w:p w:rsidR="0016548A" w:rsidRDefault="0016548A" w:rsidP="00F93E87">
      <w:pPr>
        <w:spacing w:after="0"/>
        <w:jc w:val="both"/>
      </w:pPr>
      <w:r>
        <w:rPr>
          <w:b/>
        </w:rPr>
        <w:t>Procedureel:</w:t>
      </w:r>
      <w:r>
        <w:t xml:space="preserve"> Er wordt gewerkt met een tijdelijk budget voor alle doelgroepen binnen de noodprocedure. In functie van dit tijdelijk budget volstaat een medisch attest om het vermoeden van handicap en/of recht op PVB aan te tonen. Om de hieraan verbonden risico’s zoveel als mogelijk te beperken, worden volgende aanpassingen doorgevoerd:</w:t>
      </w:r>
    </w:p>
    <w:p w:rsidR="0016548A" w:rsidRDefault="0016548A" w:rsidP="0016548A">
      <w:pPr>
        <w:numPr>
          <w:ilvl w:val="0"/>
          <w:numId w:val="38"/>
        </w:numPr>
        <w:spacing w:after="0" w:line="276" w:lineRule="auto"/>
        <w:jc w:val="both"/>
      </w:pPr>
      <w:r>
        <w:t xml:space="preserve">Er wordt gewerkt met een gestandaardiseerd medisch attest waarin een arts naar keuze een motivering van de handicap en het recht op PVB moet toevoegen. </w:t>
      </w:r>
    </w:p>
    <w:p w:rsidR="0016548A" w:rsidRDefault="0016548A" w:rsidP="0016548A">
      <w:pPr>
        <w:numPr>
          <w:ilvl w:val="0"/>
          <w:numId w:val="38"/>
        </w:numPr>
        <w:spacing w:line="276" w:lineRule="auto"/>
        <w:jc w:val="both"/>
      </w:pPr>
      <w:r>
        <w:t xml:space="preserve">Het tijdelijk budget wordt gedurende 6 maanden ter beschikking gesteld. Enkel bij een niet-tijdelijke situatie wordt het budget gecontinueerd en wordt - na het vervolledigen van de aanvraagprocedure - een naadloze overgang met het PVB na noodprocedure voorzien. </w:t>
      </w:r>
    </w:p>
    <w:p w:rsidR="0016548A" w:rsidRDefault="0016548A" w:rsidP="0016548A">
      <w:r>
        <w:t xml:space="preserve">Voor beide knelpunten </w:t>
      </w:r>
      <w:r w:rsidR="00F93E87">
        <w:t xml:space="preserve">(zie punt 4 van de nota) </w:t>
      </w:r>
      <w:r>
        <w:t>is een onmiddellijke periodieke monitoring na implementatie van de nieuwe procedure aangewezen, teneinde de effecten van de herwerking in kaart te brengen.</w:t>
      </w:r>
    </w:p>
    <w:p w:rsidR="00116ECF" w:rsidRDefault="00116ECF" w:rsidP="00116ECF">
      <w:pPr>
        <w:pStyle w:val="Kop1"/>
        <w:spacing w:after="0"/>
        <w:rPr>
          <w:sz w:val="22"/>
          <w:szCs w:val="22"/>
          <w:lang w:val="nl-BE"/>
        </w:rPr>
      </w:pPr>
      <w:r w:rsidRPr="00116ECF">
        <w:rPr>
          <w:sz w:val="22"/>
          <w:szCs w:val="22"/>
          <w:lang w:val="nl-BE"/>
        </w:rPr>
        <w:t>Begeleidende maatregelen voor budgethouders in kwetsbare situaties</w:t>
      </w:r>
      <w:r w:rsidRPr="00116ECF">
        <w:rPr>
          <w:sz w:val="22"/>
          <w:szCs w:val="22"/>
          <w:lang w:val="en-US"/>
        </w:rPr>
        <w:br/>
      </w:r>
      <w:r w:rsidRPr="00116ECF">
        <w:rPr>
          <w:sz w:val="22"/>
          <w:szCs w:val="22"/>
          <w:lang w:val="nl-BE"/>
        </w:rPr>
        <w:t>DOC/RC/2021/26.10/40</w:t>
      </w:r>
    </w:p>
    <w:p w:rsidR="00935B85" w:rsidRPr="00935B85" w:rsidRDefault="00935B85" w:rsidP="00935B85">
      <w:pPr>
        <w:spacing w:after="0"/>
        <w:rPr>
          <w:lang w:val="nl"/>
        </w:rPr>
      </w:pPr>
      <w:r>
        <w:t xml:space="preserve">Het comité verleent een unaniem positief advies </w:t>
      </w:r>
      <w:r w:rsidR="00714044">
        <w:t>over:</w:t>
      </w:r>
    </w:p>
    <w:p w:rsidR="00935B85" w:rsidRPr="00935B85" w:rsidRDefault="00935B85" w:rsidP="00935B85">
      <w:pPr>
        <w:numPr>
          <w:ilvl w:val="0"/>
          <w:numId w:val="39"/>
        </w:numPr>
        <w:spacing w:after="0"/>
        <w:rPr>
          <w:lang w:val="nl"/>
        </w:rPr>
      </w:pPr>
      <w:r w:rsidRPr="00935B85">
        <w:rPr>
          <w:lang w:val="nl"/>
        </w:rPr>
        <w:t>de voorgestelde visie op begeleidende maatregelen voor budgethouders in kwetsbare situaties.</w:t>
      </w:r>
    </w:p>
    <w:p w:rsidR="00935B85" w:rsidRPr="00935B85" w:rsidRDefault="00935B85" w:rsidP="00935B85">
      <w:pPr>
        <w:numPr>
          <w:ilvl w:val="0"/>
          <w:numId w:val="39"/>
        </w:numPr>
        <w:rPr>
          <w:lang w:val="nl"/>
        </w:rPr>
      </w:pPr>
      <w:r w:rsidRPr="00935B85">
        <w:rPr>
          <w:lang w:val="nl"/>
        </w:rPr>
        <w:t>de principes m</w:t>
      </w:r>
      <w:r>
        <w:rPr>
          <w:lang w:val="nl"/>
        </w:rPr>
        <w:t>.</w:t>
      </w:r>
      <w:r w:rsidRPr="00935B85">
        <w:rPr>
          <w:lang w:val="nl"/>
        </w:rPr>
        <w:t>b</w:t>
      </w:r>
      <w:r>
        <w:rPr>
          <w:lang w:val="nl"/>
        </w:rPr>
        <w:t>.</w:t>
      </w:r>
      <w:r w:rsidRPr="00935B85">
        <w:rPr>
          <w:lang w:val="nl"/>
        </w:rPr>
        <w:t>t</w:t>
      </w:r>
      <w:r>
        <w:rPr>
          <w:lang w:val="nl"/>
        </w:rPr>
        <w:t>.</w:t>
      </w:r>
      <w:r w:rsidRPr="00935B85">
        <w:rPr>
          <w:lang w:val="nl"/>
        </w:rPr>
        <w:t xml:space="preserve"> de operationalisering van het knipperlichtsysteem.</w:t>
      </w:r>
    </w:p>
    <w:p w:rsidR="00116ECF" w:rsidRDefault="00116ECF" w:rsidP="00116ECF">
      <w:pPr>
        <w:pStyle w:val="Kop1"/>
        <w:spacing w:after="0"/>
        <w:rPr>
          <w:sz w:val="22"/>
          <w:szCs w:val="22"/>
        </w:rPr>
      </w:pPr>
      <w:r w:rsidRPr="00116ECF">
        <w:rPr>
          <w:sz w:val="22"/>
          <w:szCs w:val="22"/>
          <w:lang w:val="nl-BE"/>
        </w:rPr>
        <w:t>Vervanging lid permanente werkgroep Hulpmiddelen</w:t>
      </w:r>
      <w:r w:rsidRPr="00116ECF">
        <w:rPr>
          <w:sz w:val="22"/>
          <w:szCs w:val="22"/>
          <w:lang w:val="nl-BE"/>
        </w:rPr>
        <w:br/>
      </w:r>
      <w:r w:rsidR="002B65B3" w:rsidRPr="00116ECF">
        <w:rPr>
          <w:sz w:val="22"/>
          <w:szCs w:val="22"/>
          <w:lang w:val="nl-BE"/>
        </w:rPr>
        <w:t>DOC/RC/2021/26.10/41</w:t>
      </w:r>
    </w:p>
    <w:p w:rsidR="00116ECF" w:rsidRPr="00116ECF" w:rsidRDefault="00116ECF" w:rsidP="00116ECF">
      <w:pPr>
        <w:rPr>
          <w:lang w:val="nl-NL"/>
        </w:rPr>
      </w:pPr>
      <w:r w:rsidRPr="00116ECF">
        <w:rPr>
          <w:lang w:val="nl-NL"/>
        </w:rPr>
        <w:t xml:space="preserve">Het Raadgevend Comité adviseert de leidend ambtenaar om, conform art. 25§1 van zijn huishoudelijk reglement, mevrouw Tess </w:t>
      </w:r>
      <w:proofErr w:type="spellStart"/>
      <w:r w:rsidRPr="00116ECF">
        <w:rPr>
          <w:lang w:val="nl-NL"/>
        </w:rPr>
        <w:t>Debruyne</w:t>
      </w:r>
      <w:proofErr w:type="spellEnd"/>
      <w:r w:rsidRPr="00116ECF">
        <w:rPr>
          <w:lang w:val="nl-NL"/>
        </w:rPr>
        <w:t xml:space="preserve"> aan te stellen als vertegenwoordiger binnen de geleding van de </w:t>
      </w:r>
      <w:proofErr w:type="spellStart"/>
      <w:r w:rsidRPr="00116ECF">
        <w:rPr>
          <w:lang w:val="nl-NL"/>
        </w:rPr>
        <w:t>MDT’s</w:t>
      </w:r>
      <w:proofErr w:type="spellEnd"/>
      <w:r w:rsidRPr="00116ECF">
        <w:rPr>
          <w:lang w:val="nl-NL"/>
        </w:rPr>
        <w:t xml:space="preserve"> in de permanente werkgroep Hulpmiddelen ter vervanging van mevrouw Sofie Willems met ingang van 1 september 2021.</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 xml:space="preserve">Gerrit </w:t>
      </w:r>
      <w:proofErr w:type="spellStart"/>
      <w:r>
        <w:t>Pearce</w:t>
      </w:r>
      <w:proofErr w:type="spellEnd"/>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29" w:rsidRDefault="00C52629" w:rsidP="00A13B42">
      <w:r>
        <w:separator/>
      </w:r>
    </w:p>
    <w:p w:rsidR="00C52629" w:rsidRDefault="00C52629"/>
  </w:endnote>
  <w:endnote w:type="continuationSeparator" w:id="0">
    <w:p w:rsidR="00C52629" w:rsidRDefault="00C52629" w:rsidP="00A13B42">
      <w:r>
        <w:continuationSeparator/>
      </w:r>
    </w:p>
    <w:p w:rsidR="00C52629" w:rsidRDefault="00C5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C2B0D">
      <w:rPr>
        <w:noProof/>
      </w:rPr>
      <w:t>3</w:t>
    </w:r>
    <w:r w:rsidRPr="00516E9E">
      <w:fldChar w:fldCharType="end"/>
    </w:r>
    <w:r w:rsidRPr="00516E9E">
      <w:t xml:space="preserve"> van </w:t>
    </w:r>
    <w:fldSimple w:instr=" NUMPAGES   \* MERGEFORMAT ">
      <w:r w:rsidR="008C2B0D">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C2B0D">
      <w:rPr>
        <w:noProof/>
      </w:rPr>
      <w:t>1</w:t>
    </w:r>
    <w:r w:rsidRPr="00516E9E">
      <w:fldChar w:fldCharType="end"/>
    </w:r>
    <w:r w:rsidRPr="00516E9E">
      <w:t xml:space="preserve"> van </w:t>
    </w:r>
    <w:fldSimple w:instr=" NUMPAGES   \* MERGEFORMAT ">
      <w:r w:rsidR="008C2B0D">
        <w:rPr>
          <w:noProof/>
        </w:rPr>
        <w:t>3</w:t>
      </w:r>
    </w:fldSimple>
    <w:r w:rsidRPr="00516E9E">
      <w:rPr>
        <w:noProof/>
        <w:lang w:eastAsia="nl-BE"/>
      </w:rPr>
      <w:drawing>
        <wp:anchor distT="0" distB="0" distL="114300" distR="114300" simplePos="0" relativeHeight="251679744" behindDoc="0" locked="0" layoutInCell="1" allowOverlap="1" wp14:anchorId="03A90C98" wp14:editId="0754DF7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29" w:rsidRDefault="00C52629" w:rsidP="00692334">
      <w:pPr>
        <w:spacing w:after="0"/>
      </w:pPr>
      <w:r>
        <w:separator/>
      </w:r>
    </w:p>
  </w:footnote>
  <w:footnote w:type="continuationSeparator" w:id="0">
    <w:p w:rsidR="00C52629" w:rsidRDefault="00C52629" w:rsidP="00A13B42">
      <w:r>
        <w:continuationSeparator/>
      </w:r>
    </w:p>
    <w:p w:rsidR="00C52629" w:rsidRDefault="00C52629"/>
  </w:footnote>
  <w:footnote w:id="1">
    <w:p w:rsidR="006F6F57" w:rsidRPr="006F6F57" w:rsidRDefault="006F6F57">
      <w:pPr>
        <w:pStyle w:val="Voetnoottekst"/>
        <w:rPr>
          <w:lang w:val="nl-NL"/>
        </w:rPr>
      </w:pPr>
      <w:r>
        <w:rPr>
          <w:rStyle w:val="Voetnootmarkering"/>
        </w:rPr>
        <w:footnoteRef/>
      </w:r>
      <w:r>
        <w:t xml:space="preserve"> </w:t>
      </w:r>
      <w:r>
        <w:rPr>
          <w:lang w:val="nl-NL"/>
        </w:rPr>
        <w:t>Zie verslag</w:t>
      </w:r>
      <w:r w:rsidR="00EE44FD">
        <w:rPr>
          <w:lang w:val="nl-NL"/>
        </w:rPr>
        <w:t>en</w:t>
      </w:r>
      <w:r>
        <w:rPr>
          <w:lang w:val="nl-NL"/>
        </w:rPr>
        <w:t xml:space="preserve"> Raadgevend Comité d.d. </w:t>
      </w:r>
      <w:r w:rsidR="00EE44FD">
        <w:rPr>
          <w:lang w:val="nl-NL"/>
        </w:rPr>
        <w:t>06-07-2021</w:t>
      </w:r>
      <w:r w:rsidR="00FF3FF7">
        <w:rPr>
          <w:lang w:val="nl-NL"/>
        </w:rPr>
        <w:t xml:space="preserve"> (</w:t>
      </w:r>
      <w:r w:rsidR="00EE44FD">
        <w:rPr>
          <w:lang w:val="nl-NL"/>
        </w:rPr>
        <w:t xml:space="preserve">agendapunt </w:t>
      </w:r>
      <w:r w:rsidR="00FF3FF7">
        <w:rPr>
          <w:lang w:val="nl-NL"/>
        </w:rPr>
        <w:t xml:space="preserve">2) </w:t>
      </w:r>
      <w:r w:rsidR="00EE44FD">
        <w:rPr>
          <w:lang w:val="nl-NL"/>
        </w:rPr>
        <w:t xml:space="preserve">en </w:t>
      </w:r>
      <w:r>
        <w:rPr>
          <w:lang w:val="nl-NL"/>
        </w:rPr>
        <w:t>23-09-2021</w:t>
      </w:r>
      <w:r w:rsidR="00FF3FF7">
        <w:rPr>
          <w:lang w:val="nl-NL"/>
        </w:rPr>
        <w:t xml:space="preserve"> (</w:t>
      </w:r>
      <w:r w:rsidR="00B30E7D">
        <w:rPr>
          <w:lang w:val="nl-NL"/>
        </w:rPr>
        <w:t>agendapunt 2</w:t>
      </w:r>
      <w:r w:rsidR="00FF3FF7">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CD7DE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2B08D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559ED2"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A26255"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3"/>
  </w:num>
  <w:num w:numId="11">
    <w:abstractNumId w:val="2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1"/>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18"/>
  </w:num>
  <w:num w:numId="32">
    <w:abstractNumId w:val="26"/>
  </w:num>
  <w:num w:numId="33">
    <w:abstractNumId w:val="30"/>
  </w:num>
  <w:num w:numId="34">
    <w:abstractNumId w:val="20"/>
  </w:num>
  <w:num w:numId="35">
    <w:abstractNumId w:val="16"/>
  </w:num>
  <w:num w:numId="36">
    <w:abstractNumId w:val="11"/>
  </w:num>
  <w:num w:numId="37">
    <w:abstractNumId w:val="22"/>
  </w:num>
  <w:num w:numId="38">
    <w:abstractNumId w:val="29"/>
  </w:num>
  <w:num w:numId="3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6C7"/>
    <w:rsid w:val="000128DC"/>
    <w:rsid w:val="0001596C"/>
    <w:rsid w:val="00021B0E"/>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A0C"/>
    <w:rsid w:val="000D2B5C"/>
    <w:rsid w:val="000D3AF7"/>
    <w:rsid w:val="000D6137"/>
    <w:rsid w:val="000D6F07"/>
    <w:rsid w:val="000D7AC8"/>
    <w:rsid w:val="000E194F"/>
    <w:rsid w:val="000E6994"/>
    <w:rsid w:val="000F0892"/>
    <w:rsid w:val="000F33EB"/>
    <w:rsid w:val="000F5405"/>
    <w:rsid w:val="000F66B6"/>
    <w:rsid w:val="000F6E0E"/>
    <w:rsid w:val="000F7F96"/>
    <w:rsid w:val="001016D4"/>
    <w:rsid w:val="0010260E"/>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63A0A"/>
    <w:rsid w:val="0016548A"/>
    <w:rsid w:val="00166BD1"/>
    <w:rsid w:val="00170705"/>
    <w:rsid w:val="00170ABA"/>
    <w:rsid w:val="00173B33"/>
    <w:rsid w:val="00174964"/>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2284C"/>
    <w:rsid w:val="00224CDD"/>
    <w:rsid w:val="00227F82"/>
    <w:rsid w:val="00231F97"/>
    <w:rsid w:val="00235779"/>
    <w:rsid w:val="00235B85"/>
    <w:rsid w:val="002366E8"/>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A0F86"/>
    <w:rsid w:val="002A0FF7"/>
    <w:rsid w:val="002A1420"/>
    <w:rsid w:val="002A3273"/>
    <w:rsid w:val="002A3918"/>
    <w:rsid w:val="002A5A2F"/>
    <w:rsid w:val="002A5C5F"/>
    <w:rsid w:val="002A744D"/>
    <w:rsid w:val="002A78EA"/>
    <w:rsid w:val="002A7A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6F22"/>
    <w:rsid w:val="00310FC0"/>
    <w:rsid w:val="0031404E"/>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B80"/>
    <w:rsid w:val="00360029"/>
    <w:rsid w:val="00360906"/>
    <w:rsid w:val="003615BE"/>
    <w:rsid w:val="003624A4"/>
    <w:rsid w:val="00363789"/>
    <w:rsid w:val="00363922"/>
    <w:rsid w:val="00363BA9"/>
    <w:rsid w:val="00364D8C"/>
    <w:rsid w:val="00365D6F"/>
    <w:rsid w:val="003671D2"/>
    <w:rsid w:val="00367690"/>
    <w:rsid w:val="0037589A"/>
    <w:rsid w:val="00375D8F"/>
    <w:rsid w:val="003773FF"/>
    <w:rsid w:val="00377867"/>
    <w:rsid w:val="0038008F"/>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ED2"/>
    <w:rsid w:val="004F0930"/>
    <w:rsid w:val="004F2111"/>
    <w:rsid w:val="004F37C3"/>
    <w:rsid w:val="004F4D63"/>
    <w:rsid w:val="004F5E44"/>
    <w:rsid w:val="00501E1B"/>
    <w:rsid w:val="00502F1D"/>
    <w:rsid w:val="00505A62"/>
    <w:rsid w:val="00510245"/>
    <w:rsid w:val="00510B04"/>
    <w:rsid w:val="00511623"/>
    <w:rsid w:val="0051209B"/>
    <w:rsid w:val="00512964"/>
    <w:rsid w:val="005130CB"/>
    <w:rsid w:val="00515342"/>
    <w:rsid w:val="00516E9E"/>
    <w:rsid w:val="00517AB9"/>
    <w:rsid w:val="005217F9"/>
    <w:rsid w:val="00521DA7"/>
    <w:rsid w:val="0052275D"/>
    <w:rsid w:val="0052277C"/>
    <w:rsid w:val="005229D0"/>
    <w:rsid w:val="00523061"/>
    <w:rsid w:val="00523376"/>
    <w:rsid w:val="005250C0"/>
    <w:rsid w:val="00526446"/>
    <w:rsid w:val="00527043"/>
    <w:rsid w:val="00530F48"/>
    <w:rsid w:val="00531847"/>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41E4"/>
    <w:rsid w:val="005F49E8"/>
    <w:rsid w:val="005F4D6D"/>
    <w:rsid w:val="00600CB3"/>
    <w:rsid w:val="006034C3"/>
    <w:rsid w:val="00603926"/>
    <w:rsid w:val="00605D1C"/>
    <w:rsid w:val="00607D3E"/>
    <w:rsid w:val="006102B1"/>
    <w:rsid w:val="00610436"/>
    <w:rsid w:val="00614CAE"/>
    <w:rsid w:val="006158CB"/>
    <w:rsid w:val="00615CE3"/>
    <w:rsid w:val="00616ED4"/>
    <w:rsid w:val="00617615"/>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4212"/>
    <w:rsid w:val="006C74A6"/>
    <w:rsid w:val="006C7E03"/>
    <w:rsid w:val="006D1DF5"/>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B10AB"/>
    <w:rsid w:val="007B1A55"/>
    <w:rsid w:val="007B4CCF"/>
    <w:rsid w:val="007B6EA3"/>
    <w:rsid w:val="007C4A4C"/>
    <w:rsid w:val="007C5493"/>
    <w:rsid w:val="007C72B9"/>
    <w:rsid w:val="007D2303"/>
    <w:rsid w:val="007D3C3A"/>
    <w:rsid w:val="007D5C70"/>
    <w:rsid w:val="007D6E2B"/>
    <w:rsid w:val="007D719E"/>
    <w:rsid w:val="007E2C5B"/>
    <w:rsid w:val="007E6D11"/>
    <w:rsid w:val="007F0B63"/>
    <w:rsid w:val="007F19C7"/>
    <w:rsid w:val="00806ED5"/>
    <w:rsid w:val="00810924"/>
    <w:rsid w:val="00812762"/>
    <w:rsid w:val="00812767"/>
    <w:rsid w:val="008159B7"/>
    <w:rsid w:val="008164DF"/>
    <w:rsid w:val="008235B2"/>
    <w:rsid w:val="008249DA"/>
    <w:rsid w:val="00826647"/>
    <w:rsid w:val="00832A2E"/>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7F98"/>
    <w:rsid w:val="008B48B7"/>
    <w:rsid w:val="008B4FB5"/>
    <w:rsid w:val="008B5462"/>
    <w:rsid w:val="008B561A"/>
    <w:rsid w:val="008B738E"/>
    <w:rsid w:val="008C041B"/>
    <w:rsid w:val="008C1934"/>
    <w:rsid w:val="008C2B0D"/>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3EF2"/>
    <w:rsid w:val="009B40CC"/>
    <w:rsid w:val="009B548C"/>
    <w:rsid w:val="009B6B49"/>
    <w:rsid w:val="009B6B51"/>
    <w:rsid w:val="009C202E"/>
    <w:rsid w:val="009C2FC0"/>
    <w:rsid w:val="009C3980"/>
    <w:rsid w:val="009C647A"/>
    <w:rsid w:val="009C679C"/>
    <w:rsid w:val="009C7A3E"/>
    <w:rsid w:val="009C7B9B"/>
    <w:rsid w:val="009D25D2"/>
    <w:rsid w:val="009D350E"/>
    <w:rsid w:val="009D5384"/>
    <w:rsid w:val="009D72C1"/>
    <w:rsid w:val="009E04AC"/>
    <w:rsid w:val="009E1B13"/>
    <w:rsid w:val="009E2B59"/>
    <w:rsid w:val="009E32A8"/>
    <w:rsid w:val="009E406A"/>
    <w:rsid w:val="009E4B48"/>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B42"/>
    <w:rsid w:val="00A170A3"/>
    <w:rsid w:val="00A17B16"/>
    <w:rsid w:val="00A2382A"/>
    <w:rsid w:val="00A2400A"/>
    <w:rsid w:val="00A25124"/>
    <w:rsid w:val="00A25AAD"/>
    <w:rsid w:val="00A25E31"/>
    <w:rsid w:val="00A27FA3"/>
    <w:rsid w:val="00A33598"/>
    <w:rsid w:val="00A33CF4"/>
    <w:rsid w:val="00A37CCD"/>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52EF"/>
    <w:rsid w:val="00AD18C1"/>
    <w:rsid w:val="00AD1F0B"/>
    <w:rsid w:val="00AD4342"/>
    <w:rsid w:val="00AD45F3"/>
    <w:rsid w:val="00AD5B6B"/>
    <w:rsid w:val="00AE5B74"/>
    <w:rsid w:val="00AE5CB4"/>
    <w:rsid w:val="00AE6B4C"/>
    <w:rsid w:val="00AF318B"/>
    <w:rsid w:val="00AF3D66"/>
    <w:rsid w:val="00AF4888"/>
    <w:rsid w:val="00AF4E36"/>
    <w:rsid w:val="00AF5BB3"/>
    <w:rsid w:val="00AF5E0B"/>
    <w:rsid w:val="00AF6A53"/>
    <w:rsid w:val="00AF7F32"/>
    <w:rsid w:val="00B012F4"/>
    <w:rsid w:val="00B01773"/>
    <w:rsid w:val="00B0301C"/>
    <w:rsid w:val="00B052D1"/>
    <w:rsid w:val="00B0689B"/>
    <w:rsid w:val="00B078D4"/>
    <w:rsid w:val="00B07948"/>
    <w:rsid w:val="00B105B9"/>
    <w:rsid w:val="00B12000"/>
    <w:rsid w:val="00B1230F"/>
    <w:rsid w:val="00B13AE6"/>
    <w:rsid w:val="00B14FDE"/>
    <w:rsid w:val="00B1684F"/>
    <w:rsid w:val="00B200B5"/>
    <w:rsid w:val="00B2051E"/>
    <w:rsid w:val="00B21D4F"/>
    <w:rsid w:val="00B277ED"/>
    <w:rsid w:val="00B30BEE"/>
    <w:rsid w:val="00B30E7D"/>
    <w:rsid w:val="00B32B12"/>
    <w:rsid w:val="00B41D82"/>
    <w:rsid w:val="00B42A0B"/>
    <w:rsid w:val="00B434C3"/>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492A"/>
    <w:rsid w:val="00B868C5"/>
    <w:rsid w:val="00B904F9"/>
    <w:rsid w:val="00B9091A"/>
    <w:rsid w:val="00B90F7F"/>
    <w:rsid w:val="00B92465"/>
    <w:rsid w:val="00B95360"/>
    <w:rsid w:val="00BA003E"/>
    <w:rsid w:val="00BA02F1"/>
    <w:rsid w:val="00BA0A23"/>
    <w:rsid w:val="00BA1AF1"/>
    <w:rsid w:val="00BA28A6"/>
    <w:rsid w:val="00BA4876"/>
    <w:rsid w:val="00BA5397"/>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A62"/>
    <w:rsid w:val="00C35CDA"/>
    <w:rsid w:val="00C35D86"/>
    <w:rsid w:val="00C35FE0"/>
    <w:rsid w:val="00C36397"/>
    <w:rsid w:val="00C365AD"/>
    <w:rsid w:val="00C438A8"/>
    <w:rsid w:val="00C43A0D"/>
    <w:rsid w:val="00C43FAB"/>
    <w:rsid w:val="00C47575"/>
    <w:rsid w:val="00C502E8"/>
    <w:rsid w:val="00C512F3"/>
    <w:rsid w:val="00C52629"/>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472B"/>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D2C"/>
    <w:rsid w:val="00D527B0"/>
    <w:rsid w:val="00D52AB3"/>
    <w:rsid w:val="00D52BC9"/>
    <w:rsid w:val="00D55CAE"/>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123F"/>
    <w:rsid w:val="00DD2107"/>
    <w:rsid w:val="00DD3E3D"/>
    <w:rsid w:val="00DD4523"/>
    <w:rsid w:val="00DE0359"/>
    <w:rsid w:val="00DE2239"/>
    <w:rsid w:val="00DE2756"/>
    <w:rsid w:val="00DE2FAD"/>
    <w:rsid w:val="00DE4D82"/>
    <w:rsid w:val="00DE4D95"/>
    <w:rsid w:val="00DF3441"/>
    <w:rsid w:val="00DF5747"/>
    <w:rsid w:val="00DF66B0"/>
    <w:rsid w:val="00DF7F1B"/>
    <w:rsid w:val="00E00315"/>
    <w:rsid w:val="00E00E43"/>
    <w:rsid w:val="00E0496E"/>
    <w:rsid w:val="00E10219"/>
    <w:rsid w:val="00E133ED"/>
    <w:rsid w:val="00E16403"/>
    <w:rsid w:val="00E17355"/>
    <w:rsid w:val="00E17BFE"/>
    <w:rsid w:val="00E20328"/>
    <w:rsid w:val="00E2042D"/>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A8F"/>
    <w:rsid w:val="00E541ED"/>
    <w:rsid w:val="00E56E36"/>
    <w:rsid w:val="00E57CC6"/>
    <w:rsid w:val="00E61042"/>
    <w:rsid w:val="00E614FA"/>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4FF3"/>
    <w:rsid w:val="00EF6D58"/>
    <w:rsid w:val="00F02B6C"/>
    <w:rsid w:val="00F02E3E"/>
    <w:rsid w:val="00F065B0"/>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32A1"/>
    <w:rsid w:val="00FA3DB5"/>
    <w:rsid w:val="00FB2772"/>
    <w:rsid w:val="00FB31B3"/>
    <w:rsid w:val="00FB632E"/>
    <w:rsid w:val="00FB7D13"/>
    <w:rsid w:val="00FB7DD8"/>
    <w:rsid w:val="00FB7ED9"/>
    <w:rsid w:val="00FC091F"/>
    <w:rsid w:val="00FC3A99"/>
    <w:rsid w:val="00FC7411"/>
    <w:rsid w:val="00FD08CF"/>
    <w:rsid w:val="00FD0D91"/>
    <w:rsid w:val="00FD21B5"/>
    <w:rsid w:val="00FD2664"/>
    <w:rsid w:val="00FD6502"/>
    <w:rsid w:val="00FD7899"/>
    <w:rsid w:val="00FE15EA"/>
    <w:rsid w:val="00FE4812"/>
    <w:rsid w:val="00FE500A"/>
    <w:rsid w:val="00FE5D21"/>
    <w:rsid w:val="00FE6DC6"/>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92734"/>
    <w:rsid w:val="001A4012"/>
    <w:rsid w:val="001A434E"/>
    <w:rsid w:val="001B3C99"/>
    <w:rsid w:val="001C22BF"/>
    <w:rsid w:val="001C7381"/>
    <w:rsid w:val="001D3298"/>
    <w:rsid w:val="001E707C"/>
    <w:rsid w:val="001E7C9A"/>
    <w:rsid w:val="001F63D3"/>
    <w:rsid w:val="001F68B9"/>
    <w:rsid w:val="00234143"/>
    <w:rsid w:val="002848C9"/>
    <w:rsid w:val="002F0C5E"/>
    <w:rsid w:val="002F1726"/>
    <w:rsid w:val="003773E2"/>
    <w:rsid w:val="00391369"/>
    <w:rsid w:val="003969C9"/>
    <w:rsid w:val="003A5043"/>
    <w:rsid w:val="003B533F"/>
    <w:rsid w:val="003B5CEA"/>
    <w:rsid w:val="003C3BE3"/>
    <w:rsid w:val="003E75BC"/>
    <w:rsid w:val="003F6668"/>
    <w:rsid w:val="00406803"/>
    <w:rsid w:val="004634BE"/>
    <w:rsid w:val="00495538"/>
    <w:rsid w:val="004C6896"/>
    <w:rsid w:val="004D2246"/>
    <w:rsid w:val="00572894"/>
    <w:rsid w:val="00595EBB"/>
    <w:rsid w:val="00597471"/>
    <w:rsid w:val="00597598"/>
    <w:rsid w:val="005A1F19"/>
    <w:rsid w:val="005E54EB"/>
    <w:rsid w:val="00663748"/>
    <w:rsid w:val="006920F3"/>
    <w:rsid w:val="006B7BC4"/>
    <w:rsid w:val="006E51DE"/>
    <w:rsid w:val="006F7994"/>
    <w:rsid w:val="00711897"/>
    <w:rsid w:val="007268E5"/>
    <w:rsid w:val="00736685"/>
    <w:rsid w:val="00764B8E"/>
    <w:rsid w:val="00791333"/>
    <w:rsid w:val="007A65BB"/>
    <w:rsid w:val="007B58C2"/>
    <w:rsid w:val="007C200C"/>
    <w:rsid w:val="007E11C1"/>
    <w:rsid w:val="007E55D9"/>
    <w:rsid w:val="007F341E"/>
    <w:rsid w:val="007F6412"/>
    <w:rsid w:val="00822FF3"/>
    <w:rsid w:val="00890E78"/>
    <w:rsid w:val="008E3A13"/>
    <w:rsid w:val="008E6D34"/>
    <w:rsid w:val="008F7777"/>
    <w:rsid w:val="009167E2"/>
    <w:rsid w:val="009B7115"/>
    <w:rsid w:val="009C26E4"/>
    <w:rsid w:val="009C31BF"/>
    <w:rsid w:val="009D6C1D"/>
    <w:rsid w:val="00A87F6A"/>
    <w:rsid w:val="00B30E78"/>
    <w:rsid w:val="00BC1E41"/>
    <w:rsid w:val="00BD1FAD"/>
    <w:rsid w:val="00BF4050"/>
    <w:rsid w:val="00C728A8"/>
    <w:rsid w:val="00CE1CB7"/>
    <w:rsid w:val="00D1763A"/>
    <w:rsid w:val="00D73FA1"/>
    <w:rsid w:val="00DB34E5"/>
    <w:rsid w:val="00DE132C"/>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6AF1-75D5-4C19-8072-4E5F010E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3</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2021-11-03T14:06:00Z</cp:lastPrinted>
  <dcterms:created xsi:type="dcterms:W3CDTF">2021-11-03T14:55:00Z</dcterms:created>
  <dcterms:modified xsi:type="dcterms:W3CDTF">2021-11-03T14:55:00Z</dcterms:modified>
</cp:coreProperties>
</file>