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9" w:rsidRPr="00573E3E" w:rsidRDefault="00181819">
      <w:pPr>
        <w:jc w:val="both"/>
        <w:rPr>
          <w:lang w:val="nl-BE"/>
        </w:rPr>
      </w:pPr>
      <w:bookmarkStart w:id="0" w:name="_GoBack"/>
      <w:bookmarkEnd w:id="0"/>
    </w:p>
    <w:p w:rsidR="00181819" w:rsidRPr="00573E3E" w:rsidRDefault="00182EBE">
      <w:pPr>
        <w:tabs>
          <w:tab w:val="left" w:pos="-1440"/>
          <w:tab w:val="left" w:pos="-720"/>
        </w:tabs>
        <w:jc w:val="both"/>
        <w:rPr>
          <w:spacing w:val="-3"/>
        </w:rPr>
      </w:pPr>
      <w:r w:rsidRPr="00573E3E">
        <w:rPr>
          <w:spacing w:val="-3"/>
          <w:sz w:val="24"/>
        </w:rPr>
        <w:tab/>
      </w:r>
      <w:r w:rsidRPr="00573E3E">
        <w:rPr>
          <w:spacing w:val="-3"/>
          <w:sz w:val="24"/>
        </w:rPr>
        <w:tab/>
      </w:r>
      <w:r w:rsidRPr="00573E3E">
        <w:rPr>
          <w:spacing w:val="-3"/>
          <w:sz w:val="24"/>
        </w:rPr>
        <w:tab/>
      </w:r>
      <w:r w:rsidRPr="00573E3E">
        <w:rPr>
          <w:spacing w:val="-3"/>
          <w:sz w:val="24"/>
        </w:rPr>
        <w:tab/>
      </w:r>
      <w:r w:rsidRPr="00573E3E">
        <w:rPr>
          <w:spacing w:val="-3"/>
          <w:sz w:val="24"/>
        </w:rPr>
        <w:tab/>
      </w:r>
      <w:r w:rsidRPr="00573E3E">
        <w:rPr>
          <w:spacing w:val="-3"/>
          <w:sz w:val="24"/>
        </w:rPr>
        <w:tab/>
      </w:r>
      <w:r w:rsidRPr="00573E3E">
        <w:t>Nummer: INF/MDT/1</w:t>
      </w:r>
      <w:r w:rsidR="00450DD0" w:rsidRPr="00573E3E">
        <w:t>2</w:t>
      </w:r>
      <w:r w:rsidR="008E0664" w:rsidRPr="00573E3E">
        <w:t>15</w:t>
      </w:r>
      <w:r w:rsidRPr="00573E3E">
        <w:rPr>
          <w:spacing w:val="-3"/>
        </w:rPr>
        <w:tab/>
      </w:r>
      <w:r w:rsidRPr="00573E3E">
        <w:rPr>
          <w:spacing w:val="-3"/>
        </w:rPr>
        <w:tab/>
      </w:r>
      <w:r w:rsidRPr="00573E3E">
        <w:rPr>
          <w:spacing w:val="-3"/>
        </w:rPr>
        <w:tab/>
      </w:r>
      <w:r w:rsidRPr="00573E3E">
        <w:rPr>
          <w:spacing w:val="-3"/>
        </w:rPr>
        <w:tab/>
      </w:r>
      <w:r w:rsidRPr="00573E3E">
        <w:rPr>
          <w:spacing w:val="-3"/>
        </w:rPr>
        <w:tab/>
      </w:r>
      <w:r w:rsidRPr="00573E3E">
        <w:rPr>
          <w:spacing w:val="-3"/>
        </w:rPr>
        <w:tab/>
      </w:r>
    </w:p>
    <w:p w:rsidR="00181819" w:rsidRPr="00573E3E" w:rsidRDefault="00181819">
      <w:pPr>
        <w:tabs>
          <w:tab w:val="left" w:pos="-1440"/>
          <w:tab w:val="left" w:pos="-720"/>
        </w:tabs>
        <w:jc w:val="both"/>
        <w:rPr>
          <w:spacing w:val="-3"/>
        </w:rPr>
      </w:pPr>
    </w:p>
    <w:p w:rsidR="00181819" w:rsidRPr="00573E3E" w:rsidRDefault="00182EBE">
      <w:pPr>
        <w:tabs>
          <w:tab w:val="left" w:pos="-1440"/>
          <w:tab w:val="left" w:pos="-720"/>
        </w:tabs>
        <w:jc w:val="both"/>
        <w:rPr>
          <w:spacing w:val="-3"/>
        </w:rPr>
      </w:pPr>
      <w:r w:rsidRPr="00573E3E">
        <w:rPr>
          <w:spacing w:val="-3"/>
        </w:rPr>
        <w:tab/>
      </w:r>
      <w:r w:rsidRPr="00573E3E">
        <w:rPr>
          <w:spacing w:val="-3"/>
        </w:rPr>
        <w:tab/>
      </w:r>
      <w:r w:rsidRPr="00573E3E">
        <w:rPr>
          <w:spacing w:val="-3"/>
        </w:rPr>
        <w:tab/>
      </w:r>
      <w:r w:rsidRPr="00573E3E">
        <w:rPr>
          <w:spacing w:val="-3"/>
        </w:rPr>
        <w:tab/>
      </w:r>
      <w:r w:rsidRPr="00573E3E">
        <w:rPr>
          <w:spacing w:val="-3"/>
        </w:rPr>
        <w:tab/>
      </w:r>
      <w:r w:rsidRPr="00573E3E">
        <w:rPr>
          <w:spacing w:val="-3"/>
        </w:rPr>
        <w:tab/>
        <w:t xml:space="preserve">Brussel,  </w:t>
      </w:r>
      <w:r w:rsidR="00450DD0" w:rsidRPr="00573E3E">
        <w:rPr>
          <w:spacing w:val="-3"/>
        </w:rPr>
        <w:t xml:space="preserve"> </w:t>
      </w:r>
      <w:r w:rsidR="00D73E87" w:rsidRPr="00573E3E">
        <w:rPr>
          <w:spacing w:val="-3"/>
        </w:rPr>
        <w:t>27</w:t>
      </w:r>
      <w:r w:rsidR="008E0664" w:rsidRPr="00573E3E">
        <w:rPr>
          <w:spacing w:val="-3"/>
        </w:rPr>
        <w:t xml:space="preserve"> september </w:t>
      </w:r>
      <w:r w:rsidR="00450DD0" w:rsidRPr="00573E3E">
        <w:rPr>
          <w:spacing w:val="-3"/>
        </w:rPr>
        <w:t>2012</w:t>
      </w:r>
    </w:p>
    <w:p w:rsidR="00181819" w:rsidRPr="00573E3E" w:rsidRDefault="00181819">
      <w:pPr>
        <w:tabs>
          <w:tab w:val="left" w:pos="-1440"/>
          <w:tab w:val="left" w:pos="-720"/>
        </w:tabs>
        <w:jc w:val="both"/>
        <w:rPr>
          <w:spacing w:val="-3"/>
          <w:sz w:val="24"/>
        </w:rPr>
      </w:pPr>
    </w:p>
    <w:p w:rsidR="00181819" w:rsidRPr="00573E3E" w:rsidRDefault="00181819">
      <w:pPr>
        <w:tabs>
          <w:tab w:val="left" w:pos="-1440"/>
          <w:tab w:val="left" w:pos="-720"/>
        </w:tabs>
        <w:jc w:val="both"/>
        <w:rPr>
          <w:spacing w:val="-3"/>
          <w:sz w:val="24"/>
        </w:rPr>
      </w:pPr>
    </w:p>
    <w:p w:rsidR="00181819" w:rsidRPr="00573E3E" w:rsidRDefault="00181819">
      <w:pPr>
        <w:tabs>
          <w:tab w:val="left" w:pos="-1440"/>
          <w:tab w:val="left" w:pos="-720"/>
        </w:tabs>
        <w:jc w:val="both"/>
        <w:rPr>
          <w:spacing w:val="-3"/>
          <w:sz w:val="24"/>
        </w:rPr>
      </w:pPr>
    </w:p>
    <w:p w:rsidR="00181819" w:rsidRPr="00573E3E" w:rsidRDefault="00182EBE">
      <w:pPr>
        <w:tabs>
          <w:tab w:val="left" w:pos="-1440"/>
          <w:tab w:val="left" w:pos="-720"/>
          <w:tab w:val="left" w:pos="0"/>
          <w:tab w:val="left" w:pos="720"/>
          <w:tab w:val="left" w:pos="1440"/>
          <w:tab w:val="left" w:pos="2160"/>
          <w:tab w:val="left" w:pos="4111"/>
          <w:tab w:val="left" w:pos="4253"/>
        </w:tabs>
        <w:ind w:left="4253" w:hanging="3593"/>
        <w:jc w:val="both"/>
        <w:rPr>
          <w:b/>
          <w:spacing w:val="-3"/>
        </w:rPr>
      </w:pPr>
      <w:r w:rsidRPr="00573E3E">
        <w:rPr>
          <w:spacing w:val="-3"/>
          <w:sz w:val="24"/>
        </w:rPr>
        <w:tab/>
      </w:r>
      <w:r w:rsidRPr="00573E3E">
        <w:rPr>
          <w:spacing w:val="-3"/>
          <w:sz w:val="24"/>
        </w:rPr>
        <w:tab/>
      </w:r>
      <w:r w:rsidRPr="00573E3E">
        <w:rPr>
          <w:spacing w:val="-3"/>
          <w:sz w:val="24"/>
        </w:rPr>
        <w:tab/>
      </w:r>
      <w:r w:rsidRPr="00573E3E">
        <w:rPr>
          <w:spacing w:val="-3"/>
          <w:sz w:val="24"/>
        </w:rPr>
        <w:tab/>
      </w:r>
      <w:r w:rsidRPr="00573E3E">
        <w:rPr>
          <w:b/>
          <w:spacing w:val="-3"/>
          <w:sz w:val="24"/>
        </w:rPr>
        <w:tab/>
      </w:r>
      <w:r w:rsidRPr="00573E3E">
        <w:rPr>
          <w:b/>
          <w:spacing w:val="-3"/>
        </w:rPr>
        <w:t>Aan de instanties die erkend zijn om multidisciplinaire verslagen af te leveren</w:t>
      </w:r>
    </w:p>
    <w:p w:rsidR="00181819" w:rsidRPr="00573E3E" w:rsidRDefault="00181819">
      <w:pPr>
        <w:tabs>
          <w:tab w:val="left" w:pos="-1440"/>
          <w:tab w:val="left" w:pos="-720"/>
          <w:tab w:val="left" w:pos="0"/>
          <w:tab w:val="left" w:pos="720"/>
          <w:tab w:val="left" w:pos="1440"/>
          <w:tab w:val="left" w:pos="2160"/>
          <w:tab w:val="left" w:pos="4111"/>
          <w:tab w:val="left" w:pos="4253"/>
        </w:tabs>
        <w:ind w:left="3540" w:hanging="2880"/>
        <w:jc w:val="both"/>
        <w:rPr>
          <w:b/>
          <w:spacing w:val="-3"/>
        </w:rPr>
      </w:pPr>
    </w:p>
    <w:p w:rsidR="00181819" w:rsidRPr="00573E3E" w:rsidRDefault="00182EBE">
      <w:pPr>
        <w:ind w:left="4248"/>
        <w:jc w:val="both"/>
        <w:rPr>
          <w:b/>
          <w:spacing w:val="-3"/>
        </w:rPr>
      </w:pPr>
      <w:r w:rsidRPr="00573E3E">
        <w:rPr>
          <w:b/>
          <w:spacing w:val="-3"/>
        </w:rPr>
        <w:t>Aan de voorzitter en de leden van de permanente werkgroep “Inschrijvingen en Evaluaties” en “Individuele Materiële Bijstand en Universal Design”</w:t>
      </w:r>
    </w:p>
    <w:p w:rsidR="00181819" w:rsidRPr="00573E3E" w:rsidRDefault="00181819">
      <w:pPr>
        <w:jc w:val="both"/>
        <w:rPr>
          <w:b/>
          <w:spacing w:val="-3"/>
        </w:rPr>
      </w:pPr>
    </w:p>
    <w:p w:rsidR="00181819" w:rsidRPr="00573E3E" w:rsidRDefault="00182EBE">
      <w:pPr>
        <w:ind w:left="4248"/>
        <w:jc w:val="both"/>
        <w:rPr>
          <w:b/>
          <w:spacing w:val="-3"/>
        </w:rPr>
      </w:pPr>
      <w:r w:rsidRPr="00573E3E">
        <w:rPr>
          <w:b/>
          <w:spacing w:val="-3"/>
        </w:rPr>
        <w:t>Aan de voorzitter en de leden van de Bijzondere Bijstandscommissie</w:t>
      </w:r>
    </w:p>
    <w:p w:rsidR="00181819" w:rsidRPr="00573E3E" w:rsidRDefault="00181819">
      <w:pPr>
        <w:jc w:val="both"/>
        <w:rPr>
          <w:b/>
          <w:spacing w:val="-3"/>
        </w:rPr>
      </w:pPr>
    </w:p>
    <w:p w:rsidR="00181819" w:rsidRPr="00573E3E" w:rsidRDefault="00182EBE">
      <w:pPr>
        <w:ind w:left="4248"/>
        <w:jc w:val="both"/>
        <w:rPr>
          <w:b/>
          <w:spacing w:val="-3"/>
        </w:rPr>
      </w:pPr>
      <w:r w:rsidRPr="00573E3E">
        <w:rPr>
          <w:b/>
          <w:spacing w:val="-3"/>
        </w:rPr>
        <w:t>Aan de organisaties die erkend zijn om de Personen met een handicap of hun gezinnen te vertegenwoordigen</w:t>
      </w:r>
    </w:p>
    <w:p w:rsidR="00181819" w:rsidRPr="00573E3E" w:rsidRDefault="00181819">
      <w:pPr>
        <w:jc w:val="both"/>
        <w:rPr>
          <w:b/>
          <w:spacing w:val="-3"/>
        </w:rPr>
      </w:pPr>
    </w:p>
    <w:p w:rsidR="00181819" w:rsidRPr="00573E3E" w:rsidRDefault="00182EBE">
      <w:pPr>
        <w:ind w:left="4248"/>
        <w:jc w:val="both"/>
        <w:rPr>
          <w:b/>
          <w:spacing w:val="-3"/>
        </w:rPr>
      </w:pPr>
      <w:r w:rsidRPr="00573E3E">
        <w:rPr>
          <w:b/>
          <w:spacing w:val="-3"/>
        </w:rPr>
        <w:t>Aan de voorzitter en de leden van de Provinciale Evaluatiecommissies en de Adviescommissies</w:t>
      </w:r>
    </w:p>
    <w:p w:rsidR="00181819" w:rsidRPr="00573E3E" w:rsidRDefault="00181819">
      <w:pPr>
        <w:jc w:val="both"/>
        <w:rPr>
          <w:b/>
          <w:spacing w:val="-3"/>
        </w:rPr>
      </w:pPr>
    </w:p>
    <w:p w:rsidR="00181819" w:rsidRPr="00573E3E" w:rsidRDefault="00182EBE">
      <w:pPr>
        <w:ind w:left="4245"/>
        <w:jc w:val="both"/>
        <w:rPr>
          <w:b/>
          <w:spacing w:val="-3"/>
        </w:rPr>
      </w:pPr>
      <w:r w:rsidRPr="00573E3E">
        <w:rPr>
          <w:b/>
          <w:spacing w:val="-3"/>
        </w:rPr>
        <w:tab/>
        <w:t>Aan de experts voor gespecialiseerd</w:t>
      </w:r>
      <w:r w:rsidR="00B54731">
        <w:rPr>
          <w:b/>
          <w:spacing w:val="-3"/>
        </w:rPr>
        <w:t>e persoonlijke adviesverlening</w:t>
      </w:r>
    </w:p>
    <w:p w:rsidR="00181819" w:rsidRPr="00573E3E" w:rsidRDefault="00182EBE">
      <w:pPr>
        <w:jc w:val="both"/>
      </w:pPr>
      <w:r w:rsidRPr="00573E3E">
        <w:tab/>
      </w:r>
      <w:r w:rsidRPr="00573E3E">
        <w:tab/>
      </w:r>
      <w:r w:rsidRPr="00573E3E">
        <w:tab/>
      </w:r>
      <w:r w:rsidRPr="00573E3E">
        <w:tab/>
      </w:r>
      <w:r w:rsidRPr="00573E3E">
        <w:tab/>
      </w:r>
    </w:p>
    <w:p w:rsidR="00181819" w:rsidRPr="00573E3E" w:rsidRDefault="00182EBE">
      <w:pPr>
        <w:pStyle w:val="Kop5"/>
        <w:rPr>
          <w:rFonts w:ascii="Trebuchet MS" w:hAnsi="Trebuchet MS"/>
        </w:rPr>
      </w:pPr>
      <w:r w:rsidRPr="00573E3E">
        <w:rPr>
          <w:rFonts w:ascii="Trebuchet MS" w:hAnsi="Trebuchet MS"/>
          <w:sz w:val="20"/>
        </w:rPr>
        <w:tab/>
      </w:r>
      <w:r w:rsidRPr="00573E3E">
        <w:rPr>
          <w:rFonts w:ascii="Trebuchet MS" w:hAnsi="Trebuchet MS"/>
          <w:sz w:val="20"/>
        </w:rPr>
        <w:tab/>
      </w:r>
      <w:r w:rsidR="00B11860" w:rsidRPr="00573E3E">
        <w:rPr>
          <w:rFonts w:ascii="Trebuchet MS" w:hAnsi="Trebuchet MS"/>
          <w:sz w:val="20"/>
        </w:rPr>
        <w:tab/>
      </w:r>
      <w:r w:rsidR="00B11860" w:rsidRPr="00573E3E">
        <w:rPr>
          <w:rFonts w:ascii="Trebuchet MS" w:hAnsi="Trebuchet MS"/>
          <w:sz w:val="20"/>
        </w:rPr>
        <w:tab/>
      </w:r>
      <w:r w:rsidR="00B11860" w:rsidRPr="00573E3E">
        <w:rPr>
          <w:rFonts w:ascii="Trebuchet MS" w:hAnsi="Trebuchet MS"/>
          <w:sz w:val="20"/>
        </w:rPr>
        <w:tab/>
      </w:r>
      <w:r w:rsidR="00B11860" w:rsidRPr="00573E3E">
        <w:rPr>
          <w:rFonts w:ascii="Trebuchet MS" w:hAnsi="Trebuchet MS"/>
          <w:sz w:val="20"/>
        </w:rPr>
        <w:tab/>
        <w:t>Aan zorginspectie</w:t>
      </w:r>
    </w:p>
    <w:p w:rsidR="00181819" w:rsidRPr="00573E3E" w:rsidRDefault="00181819">
      <w:pPr>
        <w:jc w:val="both"/>
        <w:rPr>
          <w:sz w:val="16"/>
        </w:rPr>
      </w:pPr>
    </w:p>
    <w:p w:rsidR="00181819" w:rsidRPr="00573E3E" w:rsidRDefault="00181819">
      <w:pPr>
        <w:jc w:val="both"/>
        <w:rPr>
          <w:sz w:val="16"/>
        </w:rPr>
      </w:pPr>
    </w:p>
    <w:p w:rsidR="00181819" w:rsidRPr="00573E3E" w:rsidRDefault="00181819">
      <w:pPr>
        <w:jc w:val="both"/>
        <w:rPr>
          <w:sz w:val="16"/>
        </w:rPr>
      </w:pPr>
    </w:p>
    <w:p w:rsidR="004D1F61" w:rsidRPr="00573E3E" w:rsidRDefault="004D1F61" w:rsidP="004D1F61">
      <w:pPr>
        <w:rPr>
          <w:sz w:val="16"/>
        </w:rPr>
      </w:pPr>
      <w:r w:rsidRPr="00573E3E">
        <w:rPr>
          <w:sz w:val="16"/>
        </w:rPr>
        <w:t xml:space="preserve">Vragen naar: </w:t>
      </w:r>
    </w:p>
    <w:p w:rsidR="008E0664" w:rsidRPr="00573E3E" w:rsidRDefault="008E0664" w:rsidP="008E0664">
      <w:pPr>
        <w:rPr>
          <w:sz w:val="16"/>
          <w:lang w:val="fr-FR"/>
        </w:rPr>
      </w:pPr>
      <w:r w:rsidRPr="00573E3E">
        <w:rPr>
          <w:sz w:val="16"/>
          <w:lang w:val="fr-FR"/>
        </w:rPr>
        <w:t xml:space="preserve">Femke Duquet, T 02 225 84 27, e-mail : </w:t>
      </w:r>
      <w:hyperlink r:id="rId8" w:history="1">
        <w:r w:rsidRPr="00573E3E">
          <w:rPr>
            <w:rStyle w:val="Hyperlink"/>
            <w:sz w:val="16"/>
            <w:szCs w:val="16"/>
            <w:lang w:val="nl-BE"/>
          </w:rPr>
          <w:t>Femke.duquet</w:t>
        </w:r>
        <w:r w:rsidRPr="00573E3E">
          <w:rPr>
            <w:rStyle w:val="Hyperlink"/>
            <w:sz w:val="16"/>
            <w:szCs w:val="16"/>
            <w:lang w:val="fr-FR"/>
          </w:rPr>
          <w:t>@vaph.be</w:t>
        </w:r>
      </w:hyperlink>
    </w:p>
    <w:p w:rsidR="008E0664" w:rsidRPr="00573E3E" w:rsidRDefault="008E0664" w:rsidP="008E0664">
      <w:pPr>
        <w:jc w:val="both"/>
        <w:rPr>
          <w:sz w:val="16"/>
          <w:lang w:val="fr-FR"/>
        </w:rPr>
      </w:pPr>
      <w:r w:rsidRPr="00573E3E">
        <w:rPr>
          <w:sz w:val="16"/>
          <w:lang w:val="fr-FR"/>
        </w:rPr>
        <w:t xml:space="preserve">Dorin De Vis, T 02 225 86 44, e-mail : </w:t>
      </w:r>
      <w:hyperlink r:id="rId9" w:history="1">
        <w:r w:rsidRPr="00573E3E">
          <w:rPr>
            <w:rStyle w:val="Hyperlink"/>
            <w:sz w:val="16"/>
            <w:lang w:val="fr-FR"/>
          </w:rPr>
          <w:t>Dorin.devis@vaph.be</w:t>
        </w:r>
      </w:hyperlink>
    </w:p>
    <w:p w:rsidR="00181819" w:rsidRPr="00573E3E" w:rsidRDefault="00181819">
      <w:pPr>
        <w:jc w:val="both"/>
        <w:rPr>
          <w:sz w:val="16"/>
          <w:lang w:val="fr-FR"/>
        </w:rPr>
      </w:pPr>
    </w:p>
    <w:p w:rsidR="00181819" w:rsidRPr="00573E3E" w:rsidRDefault="00182EBE">
      <w:pPr>
        <w:jc w:val="both"/>
        <w:rPr>
          <w:b/>
          <w:spacing w:val="-3"/>
          <w:sz w:val="24"/>
          <w:lang w:val="nl-BE"/>
        </w:rPr>
      </w:pPr>
      <w:r w:rsidRPr="00573E3E">
        <w:rPr>
          <w:b/>
          <w:spacing w:val="-3"/>
          <w:lang w:val="nl-BE"/>
        </w:rPr>
        <w:t xml:space="preserve">Betreft : </w:t>
      </w:r>
      <w:r w:rsidR="00551259" w:rsidRPr="00573E3E">
        <w:rPr>
          <w:b/>
          <w:spacing w:val="-3"/>
          <w:lang w:val="nl-BE"/>
        </w:rPr>
        <w:t>wijzigingen aan de inschrijvingsprocedure van het VAPH</w:t>
      </w:r>
    </w:p>
    <w:p w:rsidR="00181819" w:rsidRPr="00573E3E" w:rsidRDefault="00181819">
      <w:pPr>
        <w:jc w:val="both"/>
        <w:rPr>
          <w:b/>
          <w:spacing w:val="-3"/>
          <w:sz w:val="24"/>
          <w:lang w:val="nl-BE"/>
        </w:rPr>
      </w:pPr>
    </w:p>
    <w:p w:rsidR="00181819" w:rsidRPr="00573E3E" w:rsidRDefault="00182EBE">
      <w:pPr>
        <w:jc w:val="both"/>
        <w:rPr>
          <w:bCs/>
          <w:spacing w:val="-3"/>
        </w:rPr>
      </w:pPr>
      <w:r w:rsidRPr="00573E3E">
        <w:rPr>
          <w:bCs/>
          <w:spacing w:val="-3"/>
        </w:rPr>
        <w:t>Geachte mevrouw</w:t>
      </w:r>
    </w:p>
    <w:p w:rsidR="00181819" w:rsidRPr="00573E3E" w:rsidRDefault="00182EBE">
      <w:pPr>
        <w:pStyle w:val="Koptekst"/>
        <w:tabs>
          <w:tab w:val="clear" w:pos="4536"/>
          <w:tab w:val="clear" w:pos="9072"/>
        </w:tabs>
        <w:jc w:val="both"/>
        <w:rPr>
          <w:bCs/>
          <w:spacing w:val="-3"/>
        </w:rPr>
      </w:pPr>
      <w:r w:rsidRPr="00573E3E">
        <w:rPr>
          <w:bCs/>
          <w:spacing w:val="-3"/>
        </w:rPr>
        <w:t>Geachte heer</w:t>
      </w:r>
    </w:p>
    <w:p w:rsidR="002E779B" w:rsidRPr="00573E3E" w:rsidRDefault="002E779B">
      <w:pPr>
        <w:pStyle w:val="Koptekst"/>
        <w:tabs>
          <w:tab w:val="clear" w:pos="4536"/>
          <w:tab w:val="clear" w:pos="9072"/>
        </w:tabs>
        <w:jc w:val="both"/>
        <w:rPr>
          <w:bCs/>
          <w:spacing w:val="-3"/>
        </w:rPr>
      </w:pP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eastAsia="nl-BE"/>
        </w:rPr>
      </w:pPr>
      <w:r w:rsidRPr="00573E3E">
        <w:rPr>
          <w:rFonts w:cs="Helv"/>
          <w:color w:val="000000"/>
          <w:szCs w:val="20"/>
          <w:lang w:eastAsia="nl-BE"/>
        </w:rPr>
        <w:t xml:space="preserve">Op 20 juli 2012 heeft de Vlaamse Regering een besluit goedgekeurd dat een aantal </w:t>
      </w:r>
      <w:r w:rsidR="00E7116B" w:rsidRPr="00573E3E">
        <w:rPr>
          <w:rFonts w:cs="Helv"/>
          <w:color w:val="000000"/>
          <w:szCs w:val="20"/>
          <w:lang w:eastAsia="nl-BE"/>
        </w:rPr>
        <w:t xml:space="preserve">wijzigingen </w:t>
      </w:r>
      <w:r w:rsidRPr="00573E3E">
        <w:rPr>
          <w:rFonts w:cs="Helv"/>
          <w:color w:val="000000"/>
          <w:szCs w:val="20"/>
          <w:lang w:eastAsia="nl-BE"/>
        </w:rPr>
        <w:t xml:space="preserve"> voorstelt aan de inschrijvingsprocedure bij het VAPH. Meer bepaald gaat het om een </w:t>
      </w:r>
      <w:r w:rsidR="00FD1629">
        <w:rPr>
          <w:rFonts w:cs="Helv"/>
          <w:color w:val="000000"/>
          <w:szCs w:val="20"/>
          <w:lang w:eastAsia="nl-BE"/>
        </w:rPr>
        <w:t xml:space="preserve">aanpassing </w:t>
      </w:r>
      <w:r w:rsidR="00E7116B" w:rsidRPr="00573E3E">
        <w:rPr>
          <w:rFonts w:cs="Helv"/>
          <w:color w:val="000000"/>
          <w:szCs w:val="20"/>
          <w:lang w:eastAsia="nl-BE"/>
        </w:rPr>
        <w:t>v</w:t>
      </w:r>
      <w:r w:rsidRPr="00573E3E">
        <w:rPr>
          <w:rFonts w:cs="Helv"/>
          <w:color w:val="000000"/>
          <w:szCs w:val="20"/>
          <w:lang w:eastAsia="nl-BE"/>
        </w:rPr>
        <w:t>an h</w:t>
      </w:r>
      <w:r w:rsidRPr="00573E3E">
        <w:rPr>
          <w:rFonts w:cs="Helv"/>
          <w:color w:val="000000"/>
          <w:szCs w:val="20"/>
          <w:lang w:val="nl-BE" w:eastAsia="nl-BE"/>
        </w:rPr>
        <w:t xml:space="preserve">et </w:t>
      </w:r>
      <w:r w:rsidRPr="00573E3E">
        <w:rPr>
          <w:bCs/>
          <w:spacing w:val="-3"/>
        </w:rPr>
        <w:t xml:space="preserve">Besluit van de Vlaamse regering </w:t>
      </w:r>
      <w:r w:rsidRPr="00573E3E">
        <w:rPr>
          <w:rFonts w:cs="Helv"/>
          <w:color w:val="000000"/>
          <w:szCs w:val="20"/>
          <w:lang w:val="nl-BE" w:eastAsia="nl-BE"/>
        </w:rPr>
        <w:t xml:space="preserve"> </w:t>
      </w:r>
      <w:r w:rsidRPr="00573E3E">
        <w:rPr>
          <w:bCs/>
          <w:spacing w:val="-3"/>
        </w:rPr>
        <w:t>van 24 juli 1991 betreffende de inschrijving bij het Vlaams Agentschap voor Personen met een Handicap</w:t>
      </w:r>
      <w:r w:rsidRPr="00573E3E">
        <w:rPr>
          <w:rFonts w:cs="Helv"/>
          <w:color w:val="000000"/>
          <w:szCs w:val="20"/>
          <w:lang w:val="nl-BE" w:eastAsia="nl-BE"/>
        </w:rPr>
        <w:t>, door</w:t>
      </w:r>
      <w:r w:rsidR="00E7116B" w:rsidRPr="00573E3E">
        <w:rPr>
          <w:rFonts w:cs="Helv"/>
          <w:color w:val="000000"/>
          <w:szCs w:val="20"/>
          <w:lang w:val="nl-BE" w:eastAsia="nl-BE"/>
        </w:rPr>
        <w:t xml:space="preserve"> de meesten gekend </w:t>
      </w:r>
      <w:r w:rsidRPr="00573E3E">
        <w:rPr>
          <w:rFonts w:cs="Helv"/>
          <w:color w:val="000000"/>
          <w:szCs w:val="20"/>
          <w:lang w:val="nl-BE" w:eastAsia="nl-BE"/>
        </w:rPr>
        <w:t>onder de naam “inschrijvingsbesluit”.</w:t>
      </w: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u w:val="single"/>
          <w:lang w:val="nl-BE" w:eastAsia="nl-BE"/>
        </w:rPr>
      </w:pPr>
      <w:r w:rsidRPr="00573E3E">
        <w:rPr>
          <w:rFonts w:cs="Helv"/>
          <w:color w:val="000000"/>
          <w:szCs w:val="20"/>
          <w:lang w:val="nl-BE" w:eastAsia="nl-BE"/>
        </w:rPr>
        <w:t xml:space="preserve">Dit besluit zal van toepassing zijn op </w:t>
      </w:r>
      <w:r w:rsidR="00FD1629">
        <w:rPr>
          <w:rFonts w:cs="Helv"/>
          <w:color w:val="000000"/>
          <w:szCs w:val="20"/>
          <w:lang w:val="nl-BE" w:eastAsia="nl-BE"/>
        </w:rPr>
        <w:t>alle</w:t>
      </w:r>
      <w:r w:rsidRPr="00573E3E">
        <w:rPr>
          <w:rFonts w:cs="Helv"/>
          <w:color w:val="000000"/>
          <w:szCs w:val="20"/>
          <w:lang w:val="nl-BE" w:eastAsia="nl-BE"/>
        </w:rPr>
        <w:t xml:space="preserve"> aanvragen tot ondersteuning die bij het agentschap worden ingediend </w:t>
      </w:r>
      <w:r w:rsidRPr="00573E3E">
        <w:rPr>
          <w:rFonts w:cs="Helv"/>
          <w:color w:val="000000"/>
          <w:szCs w:val="20"/>
          <w:u w:val="single"/>
          <w:lang w:val="nl-BE" w:eastAsia="nl-BE"/>
        </w:rPr>
        <w:t>vanaf 1 oktober 2012.</w:t>
      </w: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 xml:space="preserve">In deze nota wensen we jullie op de hoogte te brengen van de belangrijkste wijzigingen op het vlak van de inschrijvingsprocedure </w:t>
      </w:r>
      <w:r w:rsidR="00E7116B" w:rsidRPr="00573E3E">
        <w:rPr>
          <w:rFonts w:cs="Helv"/>
          <w:color w:val="000000"/>
          <w:szCs w:val="20"/>
          <w:lang w:val="nl-BE" w:eastAsia="nl-BE"/>
        </w:rPr>
        <w:t>voor jullie werking als multidisciplinair team (MDT).</w:t>
      </w: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E7116B" w:rsidRPr="00573E3E" w:rsidRDefault="00E7116B">
      <w:pPr>
        <w:rPr>
          <w:rFonts w:cs="Helv"/>
          <w:color w:val="000000"/>
          <w:szCs w:val="20"/>
          <w:lang w:val="nl-BE" w:eastAsia="nl-BE"/>
        </w:rPr>
      </w:pPr>
      <w:r w:rsidRPr="00573E3E">
        <w:rPr>
          <w:rFonts w:cs="Helv"/>
          <w:color w:val="000000"/>
          <w:szCs w:val="20"/>
          <w:lang w:val="nl-BE" w:eastAsia="nl-BE"/>
        </w:rPr>
        <w:br w:type="page"/>
      </w:r>
    </w:p>
    <w:p w:rsidR="00E7116B" w:rsidRPr="00573E3E" w:rsidRDefault="00E7116B" w:rsidP="000A3238">
      <w:pPr>
        <w:pStyle w:val="Kop6"/>
        <w:numPr>
          <w:ilvl w:val="0"/>
          <w:numId w:val="6"/>
        </w:numPr>
        <w:rPr>
          <w:lang w:val="nl-BE" w:eastAsia="nl-BE"/>
        </w:rPr>
      </w:pPr>
      <w:r w:rsidRPr="00573E3E">
        <w:rPr>
          <w:lang w:val="nl-BE" w:eastAsia="nl-BE"/>
        </w:rPr>
        <w:lastRenderedPageBreak/>
        <w:t>Datum tenlasteneming</w:t>
      </w:r>
    </w:p>
    <w:p w:rsidR="00E7116B" w:rsidRPr="00573E3E" w:rsidRDefault="00E7116B"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573E3E" w:rsidRDefault="000A3238"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De belangrijkste wijziging voor jullie werking</w:t>
      </w:r>
      <w:r w:rsidR="00551259" w:rsidRPr="00573E3E">
        <w:rPr>
          <w:rFonts w:cs="Helv"/>
          <w:color w:val="000000"/>
          <w:szCs w:val="20"/>
          <w:lang w:val="nl-BE" w:eastAsia="nl-BE"/>
        </w:rPr>
        <w:t xml:space="preserve"> is de aanpassing van de procedure om de datum tenlasteneming te bepalen. </w:t>
      </w:r>
    </w:p>
    <w:p w:rsidR="000A3238" w:rsidRPr="00573E3E" w:rsidRDefault="000A3238"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0A3238" w:rsidRPr="00573E3E" w:rsidRDefault="000A3238" w:rsidP="000A3238">
      <w:r w:rsidRPr="00573E3E">
        <w:t xml:space="preserve">De </w:t>
      </w:r>
      <w:r w:rsidR="00B54731">
        <w:t>oude</w:t>
      </w:r>
      <w:r w:rsidRPr="00573E3E">
        <w:t xml:space="preserve"> procedure om de datum van de tenlasteneming door het VAPH te bepalen was zeer complex. Het was bovendien </w:t>
      </w:r>
      <w:r w:rsidR="00966105" w:rsidRPr="00573E3E">
        <w:t>niet altijd</w:t>
      </w:r>
      <w:r w:rsidRPr="00573E3E">
        <w:t xml:space="preserve"> haalbaar voor </w:t>
      </w:r>
      <w:r w:rsidR="00FD1629">
        <w:t xml:space="preserve">multidisciplinaire </w:t>
      </w:r>
      <w:r w:rsidRPr="00573E3E">
        <w:t xml:space="preserve">teams om </w:t>
      </w:r>
      <w:r w:rsidR="00966105" w:rsidRPr="00573E3E">
        <w:t>de nodige verslagen tijdig in te dienen met behoud van de oorspronkelijke datum tenlasteneming waardoor de aanvrager soms in de problemen kwam.</w:t>
      </w:r>
    </w:p>
    <w:p w:rsidR="00966105" w:rsidRPr="00573E3E" w:rsidRDefault="00966105" w:rsidP="000A3238"/>
    <w:p w:rsidR="000A3238" w:rsidRDefault="00966105" w:rsidP="000A3238">
      <w:r w:rsidRPr="00573E3E">
        <w:t xml:space="preserve">De procedure is daarom gewijzigd naar </w:t>
      </w:r>
      <w:r w:rsidR="000A3238" w:rsidRPr="00573E3E">
        <w:t xml:space="preserve">een </w:t>
      </w:r>
      <w:r w:rsidRPr="00573E3E">
        <w:t xml:space="preserve">meer realistische en meer </w:t>
      </w:r>
      <w:r w:rsidR="000A3238" w:rsidRPr="00573E3E">
        <w:t>doorzichtige procedure die een administratieve vereenvoudigin</w:t>
      </w:r>
      <w:r w:rsidRPr="00573E3E">
        <w:t>g betekent</w:t>
      </w:r>
      <w:r w:rsidR="00FD1629">
        <w:t>,</w:t>
      </w:r>
      <w:r w:rsidRPr="00573E3E">
        <w:t xml:space="preserve"> zowel voor het VAPH </w:t>
      </w:r>
      <w:r w:rsidR="000A3238" w:rsidRPr="00573E3E">
        <w:t>als voor de multidisciplinaire teams</w:t>
      </w:r>
      <w:r w:rsidR="00B54731">
        <w:t>.</w:t>
      </w:r>
      <w:r w:rsidR="000A3238" w:rsidRPr="00573E3E">
        <w:t xml:space="preserve"> </w:t>
      </w:r>
    </w:p>
    <w:p w:rsidR="00FD0A74" w:rsidRDefault="00FD0A74" w:rsidP="000A3238"/>
    <w:p w:rsidR="00FD0A74" w:rsidRPr="00FD0A74" w:rsidRDefault="00FD0A74" w:rsidP="00FD0A74">
      <w:pPr>
        <w:rPr>
          <w:rFonts w:cs="Helv"/>
          <w:color w:val="000000"/>
          <w:szCs w:val="20"/>
          <w:lang w:val="nl-BE" w:eastAsia="nl-BE"/>
        </w:rPr>
      </w:pPr>
      <w:r w:rsidRPr="00FD0A74">
        <w:rPr>
          <w:rFonts w:cs="Helv"/>
          <w:color w:val="000000"/>
          <w:szCs w:val="20"/>
          <w:lang w:val="nl-BE" w:eastAsia="nl-BE"/>
        </w:rPr>
        <w:t xml:space="preserve">Met een aanpassing van </w:t>
      </w:r>
      <w:r w:rsidR="00B54731">
        <w:rPr>
          <w:rFonts w:cs="Helv"/>
          <w:color w:val="000000"/>
          <w:szCs w:val="20"/>
          <w:lang w:val="nl-BE" w:eastAsia="nl-BE"/>
        </w:rPr>
        <w:t>deze procedure</w:t>
      </w:r>
      <w:r w:rsidRPr="00FD0A74">
        <w:rPr>
          <w:rFonts w:cs="Helv"/>
          <w:color w:val="000000"/>
          <w:szCs w:val="20"/>
          <w:lang w:val="nl-BE" w:eastAsia="nl-BE"/>
        </w:rPr>
        <w:t xml:space="preserve"> willen we </w:t>
      </w:r>
      <w:r w:rsidR="00B54731">
        <w:rPr>
          <w:rFonts w:cs="Helv"/>
          <w:color w:val="000000"/>
          <w:szCs w:val="20"/>
          <w:lang w:val="nl-BE" w:eastAsia="nl-BE"/>
        </w:rPr>
        <w:t xml:space="preserve">bovendien </w:t>
      </w:r>
      <w:r w:rsidRPr="00FD0A74">
        <w:rPr>
          <w:rFonts w:cs="Helv"/>
          <w:color w:val="000000"/>
          <w:szCs w:val="20"/>
          <w:lang w:val="nl-BE" w:eastAsia="nl-BE"/>
        </w:rPr>
        <w:t>vermijden dat de persoon met een handicap nadelen ondervindt als gevolg van het niet halen van bepaalde termijnen binnen de teams.</w:t>
      </w:r>
    </w:p>
    <w:p w:rsidR="00FD0A74" w:rsidRDefault="00FD0A7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B61796"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u w:val="single"/>
          <w:lang w:val="nl-BE" w:eastAsia="nl-BE"/>
        </w:rPr>
      </w:pPr>
      <w:r w:rsidRPr="00B61796">
        <w:rPr>
          <w:rFonts w:cs="Helv"/>
          <w:color w:val="000000"/>
          <w:szCs w:val="20"/>
          <w:u w:val="single"/>
          <w:lang w:val="nl-BE" w:eastAsia="nl-BE"/>
        </w:rPr>
        <w:t xml:space="preserve">Voor aanvragen vanaf 1 oktober zal de datum tenlasteneming de eerste dag van de </w:t>
      </w:r>
      <w:r w:rsidR="000A3238" w:rsidRPr="00B61796">
        <w:rPr>
          <w:rFonts w:cs="Helv"/>
          <w:color w:val="000000"/>
          <w:szCs w:val="20"/>
          <w:u w:val="single"/>
          <w:lang w:val="nl-BE" w:eastAsia="nl-BE"/>
        </w:rPr>
        <w:t>kalender</w:t>
      </w:r>
      <w:r w:rsidRPr="00B61796">
        <w:rPr>
          <w:rFonts w:cs="Helv"/>
          <w:color w:val="000000"/>
          <w:szCs w:val="20"/>
          <w:u w:val="single"/>
          <w:lang w:val="nl-BE" w:eastAsia="nl-BE"/>
        </w:rPr>
        <w:t xml:space="preserve">maand zijn waarin de schriftelijke vraag om ondersteuning binnenkomt </w:t>
      </w:r>
      <w:r w:rsidRPr="00FD1629">
        <w:rPr>
          <w:rFonts w:cs="Helv"/>
          <w:b/>
          <w:color w:val="000000"/>
          <w:szCs w:val="20"/>
          <w:u w:val="single"/>
          <w:lang w:val="nl-BE" w:eastAsia="nl-BE"/>
        </w:rPr>
        <w:t>op voorwaarde</w:t>
      </w:r>
      <w:r w:rsidRPr="00B61796">
        <w:rPr>
          <w:rFonts w:cs="Helv"/>
          <w:color w:val="000000"/>
          <w:szCs w:val="20"/>
          <w:u w:val="single"/>
          <w:lang w:val="nl-BE" w:eastAsia="nl-BE"/>
        </w:rPr>
        <w:t xml:space="preserve"> dat de aanvraag binnen de 6 maanden met de nodige verslagen vervolledigd wordt.</w:t>
      </w:r>
    </w:p>
    <w:p w:rsidR="00966105" w:rsidRPr="00573E3E" w:rsidRDefault="00966105"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F25E79" w:rsidRDefault="00F25E79"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 xml:space="preserve">Concreet betekent dit dat voor een aanvraag ingediend op 5 10 2012, de datum tenlasteneming = </w:t>
      </w:r>
    </w:p>
    <w:p w:rsidR="00F25E79" w:rsidRDefault="00F25E79"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01 10 2012 op voorwaarde dat het dossier volledig is op  04 04 2013 (binnen de 6  maand na ontvangst van de schriftelijke aanvraag).</w:t>
      </w:r>
    </w:p>
    <w:p w:rsidR="00F25E79" w:rsidRDefault="00F25E79"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B54731" w:rsidRPr="00FD0A74" w:rsidRDefault="00966105"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 xml:space="preserve">Let op! Het gaat hier om de louter administratieve </w:t>
      </w:r>
      <w:r w:rsidR="00B54731">
        <w:rPr>
          <w:rFonts w:cs="Helv"/>
          <w:color w:val="000000"/>
          <w:szCs w:val="20"/>
          <w:lang w:val="nl-BE" w:eastAsia="nl-BE"/>
        </w:rPr>
        <w:t>procedure om de tenlasteneming door</w:t>
      </w:r>
      <w:r w:rsidRPr="00573E3E">
        <w:rPr>
          <w:rFonts w:cs="Helv"/>
          <w:color w:val="000000"/>
          <w:szCs w:val="20"/>
          <w:lang w:val="nl-BE" w:eastAsia="nl-BE"/>
        </w:rPr>
        <w:t xml:space="preserve"> het </w:t>
      </w:r>
      <w:r w:rsidR="00B54731">
        <w:rPr>
          <w:rFonts w:cs="Helv"/>
          <w:color w:val="000000"/>
          <w:szCs w:val="20"/>
          <w:lang w:val="nl-BE" w:eastAsia="nl-BE"/>
        </w:rPr>
        <w:t>VAPH</w:t>
      </w:r>
      <w:r w:rsidRPr="00573E3E">
        <w:rPr>
          <w:rFonts w:cs="Helv"/>
          <w:color w:val="000000"/>
          <w:szCs w:val="20"/>
          <w:lang w:val="nl-BE" w:eastAsia="nl-BE"/>
        </w:rPr>
        <w:t xml:space="preserve"> te kunnen bepalen. Van de MDT’s wordt nog steeds </w:t>
      </w:r>
      <w:r w:rsidR="00B54731" w:rsidRPr="00573E3E">
        <w:rPr>
          <w:rFonts w:cs="Helv"/>
          <w:color w:val="000000"/>
          <w:szCs w:val="20"/>
          <w:lang w:val="nl-BE" w:eastAsia="nl-BE"/>
        </w:rPr>
        <w:t>verwacht</w:t>
      </w:r>
      <w:r w:rsidRPr="00573E3E">
        <w:rPr>
          <w:rFonts w:cs="Helv"/>
          <w:color w:val="000000"/>
          <w:szCs w:val="20"/>
          <w:lang w:val="nl-BE" w:eastAsia="nl-BE"/>
        </w:rPr>
        <w:t xml:space="preserve"> </w:t>
      </w:r>
      <w:r w:rsidR="00B54731">
        <w:rPr>
          <w:rFonts w:cs="Helv"/>
          <w:color w:val="000000"/>
          <w:szCs w:val="20"/>
          <w:lang w:val="nl-BE" w:eastAsia="nl-BE"/>
        </w:rPr>
        <w:t>dat zij</w:t>
      </w:r>
      <w:r w:rsidRPr="00573E3E">
        <w:rPr>
          <w:rFonts w:cs="Helv"/>
          <w:color w:val="000000"/>
          <w:szCs w:val="20"/>
          <w:lang w:val="nl-BE" w:eastAsia="nl-BE"/>
        </w:rPr>
        <w:t xml:space="preserve"> de nodige inspanningen leveren om verslagen zo snel mog</w:t>
      </w:r>
      <w:r w:rsidR="00B54731">
        <w:rPr>
          <w:rFonts w:cs="Helv"/>
          <w:color w:val="000000"/>
          <w:szCs w:val="20"/>
          <w:lang w:val="nl-BE" w:eastAsia="nl-BE"/>
        </w:rPr>
        <w:t xml:space="preserve">elijk in te dienen bij het VAPH. </w:t>
      </w:r>
      <w:r w:rsidR="00B54731" w:rsidRPr="00FD0A74">
        <w:rPr>
          <w:rFonts w:cs="Helv"/>
          <w:color w:val="000000"/>
          <w:szCs w:val="20"/>
          <w:lang w:val="nl-BE" w:eastAsia="nl-BE"/>
        </w:rPr>
        <w:t xml:space="preserve">Onze doelstelling is </w:t>
      </w:r>
      <w:r w:rsidR="00B54731">
        <w:rPr>
          <w:rFonts w:cs="Helv"/>
          <w:color w:val="000000"/>
          <w:szCs w:val="20"/>
          <w:lang w:val="nl-BE" w:eastAsia="nl-BE"/>
        </w:rPr>
        <w:t xml:space="preserve">immers </w:t>
      </w:r>
      <w:r w:rsidR="00B54731" w:rsidRPr="00FD0A74">
        <w:rPr>
          <w:rFonts w:cs="Helv"/>
          <w:color w:val="000000"/>
          <w:szCs w:val="20"/>
          <w:lang w:val="nl-BE" w:eastAsia="nl-BE"/>
        </w:rPr>
        <w:t>dat de weg van een aanvraag bij het VAPH voor de persoon met een handicap zo vlot mogelijk verloopt.</w:t>
      </w:r>
    </w:p>
    <w:p w:rsidR="00B54731" w:rsidRDefault="00B54731"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B54731" w:rsidRPr="00FD0A74" w:rsidRDefault="00B54731" w:rsidP="00B54731">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FD0A74">
        <w:rPr>
          <w:rFonts w:cs="Helv"/>
          <w:color w:val="000000"/>
          <w:szCs w:val="20"/>
          <w:lang w:val="nl-BE" w:eastAsia="nl-BE"/>
        </w:rPr>
        <w:t>In het licht van een optimale dienstverlening naar de personen met een handicap is</w:t>
      </w:r>
      <w:r>
        <w:rPr>
          <w:rFonts w:cs="Helv"/>
          <w:color w:val="000000"/>
          <w:szCs w:val="20"/>
          <w:lang w:val="nl-BE" w:eastAsia="nl-BE"/>
        </w:rPr>
        <w:t xml:space="preserve"> en blijft</w:t>
      </w:r>
      <w:r w:rsidRPr="00FD0A74">
        <w:rPr>
          <w:rFonts w:cs="Helv"/>
          <w:color w:val="000000"/>
          <w:szCs w:val="20"/>
          <w:lang w:val="nl-BE" w:eastAsia="nl-BE"/>
        </w:rPr>
        <w:t xml:space="preserve"> een goede opvolging van de doorlooptijden </w:t>
      </w:r>
      <w:r>
        <w:rPr>
          <w:rFonts w:cs="Helv"/>
          <w:color w:val="000000"/>
          <w:szCs w:val="20"/>
          <w:lang w:val="nl-BE" w:eastAsia="nl-BE"/>
        </w:rPr>
        <w:t xml:space="preserve">van de MDT’s </w:t>
      </w:r>
      <w:r w:rsidRPr="00FD0A74">
        <w:rPr>
          <w:rFonts w:cs="Helv"/>
          <w:color w:val="000000"/>
          <w:szCs w:val="20"/>
          <w:lang w:val="nl-BE" w:eastAsia="nl-BE"/>
        </w:rPr>
        <w:t xml:space="preserve">noodzakelijk. </w:t>
      </w:r>
    </w:p>
    <w:p w:rsidR="00FD0A74" w:rsidRDefault="00FD0A74" w:rsidP="00FD0A7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BF410B" w:rsidRDefault="00FD0A74" w:rsidP="00BF410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FD0A74">
        <w:rPr>
          <w:rFonts w:cs="Helv"/>
          <w:color w:val="000000"/>
          <w:szCs w:val="20"/>
          <w:lang w:val="nl-BE" w:eastAsia="nl-BE"/>
        </w:rPr>
        <w:t xml:space="preserve">Het aanpassen van de procedure tot tenlasteneming neemt </w:t>
      </w:r>
      <w:r w:rsidR="00B54731">
        <w:rPr>
          <w:rFonts w:cs="Helv"/>
          <w:color w:val="000000"/>
          <w:szCs w:val="20"/>
          <w:lang w:val="nl-BE" w:eastAsia="nl-BE"/>
        </w:rPr>
        <w:t>dus</w:t>
      </w:r>
      <w:r w:rsidRPr="00FD0A74">
        <w:rPr>
          <w:rFonts w:cs="Helv"/>
          <w:color w:val="000000"/>
          <w:szCs w:val="20"/>
          <w:lang w:val="nl-BE" w:eastAsia="nl-BE"/>
        </w:rPr>
        <w:t xml:space="preserve"> niet weg dat de teams zullen </w:t>
      </w:r>
      <w:r w:rsidR="00B54731">
        <w:rPr>
          <w:rFonts w:cs="Helv"/>
          <w:color w:val="000000"/>
          <w:szCs w:val="20"/>
          <w:lang w:val="nl-BE" w:eastAsia="nl-BE"/>
        </w:rPr>
        <w:t>opgevolgd worden wat betreft</w:t>
      </w:r>
      <w:r w:rsidRPr="00FD0A74">
        <w:rPr>
          <w:rFonts w:cs="Helv"/>
          <w:color w:val="000000"/>
          <w:szCs w:val="20"/>
          <w:lang w:val="nl-BE" w:eastAsia="nl-BE"/>
        </w:rPr>
        <w:t xml:space="preserve"> het behalen van </w:t>
      </w:r>
      <w:r w:rsidR="00B54731">
        <w:rPr>
          <w:rFonts w:cs="Helv"/>
          <w:color w:val="000000"/>
          <w:szCs w:val="20"/>
          <w:lang w:val="nl-BE" w:eastAsia="nl-BE"/>
        </w:rPr>
        <w:t>hun</w:t>
      </w:r>
      <w:r w:rsidRPr="00FD0A74">
        <w:rPr>
          <w:rFonts w:cs="Helv"/>
          <w:color w:val="000000"/>
          <w:szCs w:val="20"/>
          <w:lang w:val="nl-BE" w:eastAsia="nl-BE"/>
        </w:rPr>
        <w:t xml:space="preserve"> doorlooptijden. Deze worden berekend vanaf het intakegesprek tot het indienen van het </w:t>
      </w:r>
      <w:r w:rsidR="0034631A">
        <w:rPr>
          <w:rFonts w:cs="Helv"/>
          <w:color w:val="000000"/>
          <w:szCs w:val="20"/>
          <w:lang w:val="nl-BE" w:eastAsia="nl-BE"/>
        </w:rPr>
        <w:t>multidisciplinair verslag en/of adviesrapport</w:t>
      </w:r>
      <w:r w:rsidRPr="00FD0A74">
        <w:rPr>
          <w:rFonts w:cs="Helv"/>
          <w:color w:val="000000"/>
          <w:szCs w:val="20"/>
          <w:lang w:val="nl-BE" w:eastAsia="nl-BE"/>
        </w:rPr>
        <w:t xml:space="preserve">. </w:t>
      </w:r>
    </w:p>
    <w:p w:rsidR="00BF410B" w:rsidRPr="00BF410B" w:rsidRDefault="00BF410B" w:rsidP="00BF410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BF410B">
        <w:rPr>
          <w:rFonts w:cs="Helv"/>
          <w:color w:val="000000"/>
          <w:szCs w:val="20"/>
          <w:lang w:val="nl-BE" w:eastAsia="nl-BE"/>
        </w:rPr>
        <w:t>Vanaf 01/01/2011 bedraagt de termijn tussen het intakegesprek en het insturen van de n</w:t>
      </w:r>
      <w:r>
        <w:rPr>
          <w:rFonts w:cs="Helv"/>
          <w:color w:val="000000"/>
          <w:szCs w:val="20"/>
          <w:lang w:val="nl-BE" w:eastAsia="nl-BE"/>
        </w:rPr>
        <w:t xml:space="preserve">odige verslagen max. 4 maanden. </w:t>
      </w:r>
      <w:r w:rsidRPr="00BF410B">
        <w:rPr>
          <w:rFonts w:cs="Helv"/>
          <w:color w:val="000000"/>
          <w:szCs w:val="20"/>
          <w:lang w:val="nl-BE" w:eastAsia="nl-BE"/>
        </w:rPr>
        <w:t>Vanaf  01/01/2014 bedraagt deze termijn 3 maanden of minder.</w:t>
      </w:r>
    </w:p>
    <w:p w:rsidR="00BF410B" w:rsidRDefault="00BF410B"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BF410B" w:rsidRDefault="00966105"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 xml:space="preserve">Indien </w:t>
      </w:r>
      <w:r w:rsidR="00BF410B">
        <w:rPr>
          <w:rFonts w:cs="Helv"/>
          <w:color w:val="000000"/>
          <w:szCs w:val="20"/>
          <w:lang w:val="nl-BE" w:eastAsia="nl-BE"/>
        </w:rPr>
        <w:t>er sprake is van overmacht in het kader van het behouden van de datum tenlasteneming dan kan dit nog steeds gemotiveerd worden aan de provinciale afdeling van het VAPH mits insturen van het formulier beschikbaar op de website van het VAPH.</w:t>
      </w:r>
    </w:p>
    <w:p w:rsidR="00BF410B" w:rsidRDefault="00BF410B"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BF410B" w:rsidRDefault="00BF410B" w:rsidP="00BF410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 xml:space="preserve">Zoals jullie reeds konden lezen in infonota 1213 </w:t>
      </w:r>
      <w:r w:rsidRPr="00BF410B">
        <w:rPr>
          <w:rFonts w:cs="Helv"/>
          <w:color w:val="000000"/>
          <w:szCs w:val="20"/>
          <w:lang w:val="nl-BE" w:eastAsia="nl-BE"/>
        </w:rPr>
        <w:t xml:space="preserve">worden </w:t>
      </w:r>
      <w:r>
        <w:rPr>
          <w:rFonts w:cs="Helv"/>
          <w:color w:val="000000"/>
          <w:szCs w:val="20"/>
          <w:lang w:val="nl-BE" w:eastAsia="nl-BE"/>
        </w:rPr>
        <w:t xml:space="preserve">de doorlooptijden </w:t>
      </w:r>
      <w:r w:rsidRPr="00BF410B">
        <w:rPr>
          <w:rFonts w:cs="Helv"/>
          <w:color w:val="000000"/>
          <w:szCs w:val="20"/>
          <w:lang w:val="nl-BE" w:eastAsia="nl-BE"/>
        </w:rPr>
        <w:t xml:space="preserve">geïnspecteerd door het Agentschap Zorginspectie. Indien de inspecteurs van Zorginspectie vaststellen dat de doorlooptijden niet gehaald worden, is het aan het MDT in kwestie om aan </w:t>
      </w:r>
      <w:r w:rsidR="00FD1629">
        <w:rPr>
          <w:rFonts w:cs="Helv"/>
          <w:color w:val="000000"/>
          <w:szCs w:val="20"/>
          <w:lang w:val="nl-BE" w:eastAsia="nl-BE"/>
        </w:rPr>
        <w:t xml:space="preserve">de inspecteurs aan </w:t>
      </w:r>
      <w:r w:rsidRPr="00BF410B">
        <w:rPr>
          <w:rFonts w:cs="Helv"/>
          <w:color w:val="000000"/>
          <w:szCs w:val="20"/>
          <w:lang w:val="nl-BE" w:eastAsia="nl-BE"/>
        </w:rPr>
        <w:t>te tonen dat er sprake is geweest van overmacht.</w:t>
      </w:r>
    </w:p>
    <w:p w:rsidR="00BF410B" w:rsidRDefault="00BF410B" w:rsidP="00BF410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0A3238" w:rsidRPr="00573E3E" w:rsidRDefault="000A3238"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0A3238" w:rsidRPr="00573E3E" w:rsidRDefault="00BF410B" w:rsidP="00D73E87">
      <w:pPr>
        <w:pStyle w:val="nieuwpuntjeininfonota"/>
      </w:pPr>
      <w:r>
        <w:t>Versnelde procedure tot inschrijving (a</w:t>
      </w:r>
      <w:r w:rsidR="000A3238" w:rsidRPr="00573E3E">
        <w:t>rtikel 6 bis</w:t>
      </w:r>
      <w:r>
        <w:t>)</w:t>
      </w:r>
    </w:p>
    <w:p w:rsidR="000A3238" w:rsidRPr="00573E3E" w:rsidRDefault="000A3238"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P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b/>
          <w:i/>
          <w:color w:val="000000"/>
          <w:szCs w:val="20"/>
          <w:lang w:val="nl-BE" w:eastAsia="nl-BE"/>
        </w:rPr>
      </w:pPr>
      <w:r w:rsidRPr="009B3444">
        <w:rPr>
          <w:rFonts w:cs="Helv"/>
          <w:b/>
          <w:i/>
          <w:color w:val="000000"/>
          <w:szCs w:val="20"/>
          <w:lang w:val="nl-BE" w:eastAsia="nl-BE"/>
        </w:rPr>
        <w:t>Kinderbijslag</w:t>
      </w:r>
    </w:p>
    <w:p w:rsid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Pr="009B3444" w:rsidRDefault="00551259"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lastRenderedPageBreak/>
        <w:t xml:space="preserve">Artikel 6bis van het inschrijvingsbesluit stelt dat </w:t>
      </w:r>
      <w:r w:rsidR="009B3444">
        <w:rPr>
          <w:rFonts w:cs="Helv"/>
          <w:color w:val="000000"/>
          <w:szCs w:val="20"/>
          <w:lang w:val="nl-BE" w:eastAsia="nl-BE"/>
        </w:rPr>
        <w:t xml:space="preserve">indien de aanvrager </w:t>
      </w:r>
      <w:r w:rsidR="009B3444" w:rsidRPr="009B3444">
        <w:rPr>
          <w:rFonts w:cs="Helv"/>
          <w:color w:val="000000"/>
          <w:szCs w:val="20"/>
          <w:lang w:val="nl-BE" w:eastAsia="nl-BE"/>
        </w:rPr>
        <w:t>beschikt over een attest waaruit duidelijk blijkt dat een</w:t>
      </w:r>
      <w:r w:rsidR="009B3444">
        <w:rPr>
          <w:rFonts w:cs="Helv"/>
          <w:color w:val="000000"/>
          <w:szCs w:val="20"/>
          <w:lang w:val="nl-BE" w:eastAsia="nl-BE"/>
        </w:rPr>
        <w:t xml:space="preserve"> andere instantie zijn handicap </w:t>
      </w:r>
      <w:r w:rsidR="009B3444" w:rsidRPr="009B3444">
        <w:rPr>
          <w:rFonts w:cs="Helv"/>
          <w:color w:val="000000"/>
          <w:szCs w:val="20"/>
          <w:lang w:val="nl-BE" w:eastAsia="nl-BE"/>
        </w:rPr>
        <w:t xml:space="preserve">reeds heeft vastgesteld, hij </w:t>
      </w:r>
      <w:r w:rsidR="009B3444">
        <w:rPr>
          <w:rFonts w:cs="Helv"/>
          <w:color w:val="000000"/>
          <w:szCs w:val="20"/>
          <w:lang w:val="nl-BE" w:eastAsia="nl-BE"/>
        </w:rPr>
        <w:t xml:space="preserve">of zij </w:t>
      </w:r>
      <w:r w:rsidR="009B3444" w:rsidRPr="009B3444">
        <w:rPr>
          <w:rFonts w:cs="Helv"/>
          <w:color w:val="000000"/>
          <w:szCs w:val="20"/>
          <w:lang w:val="nl-BE" w:eastAsia="nl-BE"/>
        </w:rPr>
        <w:t xml:space="preserve">beroep </w:t>
      </w:r>
      <w:r w:rsidR="009B3444">
        <w:rPr>
          <w:rFonts w:cs="Helv"/>
          <w:color w:val="000000"/>
          <w:szCs w:val="20"/>
          <w:lang w:val="nl-BE" w:eastAsia="nl-BE"/>
        </w:rPr>
        <w:t xml:space="preserve">kan </w:t>
      </w:r>
      <w:r w:rsidR="009B3444" w:rsidRPr="009B3444">
        <w:rPr>
          <w:rFonts w:cs="Helv"/>
          <w:color w:val="000000"/>
          <w:szCs w:val="20"/>
          <w:lang w:val="nl-BE" w:eastAsia="nl-BE"/>
        </w:rPr>
        <w:t>doen op de versnelde inschrijvingsprocedure.</w:t>
      </w:r>
    </w:p>
    <w:p w:rsid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9B3444">
        <w:rPr>
          <w:rFonts w:cs="Helv"/>
          <w:color w:val="000000"/>
          <w:szCs w:val="20"/>
          <w:lang w:val="nl-BE" w:eastAsia="nl-BE"/>
        </w:rPr>
        <w:t xml:space="preserve">In dergelijke situatie is het voor de </w:t>
      </w:r>
      <w:r w:rsidR="00FD1629" w:rsidRPr="00573E3E">
        <w:rPr>
          <w:rFonts w:cs="Arial"/>
          <w:szCs w:val="20"/>
        </w:rPr>
        <w:t xml:space="preserve">provinciale evaluatiecommissie </w:t>
      </w:r>
      <w:r w:rsidR="00FD1629">
        <w:rPr>
          <w:rFonts w:cs="Arial"/>
          <w:szCs w:val="20"/>
        </w:rPr>
        <w:t>(</w:t>
      </w:r>
      <w:r w:rsidRPr="009B3444">
        <w:rPr>
          <w:rFonts w:cs="Helv"/>
          <w:color w:val="000000"/>
          <w:szCs w:val="20"/>
          <w:lang w:val="nl-BE" w:eastAsia="nl-BE"/>
        </w:rPr>
        <w:t>PEC</w:t>
      </w:r>
      <w:r w:rsidR="00FD1629">
        <w:rPr>
          <w:rFonts w:cs="Helv"/>
          <w:color w:val="000000"/>
          <w:szCs w:val="20"/>
          <w:lang w:val="nl-BE" w:eastAsia="nl-BE"/>
        </w:rPr>
        <w:t>)</w:t>
      </w:r>
      <w:r w:rsidRPr="009B3444">
        <w:rPr>
          <w:rFonts w:cs="Helv"/>
          <w:color w:val="000000"/>
          <w:szCs w:val="20"/>
          <w:lang w:val="nl-BE" w:eastAsia="nl-BE"/>
        </w:rPr>
        <w:t xml:space="preserve"> duidelijk dat</w:t>
      </w:r>
      <w:r>
        <w:rPr>
          <w:rFonts w:cs="Helv"/>
          <w:color w:val="000000"/>
          <w:szCs w:val="20"/>
          <w:lang w:val="nl-BE" w:eastAsia="nl-BE"/>
        </w:rPr>
        <w:t xml:space="preserve"> </w:t>
      </w:r>
      <w:r w:rsidRPr="009B3444">
        <w:rPr>
          <w:rFonts w:cs="Helv"/>
          <w:color w:val="000000"/>
          <w:szCs w:val="20"/>
          <w:lang w:val="nl-BE" w:eastAsia="nl-BE"/>
        </w:rPr>
        <w:t xml:space="preserve">het om een persoon met een handicap gaat </w:t>
      </w:r>
      <w:r>
        <w:rPr>
          <w:rFonts w:cs="Helv"/>
          <w:color w:val="000000"/>
          <w:szCs w:val="20"/>
          <w:lang w:val="nl-BE" w:eastAsia="nl-BE"/>
        </w:rPr>
        <w:t xml:space="preserve">en dient enkel </w:t>
      </w:r>
      <w:r w:rsidRPr="009B3444">
        <w:rPr>
          <w:rFonts w:cs="Helv"/>
          <w:color w:val="000000"/>
          <w:szCs w:val="20"/>
          <w:lang w:val="nl-BE" w:eastAsia="nl-BE"/>
        </w:rPr>
        <w:t xml:space="preserve">nog de specifieke vraag naar </w:t>
      </w:r>
      <w:r>
        <w:rPr>
          <w:rFonts w:cs="Helv"/>
          <w:color w:val="000000"/>
          <w:szCs w:val="20"/>
          <w:lang w:val="nl-BE" w:eastAsia="nl-BE"/>
        </w:rPr>
        <w:t>ondersteuning</w:t>
      </w:r>
      <w:r w:rsidRPr="009B3444">
        <w:rPr>
          <w:rFonts w:cs="Helv"/>
          <w:color w:val="000000"/>
          <w:szCs w:val="20"/>
          <w:lang w:val="nl-BE" w:eastAsia="nl-BE"/>
        </w:rPr>
        <w:t xml:space="preserve"> geëvalueerd te worden.</w:t>
      </w:r>
    </w:p>
    <w:p w:rsidR="009B3444" w:rsidRDefault="009B3444"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Default="00551259" w:rsidP="009B344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Het gaat onder andere om personen die recht hebben op verhoogde kinde</w:t>
      </w:r>
      <w:r w:rsidR="009B3444">
        <w:rPr>
          <w:rFonts w:cs="Helv"/>
          <w:color w:val="000000"/>
          <w:szCs w:val="20"/>
          <w:lang w:val="nl-BE" w:eastAsia="nl-BE"/>
        </w:rPr>
        <w:t xml:space="preserve">rbijslag. Er werd in dit kader in het </w:t>
      </w:r>
      <w:r w:rsidR="00FD1629">
        <w:rPr>
          <w:rFonts w:cs="Helv"/>
          <w:color w:val="000000"/>
          <w:szCs w:val="20"/>
          <w:lang w:val="nl-BE" w:eastAsia="nl-BE"/>
        </w:rPr>
        <w:t xml:space="preserve">oude </w:t>
      </w:r>
      <w:r w:rsidR="009B3444">
        <w:rPr>
          <w:rFonts w:cs="Helv"/>
          <w:color w:val="000000"/>
          <w:szCs w:val="20"/>
          <w:lang w:val="nl-BE" w:eastAsia="nl-BE"/>
        </w:rPr>
        <w:t xml:space="preserve">inschrijvingsbesluit echter enkel </w:t>
      </w:r>
      <w:r w:rsidRPr="00573E3E">
        <w:rPr>
          <w:rFonts w:cs="Helv"/>
          <w:color w:val="000000"/>
          <w:szCs w:val="20"/>
          <w:lang w:val="nl-BE" w:eastAsia="nl-BE"/>
        </w:rPr>
        <w:t>verwezen naar de oude kinderbijslagregeling</w:t>
      </w:r>
      <w:r w:rsidR="009B3444">
        <w:rPr>
          <w:rFonts w:cs="Helv"/>
          <w:color w:val="000000"/>
          <w:szCs w:val="20"/>
          <w:lang w:val="nl-BE" w:eastAsia="nl-BE"/>
        </w:rPr>
        <w:t xml:space="preserve"> </w:t>
      </w:r>
      <w:r w:rsidR="009B3444" w:rsidRPr="009B3444">
        <w:rPr>
          <w:rFonts w:cs="Helv"/>
          <w:color w:val="000000"/>
          <w:szCs w:val="20"/>
          <w:lang w:val="nl-BE" w:eastAsia="nl-BE"/>
        </w:rPr>
        <w:t>(KB. Van 03.05.1991)</w:t>
      </w:r>
      <w:r w:rsidRPr="00573E3E">
        <w:rPr>
          <w:rFonts w:cs="Helv"/>
          <w:color w:val="000000"/>
          <w:szCs w:val="20"/>
          <w:lang w:val="nl-BE" w:eastAsia="nl-BE"/>
        </w:rPr>
        <w:t xml:space="preserve">. Het </w:t>
      </w:r>
      <w:r w:rsidRPr="00B61796">
        <w:rPr>
          <w:rFonts w:cs="Helv"/>
          <w:color w:val="000000"/>
          <w:szCs w:val="20"/>
          <w:u w:val="single"/>
          <w:lang w:val="nl-BE" w:eastAsia="nl-BE"/>
        </w:rPr>
        <w:t>nieuwe attest met een score op de medisch-</w:t>
      </w:r>
      <w:r w:rsidR="009B3444" w:rsidRPr="00B61796">
        <w:rPr>
          <w:rFonts w:cs="Helv"/>
          <w:color w:val="000000"/>
          <w:szCs w:val="20"/>
          <w:u w:val="single"/>
          <w:lang w:val="nl-BE" w:eastAsia="nl-BE"/>
        </w:rPr>
        <w:t>sociale schaal</w:t>
      </w:r>
      <w:r w:rsidR="009B3444">
        <w:rPr>
          <w:rFonts w:cs="Helv"/>
          <w:color w:val="000000"/>
          <w:szCs w:val="20"/>
          <w:lang w:val="nl-BE" w:eastAsia="nl-BE"/>
        </w:rPr>
        <w:t xml:space="preserve"> (</w:t>
      </w:r>
      <w:r w:rsidR="009B3444" w:rsidRPr="009B3444">
        <w:rPr>
          <w:rFonts w:cs="Helv"/>
          <w:color w:val="000000"/>
          <w:szCs w:val="20"/>
          <w:lang w:val="nl-BE" w:eastAsia="nl-BE"/>
        </w:rPr>
        <w:t>K.B. van 28.03.2003)</w:t>
      </w:r>
      <w:r w:rsidR="00FD1629">
        <w:rPr>
          <w:rFonts w:cs="Helv"/>
          <w:color w:val="000000"/>
          <w:szCs w:val="20"/>
          <w:lang w:val="nl-BE" w:eastAsia="nl-BE"/>
        </w:rPr>
        <w:t xml:space="preserve"> </w:t>
      </w:r>
      <w:r w:rsidR="009B3444">
        <w:rPr>
          <w:rFonts w:cs="Helv"/>
          <w:color w:val="000000"/>
          <w:szCs w:val="20"/>
          <w:lang w:val="nl-BE" w:eastAsia="nl-BE"/>
        </w:rPr>
        <w:t>is nu toegevoegd</w:t>
      </w:r>
      <w:r w:rsidR="00FD1629">
        <w:rPr>
          <w:rFonts w:cs="Helv"/>
          <w:color w:val="000000"/>
          <w:szCs w:val="20"/>
          <w:lang w:val="nl-BE" w:eastAsia="nl-BE"/>
        </w:rPr>
        <w:t xml:space="preserve"> aan</w:t>
      </w:r>
      <w:r w:rsidR="009B3444">
        <w:rPr>
          <w:rFonts w:cs="Helv"/>
          <w:color w:val="000000"/>
          <w:szCs w:val="20"/>
          <w:lang w:val="nl-BE" w:eastAsia="nl-BE"/>
        </w:rPr>
        <w:t xml:space="preserve"> de regelgeving van het VAPH.</w:t>
      </w:r>
    </w:p>
    <w:p w:rsidR="009B3444"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sidRPr="00573E3E">
        <w:rPr>
          <w:rFonts w:cs="Helv"/>
          <w:color w:val="000000"/>
          <w:szCs w:val="20"/>
          <w:lang w:val="nl-BE" w:eastAsia="nl-BE"/>
        </w:rPr>
        <w:t xml:space="preserve">Vroeger was de afspraak dat een score van 15 punten </w:t>
      </w:r>
      <w:r w:rsidR="009B3444">
        <w:rPr>
          <w:rFonts w:cs="Helv"/>
          <w:color w:val="000000"/>
          <w:szCs w:val="20"/>
          <w:lang w:val="nl-BE" w:eastAsia="nl-BE"/>
        </w:rPr>
        <w:t xml:space="preserve">op het </w:t>
      </w:r>
      <w:r w:rsidR="009B3444" w:rsidRPr="00573E3E">
        <w:rPr>
          <w:rFonts w:cs="Helv"/>
          <w:color w:val="000000"/>
          <w:szCs w:val="20"/>
          <w:lang w:val="nl-BE" w:eastAsia="nl-BE"/>
        </w:rPr>
        <w:t>nieuwe attest met een score op de medisch-</w:t>
      </w:r>
      <w:r w:rsidR="009B3444">
        <w:rPr>
          <w:rFonts w:cs="Helv"/>
          <w:color w:val="000000"/>
          <w:szCs w:val="20"/>
          <w:lang w:val="nl-BE" w:eastAsia="nl-BE"/>
        </w:rPr>
        <w:t xml:space="preserve">sociale schaal </w:t>
      </w:r>
      <w:r w:rsidRPr="00573E3E">
        <w:rPr>
          <w:rFonts w:cs="Helv"/>
          <w:color w:val="000000"/>
          <w:szCs w:val="20"/>
          <w:lang w:val="nl-BE" w:eastAsia="nl-BE"/>
        </w:rPr>
        <w:t xml:space="preserve">voldoende was om beroep te doen op de artikel 6 bis procedure, nu is in de regelgeving een score van </w:t>
      </w:r>
      <w:r w:rsidRPr="00573E3E">
        <w:rPr>
          <w:rFonts w:cs="Helv"/>
          <w:color w:val="000000"/>
          <w:szCs w:val="20"/>
          <w:u w:val="single"/>
          <w:lang w:val="nl-BE" w:eastAsia="nl-BE"/>
        </w:rPr>
        <w:t>18 punten</w:t>
      </w:r>
      <w:r w:rsidRPr="00573E3E">
        <w:rPr>
          <w:rFonts w:cs="Helv"/>
          <w:color w:val="000000"/>
          <w:szCs w:val="20"/>
          <w:lang w:val="nl-BE" w:eastAsia="nl-BE"/>
        </w:rPr>
        <w:t xml:space="preserve"> vastgelegd.</w:t>
      </w:r>
    </w:p>
    <w:p w:rsidR="00551259"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Het is belangrijk om hier als MDT de nodige aandacht aan te besteden. Indien het correcte attest niet wordt toegevoegd</w:t>
      </w:r>
      <w:r w:rsidR="00FD1629">
        <w:rPr>
          <w:rFonts w:cs="Helv"/>
          <w:color w:val="000000"/>
          <w:szCs w:val="20"/>
          <w:lang w:val="nl-BE" w:eastAsia="nl-BE"/>
        </w:rPr>
        <w:t xml:space="preserve"> aan de aanvraag zal de aanvraag in principe</w:t>
      </w:r>
      <w:r>
        <w:rPr>
          <w:rFonts w:cs="Helv"/>
          <w:color w:val="000000"/>
          <w:szCs w:val="20"/>
          <w:lang w:val="nl-BE" w:eastAsia="nl-BE"/>
        </w:rPr>
        <w:t xml:space="preserve"> behandeld worden volgens de gewone procedure.</w:t>
      </w:r>
    </w:p>
    <w:p w:rsidR="009B3444" w:rsidRPr="00573E3E"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Pr="009B3444"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b/>
          <w:i/>
          <w:color w:val="000000"/>
          <w:szCs w:val="20"/>
          <w:lang w:val="nl-BE" w:eastAsia="nl-BE"/>
        </w:rPr>
      </w:pPr>
      <w:r>
        <w:rPr>
          <w:rFonts w:cs="Helv"/>
          <w:b/>
          <w:i/>
          <w:color w:val="000000"/>
          <w:szCs w:val="20"/>
          <w:lang w:val="nl-BE" w:eastAsia="nl-BE"/>
        </w:rPr>
        <w:t>B</w:t>
      </w:r>
      <w:r w:rsidRPr="009B3444">
        <w:rPr>
          <w:rFonts w:cs="Helv"/>
          <w:b/>
          <w:i/>
          <w:color w:val="000000"/>
          <w:szCs w:val="20"/>
          <w:lang w:val="nl-BE" w:eastAsia="nl-BE"/>
        </w:rPr>
        <w:t xml:space="preserve">uitengewoon onderwijs </w:t>
      </w:r>
    </w:p>
    <w:p w:rsidR="009B3444"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9B3444" w:rsidRDefault="009B3444"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Ook</w:t>
      </w:r>
      <w:r w:rsidR="00551259" w:rsidRPr="00573E3E">
        <w:rPr>
          <w:rFonts w:cs="Helv"/>
          <w:color w:val="000000"/>
          <w:szCs w:val="20"/>
          <w:lang w:val="nl-BE" w:eastAsia="nl-BE"/>
        </w:rPr>
        <w:t xml:space="preserve"> </w:t>
      </w:r>
      <w:r>
        <w:rPr>
          <w:rFonts w:cs="Helv"/>
          <w:color w:val="000000"/>
          <w:szCs w:val="20"/>
          <w:lang w:val="nl-BE" w:eastAsia="nl-BE"/>
        </w:rPr>
        <w:t>kinderen</w:t>
      </w:r>
      <w:r w:rsidR="00551259" w:rsidRPr="00573E3E">
        <w:rPr>
          <w:rFonts w:cs="Helv"/>
          <w:color w:val="000000"/>
          <w:szCs w:val="20"/>
          <w:lang w:val="nl-BE" w:eastAsia="nl-BE"/>
        </w:rPr>
        <w:t xml:space="preserve"> die buitengewoon onderwijs volgen in bepaalde types (BKO/BLO type 2, 4, 5, 6 of 7, BUSO opleidingsvorm 1 of 2</w:t>
      </w:r>
      <w:r>
        <w:rPr>
          <w:rFonts w:cs="Helv"/>
          <w:color w:val="000000"/>
          <w:szCs w:val="20"/>
          <w:lang w:val="nl-BE" w:eastAsia="nl-BE"/>
        </w:rPr>
        <w:t>) kunnen beroep doen op de versnelde inschrijvingsprocedure.</w:t>
      </w:r>
    </w:p>
    <w:p w:rsidR="00551259" w:rsidRPr="00573E3E" w:rsidRDefault="00B61796"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r>
        <w:rPr>
          <w:rFonts w:cs="Helv"/>
          <w:color w:val="000000"/>
          <w:szCs w:val="20"/>
          <w:lang w:val="nl-BE" w:eastAsia="nl-BE"/>
        </w:rPr>
        <w:t>Z</w:t>
      </w:r>
      <w:r w:rsidR="00551259" w:rsidRPr="00573E3E">
        <w:rPr>
          <w:rFonts w:cs="Helv"/>
          <w:color w:val="000000"/>
          <w:szCs w:val="20"/>
          <w:lang w:val="nl-BE" w:eastAsia="nl-BE"/>
        </w:rPr>
        <w:t>ij moesten vroeger een attest van de laatst bezochte buitengewone onderwijsinstelling én een kopie van het inschrijvingsverslag voorleggen.</w:t>
      </w:r>
      <w:r>
        <w:rPr>
          <w:rFonts w:cs="Helv"/>
          <w:color w:val="000000"/>
          <w:szCs w:val="20"/>
          <w:lang w:val="nl-BE" w:eastAsia="nl-BE"/>
        </w:rPr>
        <w:t xml:space="preserve"> V</w:t>
      </w:r>
      <w:r w:rsidR="00551259" w:rsidRPr="00573E3E">
        <w:rPr>
          <w:rFonts w:cs="Helv"/>
          <w:color w:val="000000"/>
          <w:szCs w:val="20"/>
          <w:lang w:val="nl-BE" w:eastAsia="nl-BE"/>
        </w:rPr>
        <w:t>anaf 1 oktober</w:t>
      </w:r>
      <w:r>
        <w:rPr>
          <w:rFonts w:cs="Helv"/>
          <w:color w:val="000000"/>
          <w:szCs w:val="20"/>
          <w:lang w:val="nl-BE" w:eastAsia="nl-BE"/>
        </w:rPr>
        <w:t xml:space="preserve"> 2012 volstaat het om één van beide aan het VAPH te bezorgen. </w:t>
      </w:r>
      <w:r w:rsidR="00551259" w:rsidRPr="00573E3E">
        <w:rPr>
          <w:rFonts w:cs="Helv"/>
          <w:color w:val="000000"/>
          <w:szCs w:val="20"/>
          <w:lang w:val="nl-BE" w:eastAsia="nl-BE"/>
        </w:rPr>
        <w:t xml:space="preserve">De aanvrager heeft de keuze om een </w:t>
      </w:r>
      <w:r w:rsidR="00551259" w:rsidRPr="00FD1629">
        <w:rPr>
          <w:rFonts w:cs="Helv"/>
          <w:color w:val="000000"/>
          <w:szCs w:val="20"/>
          <w:u w:val="single"/>
          <w:lang w:val="nl-BE" w:eastAsia="nl-BE"/>
        </w:rPr>
        <w:t>attest van de school voor bijzonder onderwijs of het inschrijvingsverslag</w:t>
      </w:r>
      <w:r w:rsidR="00551259" w:rsidRPr="00573E3E">
        <w:rPr>
          <w:rFonts w:cs="Helv"/>
          <w:color w:val="000000"/>
          <w:szCs w:val="20"/>
          <w:lang w:val="nl-BE" w:eastAsia="nl-BE"/>
        </w:rPr>
        <w:t xml:space="preserve"> voor te leggen.</w:t>
      </w: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73E3E" w:rsidRPr="00573E3E" w:rsidRDefault="00573E3E" w:rsidP="00573E3E">
      <w:pPr>
        <w:jc w:val="both"/>
        <w:rPr>
          <w:rFonts w:cs="Arial"/>
          <w:szCs w:val="20"/>
        </w:rPr>
      </w:pPr>
      <w:r w:rsidRPr="00573E3E">
        <w:rPr>
          <w:rFonts w:cs="Arial"/>
          <w:szCs w:val="20"/>
        </w:rPr>
        <w:t xml:space="preserve">Het inschrijvingsverslag is in feite een voorwaarde om naar het buitengewoon onderwijs te kunnen gaan, maar het houdt geen verplichting in. Het inschrijvingsverslag geeft ook recht op het gebruik van GON begeleiding binnen het gewone onderwijs. Ouders die voor het laatste kiezen worden door deze aanpassing aan de regelgeving niet benadeeld t.o.v. ouders die hun kind naar het buitengewoon onderwijs laten gaan. </w:t>
      </w:r>
    </w:p>
    <w:p w:rsidR="00573E3E" w:rsidRPr="00573E3E" w:rsidRDefault="00573E3E"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eastAsia="nl-BE"/>
        </w:rPr>
      </w:pPr>
    </w:p>
    <w:p w:rsidR="00D73E87" w:rsidRPr="00573E3E" w:rsidRDefault="00D73E87"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D73E87" w:rsidRPr="00573E3E" w:rsidRDefault="00D73E87" w:rsidP="00D73E87">
      <w:pPr>
        <w:pStyle w:val="nieuwpuntjeininfonota"/>
      </w:pPr>
      <w:r w:rsidRPr="00573E3E">
        <w:t>Bijstaan</w:t>
      </w:r>
      <w:r w:rsidR="00B61796">
        <w:t xml:space="preserve"> door een persoon naar keuze</w:t>
      </w:r>
    </w:p>
    <w:p w:rsidR="00D73E87" w:rsidRPr="00573E3E" w:rsidRDefault="00D73E87"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D73E87" w:rsidRPr="00573E3E" w:rsidRDefault="00D73E87" w:rsidP="00D73E87">
      <w:pPr>
        <w:jc w:val="both"/>
        <w:rPr>
          <w:rFonts w:cs="Arial"/>
          <w:szCs w:val="20"/>
        </w:rPr>
      </w:pPr>
      <w:r w:rsidRPr="00573E3E">
        <w:rPr>
          <w:rFonts w:cs="Arial"/>
          <w:szCs w:val="20"/>
        </w:rPr>
        <w:t xml:space="preserve">Het </w:t>
      </w:r>
      <w:r w:rsidR="00FD1629">
        <w:rPr>
          <w:rFonts w:cs="Arial"/>
          <w:szCs w:val="20"/>
        </w:rPr>
        <w:t>oude inschrijvings</w:t>
      </w:r>
      <w:r w:rsidRPr="00573E3E">
        <w:rPr>
          <w:rFonts w:cs="Arial"/>
          <w:szCs w:val="20"/>
        </w:rPr>
        <w:t xml:space="preserve">besluit voorzag dat de persoon met een handicap zich bij het opstellen van de aanvraag en in zijn contacten met het </w:t>
      </w:r>
      <w:r w:rsidR="00B61796">
        <w:rPr>
          <w:rFonts w:cs="Arial"/>
          <w:szCs w:val="20"/>
        </w:rPr>
        <w:t xml:space="preserve">VAPH, </w:t>
      </w:r>
      <w:r w:rsidRPr="00573E3E">
        <w:rPr>
          <w:rFonts w:cs="Arial"/>
          <w:szCs w:val="20"/>
        </w:rPr>
        <w:t xml:space="preserve">evenals op de zitting van de </w:t>
      </w:r>
      <w:r w:rsidR="00B61796">
        <w:rPr>
          <w:rFonts w:cs="Arial"/>
          <w:szCs w:val="20"/>
        </w:rPr>
        <w:t>PEC</w:t>
      </w:r>
      <w:r w:rsidRPr="00573E3E">
        <w:rPr>
          <w:rFonts w:cs="Arial"/>
          <w:szCs w:val="20"/>
        </w:rPr>
        <w:t xml:space="preserve"> kon laten bijstaan door een bloed- of aanverwant tot de derde graad, door een representatieve syndicale organisatie, door een ziekenfonds aangesloten bij een erkende landsbond, door een O.C.M.W., of door een krachtens een decreet van de Vlaamse Gemeenschap erkende of daartoe door de Vlaamse regering gemachtigde organisatie die de personen met een handicap of hun gezinnen vertegenwoordigt. </w:t>
      </w:r>
    </w:p>
    <w:p w:rsidR="00D73E87" w:rsidRPr="00573E3E" w:rsidRDefault="00D73E87" w:rsidP="00D73E87">
      <w:pPr>
        <w:jc w:val="both"/>
        <w:rPr>
          <w:rFonts w:cs="Arial"/>
          <w:szCs w:val="20"/>
        </w:rPr>
      </w:pPr>
    </w:p>
    <w:p w:rsidR="00D73E87" w:rsidRPr="00573E3E" w:rsidRDefault="00B61796" w:rsidP="00B6179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573E3E">
        <w:rPr>
          <w:rFonts w:cs="Helv"/>
          <w:color w:val="000000"/>
          <w:szCs w:val="20"/>
          <w:lang w:val="nl-BE" w:eastAsia="nl-BE"/>
        </w:rPr>
        <w:t xml:space="preserve">Voortaan zullen personen met een handicap zich in hun contacten met het VAPH en bij de zittingen van de PEC kunnen laten </w:t>
      </w:r>
      <w:r w:rsidRPr="00573E3E">
        <w:rPr>
          <w:rFonts w:cs="Helv"/>
          <w:color w:val="000000"/>
          <w:szCs w:val="20"/>
          <w:u w:val="single"/>
          <w:lang w:val="nl-BE" w:eastAsia="nl-BE"/>
        </w:rPr>
        <w:t>bijstaan door een persoon of organisatie naar keuze</w:t>
      </w:r>
      <w:r w:rsidRPr="00573E3E">
        <w:rPr>
          <w:rFonts w:cs="Helv"/>
          <w:color w:val="000000"/>
          <w:szCs w:val="20"/>
          <w:lang w:val="nl-BE" w:eastAsia="nl-BE"/>
        </w:rPr>
        <w:t xml:space="preserve">. </w:t>
      </w:r>
      <w:r w:rsidR="00D73E87" w:rsidRPr="00573E3E">
        <w:rPr>
          <w:rFonts w:cs="Arial"/>
          <w:szCs w:val="20"/>
        </w:rPr>
        <w:t>Het aangepaste</w:t>
      </w:r>
      <w:r>
        <w:rPr>
          <w:rFonts w:cs="Arial"/>
          <w:szCs w:val="20"/>
        </w:rPr>
        <w:t xml:space="preserve"> besluit heft de vorige limitatieve lijst op.</w:t>
      </w:r>
    </w:p>
    <w:p w:rsidR="00D73E87" w:rsidRPr="00573E3E" w:rsidRDefault="00D73E87" w:rsidP="00D73E87">
      <w:pPr>
        <w:jc w:val="both"/>
        <w:rPr>
          <w:rFonts w:cs="Arial"/>
          <w:szCs w:val="20"/>
        </w:rPr>
      </w:pPr>
    </w:p>
    <w:p w:rsidR="00D73E87" w:rsidRDefault="00D73E87" w:rsidP="00D73E87">
      <w:pPr>
        <w:jc w:val="both"/>
        <w:rPr>
          <w:rFonts w:cs="Arial"/>
          <w:szCs w:val="20"/>
        </w:rPr>
      </w:pPr>
      <w:r w:rsidRPr="00573E3E">
        <w:rPr>
          <w:rFonts w:cs="Arial"/>
          <w:szCs w:val="20"/>
        </w:rPr>
        <w:t>Bij de opmaak van een verslag bij een multidisciplinair team kan de persoon met een handicap zich reeds laten bijstaan door een persoon naar keuze (dit is vastgelegd in de mini</w:t>
      </w:r>
      <w:r w:rsidR="00B61796">
        <w:rPr>
          <w:rFonts w:cs="Arial"/>
          <w:szCs w:val="20"/>
        </w:rPr>
        <w:t>male kwaliteitseisen), alsook bij de zitting van de heroverwegingscommissie (HOC).</w:t>
      </w:r>
    </w:p>
    <w:p w:rsidR="00B61796" w:rsidRPr="00573E3E" w:rsidRDefault="00B61796" w:rsidP="00D73E87">
      <w:pPr>
        <w:jc w:val="both"/>
        <w:rPr>
          <w:rFonts w:cs="Arial"/>
          <w:szCs w:val="20"/>
        </w:rPr>
      </w:pPr>
    </w:p>
    <w:p w:rsidR="00B61796" w:rsidRPr="00573E3E" w:rsidRDefault="00B61796" w:rsidP="00B61796">
      <w:pPr>
        <w:jc w:val="both"/>
        <w:rPr>
          <w:rFonts w:cs="Arial"/>
          <w:szCs w:val="20"/>
        </w:rPr>
      </w:pPr>
      <w:r w:rsidRPr="00573E3E">
        <w:rPr>
          <w:rFonts w:cs="Arial"/>
          <w:szCs w:val="20"/>
        </w:rPr>
        <w:t>Het leek ons dan ook aangewezen dat diezelfde persoon de betrokkene ook kan bijstaan in zijn</w:t>
      </w:r>
      <w:r>
        <w:rPr>
          <w:rFonts w:cs="Arial"/>
          <w:szCs w:val="20"/>
        </w:rPr>
        <w:t xml:space="preserve"> of haar contacten met het VAPH en bij de zitting van de PEC.</w:t>
      </w:r>
    </w:p>
    <w:p w:rsidR="00D73E87" w:rsidRPr="00573E3E" w:rsidRDefault="00D73E87" w:rsidP="00D73E87">
      <w:pPr>
        <w:jc w:val="both"/>
        <w:rPr>
          <w:rFonts w:cs="Arial"/>
          <w:szCs w:val="20"/>
        </w:rPr>
      </w:pPr>
    </w:p>
    <w:p w:rsidR="00D73E87" w:rsidRPr="00573E3E" w:rsidRDefault="00D73E87"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551259" w:rsidRPr="00573E3E" w:rsidRDefault="00551259" w:rsidP="00551259">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Cs w:val="20"/>
          <w:lang w:val="nl-BE" w:eastAsia="nl-BE"/>
        </w:rPr>
      </w:pPr>
    </w:p>
    <w:p w:rsidR="00D73E87" w:rsidRPr="00573E3E" w:rsidRDefault="00B61796" w:rsidP="00D73E87">
      <w:pPr>
        <w:pStyle w:val="nieuwpuntjeininfonota"/>
      </w:pPr>
      <w:r>
        <w:t>A</w:t>
      </w:r>
      <w:r w:rsidR="00D73E87" w:rsidRPr="00573E3E">
        <w:t>anpassing van het begrippenkader</w:t>
      </w:r>
    </w:p>
    <w:p w:rsidR="00D73E87" w:rsidRPr="00573E3E" w:rsidRDefault="00D73E87" w:rsidP="00D73E87">
      <w:pPr>
        <w:pStyle w:val="nieuwpuntjeininfonota"/>
        <w:numPr>
          <w:ilvl w:val="0"/>
          <w:numId w:val="0"/>
        </w:numPr>
        <w:ind w:left="720"/>
      </w:pPr>
    </w:p>
    <w:p w:rsidR="00B61796" w:rsidRPr="00573E3E" w:rsidRDefault="00D73E87" w:rsidP="00FD1629">
      <w:pPr>
        <w:rPr>
          <w:lang w:val="nl-BE" w:eastAsia="nl-BE"/>
        </w:rPr>
      </w:pPr>
      <w:r w:rsidRPr="00573E3E">
        <w:rPr>
          <w:bCs/>
          <w:spacing w:val="-3"/>
          <w:lang w:val="nl-BE"/>
        </w:rPr>
        <w:t xml:space="preserve">Het begrippenkader in het nieuwe besluit is aangepast </w:t>
      </w:r>
      <w:r w:rsidR="00B61796">
        <w:rPr>
          <w:lang w:val="nl-BE" w:eastAsia="nl-BE"/>
        </w:rPr>
        <w:t>a</w:t>
      </w:r>
      <w:r w:rsidR="00B61796" w:rsidRPr="00573E3E">
        <w:rPr>
          <w:lang w:val="nl-BE" w:eastAsia="nl-BE"/>
        </w:rPr>
        <w:t>an het begrippenkader van het decreet van 7 mei 2004 tot oprichting van het VAPH.</w:t>
      </w:r>
    </w:p>
    <w:p w:rsidR="00D73E87" w:rsidRPr="00573E3E" w:rsidRDefault="00D73E87" w:rsidP="00FD1629">
      <w:pPr>
        <w:rPr>
          <w:bCs/>
          <w:spacing w:val="-3"/>
          <w:lang w:val="nl-BE"/>
        </w:rPr>
      </w:pPr>
    </w:p>
    <w:p w:rsidR="00D73E87" w:rsidRPr="00573E3E" w:rsidRDefault="00D73E87" w:rsidP="00FD1629">
      <w:pPr>
        <w:rPr>
          <w:lang w:val="nl-BE"/>
        </w:rPr>
      </w:pPr>
      <w:r w:rsidRPr="00573E3E">
        <w:rPr>
          <w:lang w:val="nl-BE"/>
        </w:rPr>
        <w:t xml:space="preserve">Jullie zullen </w:t>
      </w:r>
      <w:r w:rsidR="00B61796">
        <w:rPr>
          <w:lang w:val="nl-BE"/>
        </w:rPr>
        <w:t xml:space="preserve">dit </w:t>
      </w:r>
      <w:r w:rsidRPr="00573E3E">
        <w:rPr>
          <w:lang w:val="nl-BE"/>
        </w:rPr>
        <w:t xml:space="preserve">vooral merken </w:t>
      </w:r>
      <w:r w:rsidR="00B61796">
        <w:rPr>
          <w:lang w:val="nl-BE"/>
        </w:rPr>
        <w:t>in de communicatie die jullie</w:t>
      </w:r>
      <w:r w:rsidRPr="00573E3E">
        <w:rPr>
          <w:lang w:val="nl-BE"/>
        </w:rPr>
        <w:t xml:space="preserve"> vanuit het VAPH </w:t>
      </w:r>
      <w:r w:rsidR="00B61796">
        <w:rPr>
          <w:lang w:val="nl-BE"/>
        </w:rPr>
        <w:t xml:space="preserve">ontvangen. Het gebruik van </w:t>
      </w:r>
      <w:r w:rsidR="00FD1629">
        <w:rPr>
          <w:lang w:val="nl-BE"/>
        </w:rPr>
        <w:t>deze ‘nieuwe’</w:t>
      </w:r>
      <w:r w:rsidR="00B61796">
        <w:rPr>
          <w:lang w:val="nl-BE"/>
        </w:rPr>
        <w:t xml:space="preserve"> begrippen heeft echter geen inhoudelijke consequenties.</w:t>
      </w:r>
    </w:p>
    <w:p w:rsidR="00D73E87" w:rsidRPr="00573E3E" w:rsidRDefault="00D73E87" w:rsidP="00FD1629">
      <w:pPr>
        <w:rPr>
          <w:bCs/>
          <w:spacing w:val="-3"/>
          <w:lang w:val="nl-BE"/>
        </w:rPr>
      </w:pPr>
    </w:p>
    <w:p w:rsidR="008E1BC0" w:rsidRDefault="00D73E87" w:rsidP="00D73E87">
      <w:pPr>
        <w:jc w:val="both"/>
        <w:rPr>
          <w:rFonts w:cs="Arial"/>
          <w:i/>
          <w:iCs/>
          <w:szCs w:val="20"/>
        </w:rPr>
      </w:pPr>
      <w:r w:rsidRPr="00573E3E">
        <w:rPr>
          <w:rFonts w:cs="Arial"/>
          <w:szCs w:val="20"/>
        </w:rPr>
        <w:t xml:space="preserve">In het decreet van 7 mei 2004 hanteert men </w:t>
      </w:r>
      <w:r w:rsidR="008E1BC0">
        <w:rPr>
          <w:rFonts w:cs="Arial"/>
          <w:szCs w:val="20"/>
        </w:rPr>
        <w:t xml:space="preserve">voornamelijk de </w:t>
      </w:r>
      <w:r w:rsidRPr="00573E3E">
        <w:rPr>
          <w:rFonts w:cs="Arial"/>
          <w:szCs w:val="20"/>
        </w:rPr>
        <w:t>begrippen</w:t>
      </w:r>
      <w:r w:rsidR="008E1BC0">
        <w:rPr>
          <w:rFonts w:cs="Arial"/>
          <w:szCs w:val="20"/>
        </w:rPr>
        <w:t xml:space="preserve"> </w:t>
      </w:r>
      <w:r w:rsidRPr="008E1BC0">
        <w:rPr>
          <w:rFonts w:cs="Arial"/>
          <w:i/>
          <w:iCs/>
          <w:szCs w:val="20"/>
        </w:rPr>
        <w:t>ondersteuning</w:t>
      </w:r>
      <w:r w:rsidR="008E1BC0">
        <w:rPr>
          <w:rFonts w:cs="Arial"/>
          <w:szCs w:val="20"/>
        </w:rPr>
        <w:t xml:space="preserve"> en </w:t>
      </w:r>
      <w:r w:rsidR="008E1BC0" w:rsidRPr="008E1BC0">
        <w:rPr>
          <w:rFonts w:cs="Arial"/>
          <w:i/>
          <w:iCs/>
          <w:szCs w:val="20"/>
        </w:rPr>
        <w:t>toewijzing</w:t>
      </w:r>
      <w:r w:rsidR="008E1BC0">
        <w:rPr>
          <w:rFonts w:cs="Arial"/>
          <w:i/>
          <w:iCs/>
          <w:szCs w:val="20"/>
        </w:rPr>
        <w:t xml:space="preserve">. </w:t>
      </w:r>
    </w:p>
    <w:p w:rsidR="008E1BC0" w:rsidRDefault="008E1BC0" w:rsidP="00D73E87">
      <w:pPr>
        <w:jc w:val="both"/>
        <w:rPr>
          <w:rFonts w:cs="Arial"/>
          <w:szCs w:val="20"/>
        </w:rPr>
      </w:pPr>
    </w:p>
    <w:p w:rsidR="00D73E87" w:rsidRPr="008E1BC0" w:rsidRDefault="00D73E87" w:rsidP="00D73E87">
      <w:pPr>
        <w:jc w:val="both"/>
        <w:rPr>
          <w:rFonts w:cs="Arial"/>
          <w:szCs w:val="20"/>
        </w:rPr>
      </w:pPr>
      <w:r w:rsidRPr="008E1BC0">
        <w:rPr>
          <w:rFonts w:cs="Arial"/>
          <w:i/>
          <w:iCs/>
          <w:szCs w:val="20"/>
        </w:rPr>
        <w:t>Ondersteuning</w:t>
      </w:r>
      <w:r w:rsidRPr="008E1BC0">
        <w:rPr>
          <w:rFonts w:cs="Arial"/>
          <w:szCs w:val="20"/>
        </w:rPr>
        <w:t xml:space="preserve"> wordt gedefinieerd als elke materiële of immateriële hulp en elke vorm van hulp- en dienstverlening die in het kader van dit decreet, met het oog op hun maatschappelijke integratie, aan personen met een handicap wordt verstrekt.</w:t>
      </w:r>
      <w:r w:rsidR="008E1BC0">
        <w:rPr>
          <w:rFonts w:cs="Arial"/>
          <w:szCs w:val="20"/>
        </w:rPr>
        <w:t xml:space="preserve"> </w:t>
      </w:r>
    </w:p>
    <w:p w:rsidR="00D73E87" w:rsidRPr="008E1BC0" w:rsidRDefault="00D73E87" w:rsidP="00D73E87">
      <w:pPr>
        <w:jc w:val="both"/>
        <w:rPr>
          <w:rFonts w:cs="Arial"/>
          <w:szCs w:val="20"/>
        </w:rPr>
      </w:pPr>
      <w:r w:rsidRPr="008E1BC0">
        <w:rPr>
          <w:rFonts w:cs="Arial"/>
          <w:szCs w:val="20"/>
        </w:rPr>
        <w:t xml:space="preserve"> </w:t>
      </w:r>
    </w:p>
    <w:p w:rsidR="00D73E87" w:rsidRPr="008E1BC0" w:rsidRDefault="00D73E87" w:rsidP="00D73E87">
      <w:pPr>
        <w:jc w:val="both"/>
        <w:rPr>
          <w:rFonts w:cs="Arial"/>
          <w:szCs w:val="20"/>
        </w:rPr>
      </w:pPr>
      <w:r w:rsidRPr="008E1BC0">
        <w:rPr>
          <w:rFonts w:cs="Arial"/>
          <w:iCs/>
          <w:szCs w:val="20"/>
        </w:rPr>
        <w:t xml:space="preserve">De </w:t>
      </w:r>
      <w:r w:rsidRPr="008E1BC0">
        <w:rPr>
          <w:rFonts w:cs="Arial"/>
          <w:i/>
          <w:szCs w:val="20"/>
        </w:rPr>
        <w:t>toewijzing</w:t>
      </w:r>
      <w:r w:rsidRPr="008E1BC0">
        <w:rPr>
          <w:rFonts w:cs="Arial"/>
          <w:szCs w:val="20"/>
        </w:rPr>
        <w:t xml:space="preserve"> is de beslissing van het agentschap die bepaalt welke ondersteuning het ten laste zal nemen.</w:t>
      </w:r>
    </w:p>
    <w:p w:rsidR="00D73E87" w:rsidRDefault="00D73E87" w:rsidP="00D73E87">
      <w:pPr>
        <w:jc w:val="both"/>
        <w:rPr>
          <w:rFonts w:cs="Arial"/>
          <w:szCs w:val="20"/>
        </w:rPr>
      </w:pPr>
    </w:p>
    <w:p w:rsidR="008E1BC0" w:rsidRPr="008E1BC0" w:rsidRDefault="008E1BC0" w:rsidP="008E1BC0">
      <w:pPr>
        <w:jc w:val="both"/>
        <w:rPr>
          <w:rFonts w:cs="Arial"/>
          <w:iCs/>
          <w:szCs w:val="20"/>
        </w:rPr>
      </w:pPr>
      <w:r w:rsidRPr="008E1BC0">
        <w:rPr>
          <w:rFonts w:cs="Arial"/>
          <w:iCs/>
          <w:szCs w:val="20"/>
        </w:rPr>
        <w:t xml:space="preserve">De begrippen </w:t>
      </w:r>
      <w:r w:rsidRPr="008E1BC0">
        <w:rPr>
          <w:rFonts w:cs="Arial"/>
          <w:i/>
          <w:iCs/>
          <w:szCs w:val="20"/>
        </w:rPr>
        <w:t>inschrijving</w:t>
      </w:r>
      <w:r w:rsidRPr="008E1BC0">
        <w:rPr>
          <w:rFonts w:cs="Arial"/>
          <w:iCs/>
          <w:szCs w:val="20"/>
        </w:rPr>
        <w:t xml:space="preserve">, </w:t>
      </w:r>
      <w:r w:rsidRPr="008E1BC0">
        <w:rPr>
          <w:rFonts w:cs="Arial"/>
          <w:i/>
          <w:iCs/>
          <w:szCs w:val="20"/>
        </w:rPr>
        <w:t>bijstand</w:t>
      </w:r>
      <w:r w:rsidRPr="008E1BC0">
        <w:rPr>
          <w:rFonts w:cs="Arial"/>
          <w:iCs/>
          <w:szCs w:val="20"/>
        </w:rPr>
        <w:t>,</w:t>
      </w:r>
      <w:r>
        <w:rPr>
          <w:rFonts w:cs="Arial"/>
          <w:iCs/>
          <w:szCs w:val="20"/>
        </w:rPr>
        <w:t xml:space="preserve"> </w:t>
      </w:r>
      <w:r w:rsidRPr="008E1BC0">
        <w:rPr>
          <w:rFonts w:cs="Arial"/>
          <w:i/>
          <w:iCs/>
          <w:szCs w:val="20"/>
        </w:rPr>
        <w:t>tenlasteneming</w:t>
      </w:r>
      <w:r w:rsidRPr="008E1BC0">
        <w:rPr>
          <w:rFonts w:cs="Arial"/>
          <w:iCs/>
          <w:szCs w:val="20"/>
        </w:rPr>
        <w:t xml:space="preserve"> en </w:t>
      </w:r>
      <w:r w:rsidRPr="008E1BC0">
        <w:rPr>
          <w:rFonts w:cs="Arial"/>
          <w:i/>
          <w:iCs/>
          <w:szCs w:val="20"/>
        </w:rPr>
        <w:t>integratieprotoc</w:t>
      </w:r>
      <w:r>
        <w:rPr>
          <w:rFonts w:cs="Arial"/>
          <w:i/>
          <w:iCs/>
          <w:szCs w:val="20"/>
        </w:rPr>
        <w:t>o</w:t>
      </w:r>
      <w:r w:rsidRPr="008E1BC0">
        <w:rPr>
          <w:rFonts w:cs="Arial"/>
          <w:i/>
          <w:iCs/>
          <w:szCs w:val="20"/>
        </w:rPr>
        <w:t>l</w:t>
      </w:r>
      <w:r>
        <w:rPr>
          <w:rFonts w:cs="Arial"/>
          <w:iCs/>
          <w:szCs w:val="20"/>
        </w:rPr>
        <w:t xml:space="preserve"> worden</w:t>
      </w:r>
      <w:r w:rsidRPr="008E1BC0">
        <w:rPr>
          <w:rFonts w:cs="Arial"/>
          <w:iCs/>
          <w:szCs w:val="20"/>
        </w:rPr>
        <w:t xml:space="preserve"> </w:t>
      </w:r>
      <w:r>
        <w:rPr>
          <w:rFonts w:cs="Arial"/>
          <w:iCs/>
          <w:szCs w:val="20"/>
        </w:rPr>
        <w:t xml:space="preserve">in </w:t>
      </w:r>
      <w:r w:rsidRPr="00573E3E">
        <w:rPr>
          <w:rFonts w:cs="Arial"/>
          <w:szCs w:val="20"/>
        </w:rPr>
        <w:t xml:space="preserve">het </w:t>
      </w:r>
      <w:r w:rsidR="00FD1629">
        <w:rPr>
          <w:rFonts w:cs="Arial"/>
          <w:szCs w:val="20"/>
        </w:rPr>
        <w:t>oprichtings</w:t>
      </w:r>
      <w:r w:rsidRPr="00573E3E">
        <w:rPr>
          <w:rFonts w:cs="Arial"/>
          <w:szCs w:val="20"/>
        </w:rPr>
        <w:t xml:space="preserve">decreet van 7 mei 2004 </w:t>
      </w:r>
      <w:r w:rsidR="00FD1629">
        <w:rPr>
          <w:rFonts w:cs="Arial"/>
          <w:iCs/>
          <w:szCs w:val="20"/>
        </w:rPr>
        <w:t>niet</w:t>
      </w:r>
      <w:r>
        <w:rPr>
          <w:rFonts w:cs="Arial"/>
          <w:iCs/>
          <w:szCs w:val="20"/>
        </w:rPr>
        <w:t xml:space="preserve"> </w:t>
      </w:r>
      <w:r w:rsidR="00FD1629">
        <w:rPr>
          <w:rFonts w:cs="Arial"/>
          <w:iCs/>
          <w:szCs w:val="20"/>
        </w:rPr>
        <w:t>gebruikt en zullen ook niet meer voorkomen in het nieuwe besluit.</w:t>
      </w:r>
    </w:p>
    <w:p w:rsidR="008E1BC0" w:rsidRDefault="008E1BC0" w:rsidP="00D73E87">
      <w:pPr>
        <w:jc w:val="both"/>
        <w:rPr>
          <w:rFonts w:cs="Arial"/>
          <w:szCs w:val="20"/>
        </w:rPr>
      </w:pPr>
    </w:p>
    <w:p w:rsidR="008E1BC0" w:rsidRPr="00573E3E" w:rsidRDefault="008E1BC0" w:rsidP="008E1BC0">
      <w:pPr>
        <w:jc w:val="both"/>
        <w:rPr>
          <w:rFonts w:cs="Arial"/>
          <w:szCs w:val="20"/>
        </w:rPr>
      </w:pPr>
      <w:r w:rsidRPr="00573E3E">
        <w:rPr>
          <w:rFonts w:cs="Arial"/>
          <w:szCs w:val="20"/>
        </w:rPr>
        <w:t xml:space="preserve">In </w:t>
      </w:r>
      <w:r>
        <w:rPr>
          <w:rFonts w:cs="Arial"/>
          <w:szCs w:val="20"/>
        </w:rPr>
        <w:t>het nieuwe</w:t>
      </w:r>
      <w:r w:rsidRPr="00573E3E">
        <w:rPr>
          <w:rFonts w:cs="Arial"/>
          <w:szCs w:val="20"/>
        </w:rPr>
        <w:t xml:space="preserve"> besluit </w:t>
      </w:r>
      <w:r>
        <w:rPr>
          <w:rFonts w:cs="Arial"/>
          <w:szCs w:val="20"/>
        </w:rPr>
        <w:t>werden</w:t>
      </w:r>
      <w:r w:rsidRPr="00573E3E">
        <w:rPr>
          <w:rFonts w:cs="Arial"/>
          <w:szCs w:val="20"/>
        </w:rPr>
        <w:t xml:space="preserve"> de termen </w:t>
      </w:r>
      <w:r w:rsidRPr="008E1BC0">
        <w:rPr>
          <w:rFonts w:cs="Arial"/>
          <w:i/>
          <w:szCs w:val="20"/>
        </w:rPr>
        <w:t xml:space="preserve">aanvraag om inschrijving </w:t>
      </w:r>
      <w:r w:rsidRPr="00573E3E">
        <w:rPr>
          <w:rFonts w:cs="Arial"/>
          <w:szCs w:val="20"/>
        </w:rPr>
        <w:t xml:space="preserve">en </w:t>
      </w:r>
      <w:r w:rsidRPr="008E1BC0">
        <w:rPr>
          <w:rFonts w:cs="Arial"/>
          <w:i/>
          <w:szCs w:val="20"/>
        </w:rPr>
        <w:t>aanvraag om bijstand</w:t>
      </w:r>
      <w:r w:rsidRPr="00573E3E">
        <w:rPr>
          <w:rFonts w:cs="Arial"/>
          <w:szCs w:val="20"/>
        </w:rPr>
        <w:t xml:space="preserve"> vervangen worden door</w:t>
      </w:r>
      <w:r w:rsidRPr="008E1BC0">
        <w:rPr>
          <w:rFonts w:cs="Arial"/>
          <w:szCs w:val="20"/>
        </w:rPr>
        <w:t xml:space="preserve"> </w:t>
      </w:r>
      <w:r w:rsidRPr="008E1BC0">
        <w:rPr>
          <w:rFonts w:cs="Arial"/>
          <w:i/>
          <w:szCs w:val="20"/>
        </w:rPr>
        <w:t>aanvraag om ondersteuning</w:t>
      </w:r>
      <w:r w:rsidRPr="008E1BC0">
        <w:rPr>
          <w:rFonts w:cs="Arial"/>
          <w:szCs w:val="20"/>
        </w:rPr>
        <w:t xml:space="preserve"> </w:t>
      </w:r>
      <w:r w:rsidRPr="00573E3E">
        <w:rPr>
          <w:rFonts w:cs="Arial"/>
          <w:szCs w:val="20"/>
        </w:rPr>
        <w:t xml:space="preserve">en </w:t>
      </w:r>
      <w:r>
        <w:rPr>
          <w:rFonts w:cs="Arial"/>
          <w:szCs w:val="20"/>
        </w:rPr>
        <w:t>wordt</w:t>
      </w:r>
      <w:r w:rsidRPr="00573E3E">
        <w:rPr>
          <w:rFonts w:cs="Arial"/>
          <w:szCs w:val="20"/>
        </w:rPr>
        <w:t xml:space="preserve"> het begrip </w:t>
      </w:r>
      <w:r w:rsidRPr="008E1BC0">
        <w:rPr>
          <w:rFonts w:cs="Arial"/>
          <w:i/>
          <w:szCs w:val="20"/>
        </w:rPr>
        <w:t>integratieprotocol</w:t>
      </w:r>
      <w:r w:rsidRPr="00573E3E">
        <w:rPr>
          <w:rFonts w:cs="Arial"/>
          <w:szCs w:val="20"/>
        </w:rPr>
        <w:t xml:space="preserve"> niet meer gebruikt. De PEC bepaalt of iemand een persoon met een handicap is, of hij nood heeft aan </w:t>
      </w:r>
      <w:r w:rsidRPr="008E1BC0">
        <w:rPr>
          <w:rFonts w:cs="Arial"/>
          <w:szCs w:val="20"/>
        </w:rPr>
        <w:t>ondersteuning</w:t>
      </w:r>
      <w:r w:rsidRPr="00573E3E">
        <w:rPr>
          <w:rFonts w:cs="Arial"/>
          <w:szCs w:val="20"/>
        </w:rPr>
        <w:t xml:space="preserve"> en welke vorm van ondersteuning het meest aangewezen is. Tenlasteneming wordt vervangen door het begrip </w:t>
      </w:r>
      <w:r w:rsidRPr="00573E3E">
        <w:rPr>
          <w:rFonts w:cs="Arial"/>
          <w:i/>
          <w:szCs w:val="20"/>
        </w:rPr>
        <w:t>toewijzing</w:t>
      </w:r>
      <w:r w:rsidRPr="00573E3E">
        <w:rPr>
          <w:rFonts w:cs="Arial"/>
          <w:szCs w:val="20"/>
        </w:rPr>
        <w:t>.</w:t>
      </w:r>
    </w:p>
    <w:p w:rsidR="008E1BC0" w:rsidRPr="008E1BC0" w:rsidRDefault="008E1BC0" w:rsidP="008E1BC0">
      <w:pPr>
        <w:jc w:val="both"/>
        <w:rPr>
          <w:rFonts w:cs="Arial"/>
          <w:szCs w:val="20"/>
        </w:rPr>
      </w:pPr>
    </w:p>
    <w:p w:rsidR="00D73E87" w:rsidRPr="00573E3E" w:rsidRDefault="00D73E87" w:rsidP="00D73E87">
      <w:pPr>
        <w:jc w:val="both"/>
        <w:rPr>
          <w:rFonts w:cs="Arial"/>
          <w:szCs w:val="20"/>
        </w:rPr>
      </w:pPr>
      <w:r w:rsidRPr="00573E3E">
        <w:rPr>
          <w:rFonts w:cs="Arial"/>
          <w:szCs w:val="20"/>
        </w:rPr>
        <w:t>Het loslaten van het begrip ‘inschrijving’ en ‘aanvraag om inschrijving’ heeft</w:t>
      </w:r>
      <w:r w:rsidR="00FD1629">
        <w:rPr>
          <w:rFonts w:cs="Arial"/>
          <w:szCs w:val="20"/>
        </w:rPr>
        <w:t>, zoals eerder gezegd,</w:t>
      </w:r>
      <w:r w:rsidRPr="00573E3E">
        <w:rPr>
          <w:rFonts w:cs="Arial"/>
          <w:szCs w:val="20"/>
        </w:rPr>
        <w:t xml:space="preserve"> geen inhoudelijke consequenties. De vrees zou kunnen bestaan dat het loslaten van het begrip inschrijving de rechten van personen inkrimpt ten aanzien van de </w:t>
      </w:r>
      <w:r w:rsidR="00FD1629">
        <w:rPr>
          <w:rFonts w:cs="Arial"/>
          <w:szCs w:val="20"/>
        </w:rPr>
        <w:t>vorige</w:t>
      </w:r>
      <w:r w:rsidRPr="00573E3E">
        <w:rPr>
          <w:rFonts w:cs="Arial"/>
          <w:szCs w:val="20"/>
        </w:rPr>
        <w:t xml:space="preserve"> situatie. Dit is evenwel niet het geval.</w:t>
      </w:r>
    </w:p>
    <w:p w:rsidR="00D73E87" w:rsidRPr="00573E3E" w:rsidRDefault="00D73E87" w:rsidP="00D73E87">
      <w:pPr>
        <w:jc w:val="both"/>
        <w:rPr>
          <w:rFonts w:cs="Arial"/>
          <w:szCs w:val="20"/>
        </w:rPr>
      </w:pPr>
      <w:r w:rsidRPr="00573E3E">
        <w:rPr>
          <w:rFonts w:cs="Arial"/>
          <w:szCs w:val="20"/>
        </w:rPr>
        <w:t xml:space="preserve"> </w:t>
      </w:r>
    </w:p>
    <w:p w:rsidR="00D73E87" w:rsidRPr="00573E3E" w:rsidRDefault="00D73E87" w:rsidP="00D73E87">
      <w:pPr>
        <w:jc w:val="both"/>
        <w:rPr>
          <w:rFonts w:cs="Arial"/>
          <w:szCs w:val="20"/>
        </w:rPr>
      </w:pPr>
      <w:r w:rsidRPr="00573E3E">
        <w:rPr>
          <w:rFonts w:cs="Arial"/>
          <w:szCs w:val="20"/>
        </w:rPr>
        <w:t>Het feit dat niet meer expliciet over inschrijving wordt gesproken doet niets af aan het feit dat een erkenning als persoon met een handicap zoals omschreven in het voormelde decreet van 7</w:t>
      </w:r>
      <w:r w:rsidR="00FD1629">
        <w:rPr>
          <w:rFonts w:cs="Arial"/>
          <w:szCs w:val="20"/>
        </w:rPr>
        <w:t xml:space="preserve"> </w:t>
      </w:r>
      <w:r w:rsidRPr="00573E3E">
        <w:rPr>
          <w:rFonts w:cs="Arial"/>
          <w:szCs w:val="20"/>
        </w:rPr>
        <w:t>mei 2004 een noodzakelijke voorwaarde blijft voor het toekennen van ondersteuning.</w:t>
      </w:r>
    </w:p>
    <w:p w:rsidR="00D73E87" w:rsidRPr="00573E3E" w:rsidRDefault="00D73E87" w:rsidP="00D73E87">
      <w:pPr>
        <w:jc w:val="both"/>
        <w:rPr>
          <w:rFonts w:cs="Arial"/>
          <w:szCs w:val="20"/>
        </w:rPr>
      </w:pPr>
    </w:p>
    <w:p w:rsidR="00D73E87" w:rsidRPr="00573E3E" w:rsidRDefault="00D73E87" w:rsidP="00D73E87">
      <w:pPr>
        <w:pStyle w:val="Plattetekst3"/>
        <w:rPr>
          <w:rFonts w:cs="Arial"/>
          <w:b/>
          <w:bCs/>
          <w:sz w:val="20"/>
        </w:rPr>
      </w:pPr>
      <w:r w:rsidRPr="00573E3E">
        <w:rPr>
          <w:rFonts w:cs="Arial"/>
          <w:sz w:val="20"/>
        </w:rPr>
        <w:t>Bovendien wordt iemand pas erkend als persoon met een handicap als er een ernstig en langdurig participatieprobleem is. In vele gevallen zal het participatieprobleem onomkeerbaar zijn en zal een erkenning als persoon met een handicap bijgevolg definitief zijn.</w:t>
      </w:r>
    </w:p>
    <w:p w:rsidR="00D73E87" w:rsidRPr="00573E3E" w:rsidRDefault="00D73E87" w:rsidP="00D73E87">
      <w:pPr>
        <w:jc w:val="both"/>
        <w:rPr>
          <w:rFonts w:cs="Arial"/>
          <w:szCs w:val="20"/>
        </w:rPr>
      </w:pPr>
    </w:p>
    <w:p w:rsidR="00D73E87" w:rsidRPr="00573E3E" w:rsidRDefault="00D73E87" w:rsidP="00D73E87">
      <w:pPr>
        <w:pStyle w:val="Plattetekst3"/>
        <w:rPr>
          <w:rFonts w:cs="Arial"/>
          <w:b/>
          <w:bCs/>
          <w:sz w:val="20"/>
        </w:rPr>
      </w:pPr>
      <w:r w:rsidRPr="00573E3E">
        <w:rPr>
          <w:rFonts w:cs="Arial"/>
          <w:sz w:val="20"/>
        </w:rPr>
        <w:t xml:space="preserve">Het weglaten van het begrip inschrijving brengt ook geen fundamentele verandering in de zogenaamde ‘afgeleide rechten’ (zoals het recht op een lijnpasje) die gekoppeld zijn aan een </w:t>
      </w:r>
      <w:r w:rsidR="00FD1629">
        <w:rPr>
          <w:rFonts w:cs="Arial"/>
          <w:sz w:val="20"/>
        </w:rPr>
        <w:t>‘</w:t>
      </w:r>
      <w:r w:rsidRPr="00573E3E">
        <w:rPr>
          <w:rFonts w:cs="Arial"/>
          <w:sz w:val="20"/>
        </w:rPr>
        <w:t>inschrijving</w:t>
      </w:r>
      <w:r w:rsidR="00FD1629">
        <w:rPr>
          <w:rFonts w:cs="Arial"/>
          <w:sz w:val="20"/>
        </w:rPr>
        <w:t>’</w:t>
      </w:r>
      <w:r w:rsidRPr="00573E3E">
        <w:rPr>
          <w:rFonts w:cs="Arial"/>
          <w:sz w:val="20"/>
        </w:rPr>
        <w:t xml:space="preserve"> bij het VAPH. Wie door het VAPH als persoon met een handicap erkend wordt, heeft recht op een lijnpasje en op eventueel andere afgeleide rechten.</w:t>
      </w:r>
    </w:p>
    <w:p w:rsidR="00D73E87" w:rsidRPr="00573E3E" w:rsidRDefault="00D73E87" w:rsidP="002E779B">
      <w:pPr>
        <w:pStyle w:val="Koptekst"/>
        <w:jc w:val="both"/>
        <w:rPr>
          <w:bCs/>
          <w:spacing w:val="-3"/>
        </w:rPr>
      </w:pPr>
    </w:p>
    <w:p w:rsidR="00D73E87" w:rsidRPr="00573E3E" w:rsidRDefault="00D73E87" w:rsidP="002E779B">
      <w:pPr>
        <w:pStyle w:val="Koptekst"/>
        <w:jc w:val="both"/>
        <w:rPr>
          <w:bCs/>
          <w:spacing w:val="-3"/>
          <w:lang w:val="nl-BE"/>
        </w:rPr>
      </w:pPr>
    </w:p>
    <w:p w:rsidR="00FD1629" w:rsidRDefault="00FD1629">
      <w:pPr>
        <w:rPr>
          <w:b/>
          <w:spacing w:val="-3"/>
          <w:u w:val="single"/>
          <w:lang w:val="nl-BE" w:eastAsia="nl-BE"/>
        </w:rPr>
      </w:pPr>
      <w:r>
        <w:lastRenderedPageBreak/>
        <w:br w:type="page"/>
      </w:r>
    </w:p>
    <w:p w:rsidR="00D73E87" w:rsidRPr="00573E3E" w:rsidRDefault="00D73E87" w:rsidP="00D73E87">
      <w:pPr>
        <w:pStyle w:val="nieuwpuntjeininfonota"/>
      </w:pPr>
      <w:r w:rsidRPr="00573E3E">
        <w:lastRenderedPageBreak/>
        <w:t>Instrumenten</w:t>
      </w:r>
    </w:p>
    <w:p w:rsidR="008E1BC0" w:rsidRDefault="008E1BC0" w:rsidP="00D73E87">
      <w:pPr>
        <w:pStyle w:val="Plattetekst"/>
        <w:rPr>
          <w:rFonts w:ascii="Trebuchet MS" w:hAnsi="Trebuchet MS" w:cs="Arial"/>
          <w:sz w:val="20"/>
        </w:rPr>
      </w:pPr>
    </w:p>
    <w:p w:rsidR="00D73E87" w:rsidRPr="00573E3E" w:rsidRDefault="00D73E87" w:rsidP="00D73E87">
      <w:pPr>
        <w:pStyle w:val="Plattetekst"/>
        <w:rPr>
          <w:rFonts w:ascii="Trebuchet MS" w:hAnsi="Trebuchet MS" w:cs="Arial"/>
          <w:sz w:val="20"/>
        </w:rPr>
      </w:pPr>
      <w:r w:rsidRPr="00573E3E">
        <w:rPr>
          <w:rFonts w:ascii="Trebuchet MS" w:hAnsi="Trebuchet MS" w:cs="Arial"/>
          <w:sz w:val="20"/>
        </w:rPr>
        <w:t xml:space="preserve">Het VAPH heeft intussen reeds heel wat instrumenten ontwikkeld om er voor te zorgen dat diagnose en indicatiestelling  kwalitatief beter verlopen, zoals bv. hulpmiddelenfiches, handicapcodes, diagnostische protocollen, ... </w:t>
      </w:r>
    </w:p>
    <w:p w:rsidR="00D73E87" w:rsidRPr="00573E3E" w:rsidRDefault="00D73E87" w:rsidP="00D73E87">
      <w:pPr>
        <w:pStyle w:val="Plattetekst"/>
        <w:rPr>
          <w:rFonts w:ascii="Trebuchet MS" w:hAnsi="Trebuchet MS" w:cs="Arial"/>
          <w:sz w:val="20"/>
        </w:rPr>
      </w:pPr>
    </w:p>
    <w:p w:rsidR="00D73E87" w:rsidRPr="00573E3E" w:rsidRDefault="00D73E87" w:rsidP="00D73E87">
      <w:pPr>
        <w:pStyle w:val="Plattetekst"/>
        <w:rPr>
          <w:rFonts w:ascii="Trebuchet MS" w:hAnsi="Trebuchet MS" w:cs="Arial"/>
          <w:sz w:val="20"/>
        </w:rPr>
      </w:pPr>
      <w:r w:rsidRPr="00573E3E">
        <w:rPr>
          <w:rFonts w:ascii="Trebuchet MS" w:hAnsi="Trebuchet MS" w:cs="Arial"/>
          <w:sz w:val="20"/>
        </w:rPr>
        <w:t xml:space="preserve">In het nieuwe besluit is het </w:t>
      </w:r>
      <w:r w:rsidRPr="0000182F">
        <w:rPr>
          <w:rFonts w:ascii="Trebuchet MS" w:hAnsi="Trebuchet MS" w:cs="Arial"/>
          <w:sz w:val="20"/>
          <w:u w:val="single"/>
        </w:rPr>
        <w:t>principe</w:t>
      </w:r>
      <w:r w:rsidRPr="00573E3E">
        <w:rPr>
          <w:rFonts w:ascii="Trebuchet MS" w:hAnsi="Trebuchet MS" w:cs="Arial"/>
          <w:sz w:val="20"/>
        </w:rPr>
        <w:t xml:space="preserve"> opgenomen dat de provinciale evaluatiecommissie en de multidisciplinaire teams in de uitoefening van hun opdrachten gebruik maken van deze instrumenten.</w:t>
      </w:r>
    </w:p>
    <w:p w:rsidR="00D73E87" w:rsidRPr="00573E3E" w:rsidRDefault="00D73E87" w:rsidP="00D73E87">
      <w:pPr>
        <w:pStyle w:val="Plattetekst"/>
        <w:rPr>
          <w:rFonts w:ascii="Trebuchet MS" w:hAnsi="Trebuchet MS" w:cs="Arial"/>
          <w:sz w:val="20"/>
        </w:rPr>
      </w:pPr>
    </w:p>
    <w:p w:rsidR="00D73E87" w:rsidRPr="00573E3E" w:rsidRDefault="0000182F" w:rsidP="00D73E87">
      <w:pPr>
        <w:pStyle w:val="Plattetekst"/>
        <w:rPr>
          <w:rFonts w:ascii="Trebuchet MS" w:hAnsi="Trebuchet MS" w:cs="Arial"/>
          <w:sz w:val="20"/>
        </w:rPr>
      </w:pPr>
      <w:r>
        <w:rPr>
          <w:rFonts w:ascii="Trebuchet MS" w:hAnsi="Trebuchet MS" w:cs="Arial"/>
          <w:sz w:val="20"/>
        </w:rPr>
        <w:t xml:space="preserve">De minister bevoegd voor de ondersteuning </w:t>
      </w:r>
      <w:r w:rsidR="00D73E87" w:rsidRPr="00573E3E">
        <w:rPr>
          <w:rFonts w:ascii="Trebuchet MS" w:hAnsi="Trebuchet MS" w:cs="Arial"/>
          <w:sz w:val="20"/>
        </w:rPr>
        <w:t xml:space="preserve">aan </w:t>
      </w:r>
      <w:r>
        <w:rPr>
          <w:rFonts w:ascii="Trebuchet MS" w:hAnsi="Trebuchet MS" w:cs="Arial"/>
          <w:sz w:val="20"/>
        </w:rPr>
        <w:t>personen met een handicap</w:t>
      </w:r>
      <w:r w:rsidR="00D73E87" w:rsidRPr="00573E3E">
        <w:rPr>
          <w:rFonts w:ascii="Trebuchet MS" w:hAnsi="Trebuchet MS" w:cs="Arial"/>
          <w:sz w:val="20"/>
        </w:rPr>
        <w:t xml:space="preserve"> zal nog bepalen vanaf wanneer, welke instr</w:t>
      </w:r>
      <w:r>
        <w:rPr>
          <w:rFonts w:ascii="Trebuchet MS" w:hAnsi="Trebuchet MS" w:cs="Arial"/>
          <w:sz w:val="20"/>
        </w:rPr>
        <w:t>umenten</w:t>
      </w:r>
      <w:r w:rsidR="00D73E87" w:rsidRPr="00573E3E">
        <w:rPr>
          <w:rFonts w:ascii="Trebuchet MS" w:hAnsi="Trebuchet MS" w:cs="Arial"/>
          <w:sz w:val="20"/>
        </w:rPr>
        <w:t xml:space="preserve"> gebruikt moeten worden.</w:t>
      </w:r>
    </w:p>
    <w:p w:rsidR="00D73E87" w:rsidRDefault="00D73E87" w:rsidP="002E779B">
      <w:pPr>
        <w:pStyle w:val="Koptekst"/>
        <w:jc w:val="both"/>
        <w:rPr>
          <w:bCs/>
          <w:spacing w:val="-3"/>
        </w:rPr>
      </w:pPr>
    </w:p>
    <w:p w:rsidR="00FD1629" w:rsidRDefault="00FD1629" w:rsidP="002E779B">
      <w:pPr>
        <w:pStyle w:val="Koptekst"/>
        <w:jc w:val="both"/>
        <w:rPr>
          <w:bCs/>
          <w:spacing w:val="-3"/>
        </w:rPr>
      </w:pPr>
    </w:p>
    <w:p w:rsidR="00FD1629" w:rsidRPr="00573E3E" w:rsidRDefault="00FD1629" w:rsidP="002E779B">
      <w:pPr>
        <w:pStyle w:val="Koptekst"/>
        <w:jc w:val="both"/>
        <w:rPr>
          <w:bCs/>
          <w:spacing w:val="-3"/>
        </w:rPr>
      </w:pPr>
    </w:p>
    <w:p w:rsidR="00FD1629" w:rsidRDefault="00FD1629" w:rsidP="0000182F">
      <w:pPr>
        <w:pStyle w:val="Koptekst"/>
        <w:jc w:val="both"/>
        <w:rPr>
          <w:rFonts w:cs="Helv"/>
          <w:color w:val="000000"/>
          <w:szCs w:val="20"/>
          <w:lang w:val="nl-BE" w:eastAsia="nl-BE"/>
        </w:rPr>
      </w:pPr>
      <w:r>
        <w:rPr>
          <w:rFonts w:cs="Helv"/>
          <w:color w:val="000000"/>
          <w:szCs w:val="20"/>
          <w:lang w:val="nl-BE" w:eastAsia="nl-BE"/>
        </w:rPr>
        <w:t>Naast de zonet besproken wijzigingen,</w:t>
      </w:r>
      <w:r w:rsidR="00D73E87" w:rsidRPr="00573E3E">
        <w:rPr>
          <w:rFonts w:cs="Helv"/>
          <w:color w:val="000000"/>
          <w:szCs w:val="20"/>
          <w:lang w:val="nl-BE" w:eastAsia="nl-BE"/>
        </w:rPr>
        <w:t xml:space="preserve"> z</w:t>
      </w:r>
      <w:r w:rsidR="0000182F">
        <w:rPr>
          <w:rFonts w:cs="Helv"/>
          <w:color w:val="000000"/>
          <w:szCs w:val="20"/>
          <w:lang w:val="nl-BE" w:eastAsia="nl-BE"/>
        </w:rPr>
        <w:t>ijn er nog een aantal kleinere</w:t>
      </w:r>
      <w:r w:rsidR="00D73E87" w:rsidRPr="00573E3E">
        <w:rPr>
          <w:rFonts w:cs="Helv"/>
          <w:color w:val="000000"/>
          <w:szCs w:val="20"/>
          <w:lang w:val="nl-BE" w:eastAsia="nl-BE"/>
        </w:rPr>
        <w:t xml:space="preserve"> aanpassingen aan het</w:t>
      </w:r>
      <w:r w:rsidR="0000182F">
        <w:rPr>
          <w:rFonts w:cs="Helv"/>
          <w:color w:val="000000"/>
          <w:szCs w:val="20"/>
          <w:lang w:val="nl-BE" w:eastAsia="nl-BE"/>
        </w:rPr>
        <w:t xml:space="preserve"> besluit die de werking van de M</w:t>
      </w:r>
      <w:r w:rsidR="00D73E87" w:rsidRPr="00573E3E">
        <w:rPr>
          <w:rFonts w:cs="Helv"/>
          <w:color w:val="000000"/>
          <w:szCs w:val="20"/>
          <w:lang w:val="nl-BE" w:eastAsia="nl-BE"/>
        </w:rPr>
        <w:t xml:space="preserve">DT’s niet </w:t>
      </w:r>
      <w:r w:rsidR="0000182F" w:rsidRPr="00573E3E">
        <w:rPr>
          <w:rFonts w:cs="Helv"/>
          <w:color w:val="000000"/>
          <w:szCs w:val="20"/>
          <w:lang w:val="nl-BE" w:eastAsia="nl-BE"/>
        </w:rPr>
        <w:t>beïnvloeden</w:t>
      </w:r>
      <w:r w:rsidR="00D73E87" w:rsidRPr="00573E3E">
        <w:rPr>
          <w:rFonts w:cs="Helv"/>
          <w:color w:val="000000"/>
          <w:szCs w:val="20"/>
          <w:lang w:val="nl-BE" w:eastAsia="nl-BE"/>
        </w:rPr>
        <w:t xml:space="preserve">. </w:t>
      </w:r>
    </w:p>
    <w:p w:rsidR="00FD1629" w:rsidRDefault="00FD1629" w:rsidP="0000182F">
      <w:pPr>
        <w:pStyle w:val="Koptekst"/>
        <w:jc w:val="both"/>
        <w:rPr>
          <w:rFonts w:cs="Helv"/>
          <w:color w:val="000000"/>
          <w:szCs w:val="20"/>
          <w:lang w:val="nl-BE" w:eastAsia="nl-BE"/>
        </w:rPr>
      </w:pPr>
    </w:p>
    <w:p w:rsidR="002E779B" w:rsidRPr="00573E3E" w:rsidRDefault="0000182F" w:rsidP="0000182F">
      <w:pPr>
        <w:pStyle w:val="Koptekst"/>
        <w:jc w:val="both"/>
      </w:pPr>
      <w:r>
        <w:rPr>
          <w:rFonts w:cs="Helv"/>
          <w:color w:val="000000"/>
          <w:szCs w:val="20"/>
          <w:lang w:val="nl-BE" w:eastAsia="nl-BE"/>
        </w:rPr>
        <w:t>Een overzicht a</w:t>
      </w:r>
      <w:r w:rsidR="00D73E87" w:rsidRPr="00573E3E">
        <w:rPr>
          <w:rFonts w:cs="Helv"/>
          <w:color w:val="000000"/>
          <w:szCs w:val="20"/>
          <w:lang w:val="nl-BE" w:eastAsia="nl-BE"/>
        </w:rPr>
        <w:t>an alle wijzigingen, alsook het aangepaste besluit</w:t>
      </w:r>
      <w:r w:rsidR="00573E3E" w:rsidRPr="00573E3E">
        <w:rPr>
          <w:rFonts w:cs="Helv"/>
          <w:color w:val="000000"/>
          <w:szCs w:val="20"/>
          <w:lang w:val="nl-BE" w:eastAsia="nl-BE"/>
        </w:rPr>
        <w:t xml:space="preserve"> </w:t>
      </w:r>
      <w:r w:rsidR="006070F2" w:rsidRPr="00573E3E">
        <w:rPr>
          <w:bCs/>
          <w:spacing w:val="-3"/>
        </w:rPr>
        <w:t xml:space="preserve">kan u vinden op de site van het VAPH </w:t>
      </w:r>
      <w:r w:rsidR="006070F2" w:rsidRPr="00573E3E">
        <w:t xml:space="preserve">via volgende link: </w:t>
      </w:r>
      <w:hyperlink r:id="rId10" w:history="1">
        <w:r w:rsidR="002E779B" w:rsidRPr="00573E3E">
          <w:rPr>
            <w:rStyle w:val="Hyperlink"/>
          </w:rPr>
          <w:t>http://www.vaph.be/vlafo/view/nl/771542-Wetgeving.html</w:t>
        </w:r>
      </w:hyperlink>
    </w:p>
    <w:p w:rsidR="002E779B" w:rsidRPr="00573E3E" w:rsidRDefault="002E779B">
      <w:pPr>
        <w:jc w:val="both"/>
      </w:pPr>
    </w:p>
    <w:p w:rsidR="00181819" w:rsidRPr="00573E3E" w:rsidRDefault="00181819">
      <w:pPr>
        <w:jc w:val="both"/>
        <w:rPr>
          <w:rFonts w:cs="Arial"/>
          <w:bCs/>
        </w:rPr>
      </w:pPr>
    </w:p>
    <w:p w:rsidR="00181819" w:rsidRPr="00573E3E" w:rsidRDefault="00181819">
      <w:pPr>
        <w:jc w:val="both"/>
        <w:rPr>
          <w:lang w:val="nl-BE"/>
        </w:rPr>
      </w:pPr>
    </w:p>
    <w:p w:rsidR="00573E3E" w:rsidRPr="00573E3E" w:rsidRDefault="00573E3E">
      <w:pPr>
        <w:jc w:val="both"/>
        <w:rPr>
          <w:lang w:val="nl-BE"/>
        </w:rPr>
      </w:pPr>
    </w:p>
    <w:p w:rsidR="00181819" w:rsidRPr="00573E3E" w:rsidRDefault="00182EBE">
      <w:pPr>
        <w:jc w:val="both"/>
      </w:pPr>
      <w:r w:rsidRPr="00573E3E">
        <w:t>Met vriendelijke groeten</w:t>
      </w:r>
    </w:p>
    <w:p w:rsidR="00181819" w:rsidRPr="00573E3E" w:rsidRDefault="00181819">
      <w:pPr>
        <w:jc w:val="both"/>
      </w:pPr>
    </w:p>
    <w:p w:rsidR="00181819" w:rsidRPr="00573E3E" w:rsidRDefault="00181819">
      <w:pPr>
        <w:jc w:val="both"/>
      </w:pPr>
    </w:p>
    <w:p w:rsidR="00181819" w:rsidRPr="00573E3E" w:rsidRDefault="00181819">
      <w:pPr>
        <w:jc w:val="both"/>
      </w:pPr>
    </w:p>
    <w:p w:rsidR="00181819" w:rsidRPr="00573E3E" w:rsidRDefault="00181819">
      <w:pPr>
        <w:jc w:val="both"/>
      </w:pPr>
    </w:p>
    <w:p w:rsidR="00181819" w:rsidRPr="00573E3E" w:rsidRDefault="00181819">
      <w:pPr>
        <w:jc w:val="both"/>
      </w:pPr>
    </w:p>
    <w:p w:rsidR="00181819" w:rsidRPr="00573E3E" w:rsidRDefault="00182EBE">
      <w:pPr>
        <w:jc w:val="both"/>
      </w:pPr>
      <w:r w:rsidRPr="00573E3E">
        <w:t>Laurent Bursens</w:t>
      </w:r>
    </w:p>
    <w:p w:rsidR="00182EBE" w:rsidRPr="00573E3E" w:rsidRDefault="00182EBE">
      <w:pPr>
        <w:jc w:val="both"/>
        <w:rPr>
          <w:lang w:val="nl-BE"/>
        </w:rPr>
      </w:pPr>
      <w:r w:rsidRPr="00573E3E">
        <w:t>Administrateur-generaal</w:t>
      </w:r>
    </w:p>
    <w:sectPr w:rsidR="00182EBE" w:rsidRPr="00573E3E">
      <w:headerReference w:type="default" r:id="rId11"/>
      <w:footerReference w:type="even" r:id="rId12"/>
      <w:footerReference w:type="default" r:id="rId13"/>
      <w:footerReference w:type="first" r:id="rId14"/>
      <w:pgSz w:w="11906" w:h="16838" w:code="9"/>
      <w:pgMar w:top="2495" w:right="1276" w:bottom="1928" w:left="1418" w:header="851" w:footer="567" w:gutter="0"/>
      <w:paperSrc w:first="259" w:other="26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66" w:rsidRDefault="00267866">
      <w:r>
        <w:separator/>
      </w:r>
    </w:p>
  </w:endnote>
  <w:endnote w:type="continuationSeparator" w:id="0">
    <w:p w:rsidR="00267866" w:rsidRDefault="0026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1819" w:rsidRDefault="001818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2E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0794">
      <w:rPr>
        <w:rStyle w:val="Paginanummer"/>
        <w:noProof/>
      </w:rPr>
      <w:t>6</w:t>
    </w:r>
    <w:r>
      <w:rPr>
        <w:rStyle w:val="Paginanummer"/>
      </w:rPr>
      <w:fldChar w:fldCharType="end"/>
    </w:r>
  </w:p>
  <w:p w:rsidR="00181819" w:rsidRDefault="0012129B">
    <w:pPr>
      <w:pStyle w:val="Voettekst"/>
      <w:tabs>
        <w:tab w:val="right" w:pos="8732"/>
      </w:tabs>
      <w:ind w:right="360"/>
      <w:rPr>
        <w:color w:val="C00076"/>
      </w:rPr>
    </w:pPr>
    <w:r>
      <w:rPr>
        <w:noProof/>
        <w:lang w:val="nl-BE" w:eastAsia="nl-BE"/>
      </w:rPr>
      <w:drawing>
        <wp:anchor distT="0" distB="0" distL="114300" distR="114300" simplePos="0" relativeHeight="251659776"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23" name="Afbeelding 23"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JwFgIAACk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" strokecolor="#c00076"/>
          </w:pict>
        </mc:Fallback>
      </mc:AlternateContent>
    </w:r>
    <w:r w:rsidR="00182EBE">
      <w:tab/>
    </w:r>
    <w:r w:rsidR="00182EBE">
      <w:tab/>
    </w:r>
    <w:r w:rsidR="00182EB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2129B">
    <w:pPr>
      <w:pStyle w:val="Voettekst"/>
      <w:tabs>
        <w:tab w:val="right" w:pos="8732"/>
      </w:tabs>
      <w:jc w:val="right"/>
      <w:rPr>
        <w:color w:val="C00076"/>
      </w:rPr>
    </w:pPr>
    <w:r>
      <w:rPr>
        <w:noProof/>
        <w:lang w:val="nl-BE" w:eastAsia="nl-BE"/>
      </w:rPr>
      <w:drawing>
        <wp:anchor distT="0" distB="0" distL="114300" distR="114300" simplePos="0" relativeHeight="251656704" behindDoc="1" locked="0" layoutInCell="1" allowOverlap="1">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7728"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rsidR="00182EBE">
      <w:tab/>
    </w:r>
    <w:r w:rsidR="00182EBE">
      <w:tab/>
    </w:r>
    <w:r w:rsidR="00182EBE">
      <w:tab/>
    </w:r>
    <w:r w:rsidR="00182EBE">
      <w:rPr>
        <w:rStyle w:val="Paginanummer"/>
        <w:color w:val="C00076"/>
      </w:rPr>
      <w:fldChar w:fldCharType="begin"/>
    </w:r>
    <w:r w:rsidR="00182EBE">
      <w:rPr>
        <w:rStyle w:val="Paginanummer"/>
        <w:color w:val="C00076"/>
      </w:rPr>
      <w:instrText xml:space="preserve"> PAGE </w:instrText>
    </w:r>
    <w:r w:rsidR="00182EBE">
      <w:rPr>
        <w:rStyle w:val="Paginanummer"/>
        <w:color w:val="C00076"/>
      </w:rPr>
      <w:fldChar w:fldCharType="separate"/>
    </w:r>
    <w:r w:rsidR="005C0794">
      <w:rPr>
        <w:rStyle w:val="Paginanummer"/>
        <w:noProof/>
        <w:color w:val="C00076"/>
      </w:rPr>
      <w:t>1</w:t>
    </w:r>
    <w:r w:rsidR="00182EBE">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66" w:rsidRDefault="00267866">
      <w:r>
        <w:separator/>
      </w:r>
    </w:p>
  </w:footnote>
  <w:footnote w:type="continuationSeparator" w:id="0">
    <w:p w:rsidR="00267866" w:rsidRDefault="0026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19" w:rsidRDefault="00181819">
    <w:pPr>
      <w:pStyle w:val="Koptekst"/>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7C5"/>
    <w:multiLevelType w:val="singleLevel"/>
    <w:tmpl w:val="6E960646"/>
    <w:lvl w:ilvl="0">
      <w:start w:val="1"/>
      <w:numFmt w:val="upperLetter"/>
      <w:pStyle w:val="Kop4"/>
      <w:lvlText w:val="%1."/>
      <w:lvlJc w:val="left"/>
      <w:pPr>
        <w:tabs>
          <w:tab w:val="num" w:pos="397"/>
        </w:tabs>
        <w:ind w:left="397" w:hanging="397"/>
      </w:pPr>
    </w:lvl>
  </w:abstractNum>
  <w:abstractNum w:abstractNumId="1">
    <w:nsid w:val="06DA0C0F"/>
    <w:multiLevelType w:val="hybridMultilevel"/>
    <w:tmpl w:val="ED0ED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CA90527"/>
    <w:multiLevelType w:val="hybridMultilevel"/>
    <w:tmpl w:val="1EDA1B30"/>
    <w:lvl w:ilvl="0" w:tplc="5FE69332">
      <w:start w:val="1"/>
      <w:numFmt w:val="decimal"/>
      <w:pStyle w:val="nieuwpuntjeininfonota"/>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070664E"/>
    <w:multiLevelType w:val="hybridMultilevel"/>
    <w:tmpl w:val="EBF49D04"/>
    <w:lvl w:ilvl="0" w:tplc="3774E648">
      <w:start w:val="1"/>
      <w:numFmt w:val="decimal"/>
      <w:pStyle w:val="Stijl1"/>
      <w:lvlText w:val="%1."/>
      <w:lvlJc w:val="left"/>
      <w:pPr>
        <w:ind w:left="720" w:hanging="360"/>
      </w:pPr>
      <w:rPr>
        <w:rFonts w:asciiTheme="majorHAnsi" w:hAnsiTheme="majorHAnsi" w:cstheme="majorBidi" w:hint="default"/>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9E04289"/>
    <w:multiLevelType w:val="hybridMultilevel"/>
    <w:tmpl w:val="F1ACFF5C"/>
    <w:lvl w:ilvl="0" w:tplc="090C5EA2">
      <w:start w:val="1"/>
      <w:numFmt w:val="bullet"/>
      <w:pStyle w:val="VAPH-Titel4"/>
      <w:lvlText w:val="o"/>
      <w:lvlJc w:val="left"/>
      <w:pPr>
        <w:tabs>
          <w:tab w:val="num" w:pos="720"/>
        </w:tabs>
        <w:ind w:left="720" w:hanging="360"/>
      </w:pPr>
      <w:rPr>
        <w:rFonts w:ascii="Courier New" w:hAnsi="Courier New" w:hint="default"/>
      </w:rPr>
    </w:lvl>
    <w:lvl w:ilvl="1" w:tplc="4FAE1CD6">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99C27C2"/>
    <w:multiLevelType w:val="hybridMultilevel"/>
    <w:tmpl w:val="ED0ED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1"/>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0182F"/>
    <w:rsid w:val="000A3238"/>
    <w:rsid w:val="0012129B"/>
    <w:rsid w:val="00181819"/>
    <w:rsid w:val="00182EBE"/>
    <w:rsid w:val="00267866"/>
    <w:rsid w:val="0028492A"/>
    <w:rsid w:val="002925E1"/>
    <w:rsid w:val="002E779B"/>
    <w:rsid w:val="002E78C2"/>
    <w:rsid w:val="00303AB7"/>
    <w:rsid w:val="0034631A"/>
    <w:rsid w:val="003A6DD2"/>
    <w:rsid w:val="00450DD0"/>
    <w:rsid w:val="004D1F61"/>
    <w:rsid w:val="00551259"/>
    <w:rsid w:val="00573E3E"/>
    <w:rsid w:val="005C0794"/>
    <w:rsid w:val="006070F2"/>
    <w:rsid w:val="0063701F"/>
    <w:rsid w:val="008E0664"/>
    <w:rsid w:val="008E1BC0"/>
    <w:rsid w:val="00966105"/>
    <w:rsid w:val="009B3444"/>
    <w:rsid w:val="00A06BC4"/>
    <w:rsid w:val="00B11860"/>
    <w:rsid w:val="00B54731"/>
    <w:rsid w:val="00B61796"/>
    <w:rsid w:val="00B84C4C"/>
    <w:rsid w:val="00BF410B"/>
    <w:rsid w:val="00D73E87"/>
    <w:rsid w:val="00DA5BD9"/>
    <w:rsid w:val="00E7116B"/>
    <w:rsid w:val="00F25E79"/>
    <w:rsid w:val="00FD0A74"/>
    <w:rsid w:val="00FD1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link w:val="Kop6Char"/>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paragraph" w:styleId="Plattetekst3">
    <w:name w:val="Body Text 3"/>
    <w:basedOn w:val="Standaard"/>
    <w:link w:val="Plattetekst3Char"/>
    <w:uiPriority w:val="99"/>
    <w:semiHidden/>
    <w:unhideWhenUsed/>
    <w:rsid w:val="000A3238"/>
    <w:pPr>
      <w:spacing w:after="120"/>
    </w:pPr>
    <w:rPr>
      <w:sz w:val="16"/>
      <w:szCs w:val="16"/>
    </w:rPr>
  </w:style>
  <w:style w:type="character" w:customStyle="1" w:styleId="Plattetekst3Char">
    <w:name w:val="Platte tekst 3 Char"/>
    <w:basedOn w:val="Standaardalinea-lettertype"/>
    <w:link w:val="Plattetekst3"/>
    <w:uiPriority w:val="99"/>
    <w:semiHidden/>
    <w:rsid w:val="000A3238"/>
    <w:rPr>
      <w:rFonts w:ascii="Trebuchet MS" w:hAnsi="Trebuchet MS"/>
      <w:sz w:val="16"/>
      <w:szCs w:val="16"/>
      <w:lang w:val="nl-NL" w:eastAsia="nl-NL"/>
    </w:rPr>
  </w:style>
  <w:style w:type="paragraph" w:customStyle="1" w:styleId="nieuwpuntjeininfonota">
    <w:name w:val="nieuw puntje in infonota"/>
    <w:basedOn w:val="Kop6"/>
    <w:link w:val="nieuwpuntjeininfonotaChar"/>
    <w:qFormat/>
    <w:rsid w:val="00D73E87"/>
    <w:pPr>
      <w:numPr>
        <w:numId w:val="6"/>
      </w:numPr>
    </w:pPr>
    <w:rPr>
      <w:lang w:val="nl-BE" w:eastAsia="nl-BE"/>
    </w:rPr>
  </w:style>
  <w:style w:type="paragraph" w:customStyle="1" w:styleId="Stijl1">
    <w:name w:val="Stijl1"/>
    <w:basedOn w:val="Kop1"/>
    <w:link w:val="Stijl1Char"/>
    <w:qFormat/>
    <w:rsid w:val="00D73E87"/>
    <w:pPr>
      <w:keepLines/>
      <w:numPr>
        <w:numId w:val="9"/>
      </w:numPr>
      <w:spacing w:before="120" w:after="240" w:line="240" w:lineRule="auto"/>
      <w:jc w:val="both"/>
    </w:pPr>
    <w:rPr>
      <w:rFonts w:asciiTheme="majorHAnsi" w:eastAsiaTheme="majorEastAsia" w:hAnsiTheme="majorHAnsi" w:cstheme="majorBidi"/>
      <w:kern w:val="0"/>
      <w:sz w:val="20"/>
      <w:szCs w:val="20"/>
      <w:u w:val="single"/>
      <w:lang w:eastAsia="en-US"/>
    </w:rPr>
  </w:style>
  <w:style w:type="character" w:customStyle="1" w:styleId="Kop6Char">
    <w:name w:val="Kop 6 Char"/>
    <w:basedOn w:val="Standaardalinea-lettertype"/>
    <w:link w:val="Kop6"/>
    <w:rsid w:val="00D73E87"/>
    <w:rPr>
      <w:rFonts w:ascii="Trebuchet MS" w:hAnsi="Trebuchet MS"/>
      <w:b/>
      <w:spacing w:val="-3"/>
      <w:szCs w:val="24"/>
      <w:u w:val="single"/>
      <w:lang w:val="nl-NL" w:eastAsia="nl-NL"/>
    </w:rPr>
  </w:style>
  <w:style w:type="character" w:customStyle="1" w:styleId="nieuwpuntjeininfonotaChar">
    <w:name w:val="nieuw puntje in infonota Char"/>
    <w:basedOn w:val="Kop6Char"/>
    <w:link w:val="nieuwpuntjeininfonota"/>
    <w:rsid w:val="00D73E87"/>
    <w:rPr>
      <w:rFonts w:ascii="Trebuchet MS" w:hAnsi="Trebuchet MS"/>
      <w:b/>
      <w:spacing w:val="-3"/>
      <w:szCs w:val="24"/>
      <w:u w:val="single"/>
      <w:lang w:val="nl-NL" w:eastAsia="nl-NL"/>
    </w:rPr>
  </w:style>
  <w:style w:type="character" w:customStyle="1" w:styleId="Stijl1Char">
    <w:name w:val="Stijl1 Char"/>
    <w:basedOn w:val="Standaardalinea-lettertype"/>
    <w:link w:val="Stijl1"/>
    <w:rsid w:val="00D73E87"/>
    <w:rPr>
      <w:rFonts w:asciiTheme="majorHAnsi" w:eastAsiaTheme="majorEastAsia" w:hAnsiTheme="majorHAnsi" w:cstheme="majorBidi"/>
      <w:b/>
      <w:bCs/>
      <w:u w:val="singl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qFormat/>
    <w:pPr>
      <w:keepNext/>
      <w:numPr>
        <w:numId w:val="1"/>
      </w:numPr>
      <w:spacing w:before="480" w:after="480" w:line="260" w:lineRule="exact"/>
      <w:outlineLvl w:val="0"/>
    </w:pPr>
    <w:rPr>
      <w:rFonts w:cs="Arial"/>
      <w:b/>
      <w:bCs/>
      <w:kern w:val="32"/>
      <w:sz w:val="28"/>
      <w:szCs w:val="32"/>
    </w:rPr>
  </w:style>
  <w:style w:type="paragraph" w:styleId="Kop2">
    <w:name w:val="heading 2"/>
    <w:aliases w:val="VAPH - Titel 2"/>
    <w:basedOn w:val="Standaard"/>
    <w:next w:val="Standaard"/>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qFormat/>
    <w:pPr>
      <w:keepNext/>
      <w:jc w:val="both"/>
      <w:outlineLvl w:val="4"/>
    </w:pPr>
    <w:rPr>
      <w:rFonts w:ascii="Times New Roman" w:hAnsi="Times New Roman"/>
      <w:b/>
      <w:bCs/>
      <w:sz w:val="24"/>
      <w:szCs w:val="20"/>
    </w:rPr>
  </w:style>
  <w:style w:type="paragraph" w:styleId="Kop6">
    <w:name w:val="heading 6"/>
    <w:basedOn w:val="Standaard"/>
    <w:next w:val="Standaard"/>
    <w:link w:val="Kop6Char"/>
    <w:qFormat/>
    <w:pPr>
      <w:keepNext/>
      <w:outlineLvl w:val="5"/>
    </w:pPr>
    <w:rPr>
      <w:b/>
      <w:spacing w:val="-3"/>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paragraph" w:styleId="Plattetekst3">
    <w:name w:val="Body Text 3"/>
    <w:basedOn w:val="Standaard"/>
    <w:link w:val="Plattetekst3Char"/>
    <w:uiPriority w:val="99"/>
    <w:semiHidden/>
    <w:unhideWhenUsed/>
    <w:rsid w:val="000A3238"/>
    <w:pPr>
      <w:spacing w:after="120"/>
    </w:pPr>
    <w:rPr>
      <w:sz w:val="16"/>
      <w:szCs w:val="16"/>
    </w:rPr>
  </w:style>
  <w:style w:type="character" w:customStyle="1" w:styleId="Plattetekst3Char">
    <w:name w:val="Platte tekst 3 Char"/>
    <w:basedOn w:val="Standaardalinea-lettertype"/>
    <w:link w:val="Plattetekst3"/>
    <w:uiPriority w:val="99"/>
    <w:semiHidden/>
    <w:rsid w:val="000A3238"/>
    <w:rPr>
      <w:rFonts w:ascii="Trebuchet MS" w:hAnsi="Trebuchet MS"/>
      <w:sz w:val="16"/>
      <w:szCs w:val="16"/>
      <w:lang w:val="nl-NL" w:eastAsia="nl-NL"/>
    </w:rPr>
  </w:style>
  <w:style w:type="paragraph" w:customStyle="1" w:styleId="nieuwpuntjeininfonota">
    <w:name w:val="nieuw puntje in infonota"/>
    <w:basedOn w:val="Kop6"/>
    <w:link w:val="nieuwpuntjeininfonotaChar"/>
    <w:qFormat/>
    <w:rsid w:val="00D73E87"/>
    <w:pPr>
      <w:numPr>
        <w:numId w:val="6"/>
      </w:numPr>
    </w:pPr>
    <w:rPr>
      <w:lang w:val="nl-BE" w:eastAsia="nl-BE"/>
    </w:rPr>
  </w:style>
  <w:style w:type="paragraph" w:customStyle="1" w:styleId="Stijl1">
    <w:name w:val="Stijl1"/>
    <w:basedOn w:val="Kop1"/>
    <w:link w:val="Stijl1Char"/>
    <w:qFormat/>
    <w:rsid w:val="00D73E87"/>
    <w:pPr>
      <w:keepLines/>
      <w:numPr>
        <w:numId w:val="9"/>
      </w:numPr>
      <w:spacing w:before="120" w:after="240" w:line="240" w:lineRule="auto"/>
      <w:jc w:val="both"/>
    </w:pPr>
    <w:rPr>
      <w:rFonts w:asciiTheme="majorHAnsi" w:eastAsiaTheme="majorEastAsia" w:hAnsiTheme="majorHAnsi" w:cstheme="majorBidi"/>
      <w:kern w:val="0"/>
      <w:sz w:val="20"/>
      <w:szCs w:val="20"/>
      <w:u w:val="single"/>
      <w:lang w:eastAsia="en-US"/>
    </w:rPr>
  </w:style>
  <w:style w:type="character" w:customStyle="1" w:styleId="Kop6Char">
    <w:name w:val="Kop 6 Char"/>
    <w:basedOn w:val="Standaardalinea-lettertype"/>
    <w:link w:val="Kop6"/>
    <w:rsid w:val="00D73E87"/>
    <w:rPr>
      <w:rFonts w:ascii="Trebuchet MS" w:hAnsi="Trebuchet MS"/>
      <w:b/>
      <w:spacing w:val="-3"/>
      <w:szCs w:val="24"/>
      <w:u w:val="single"/>
      <w:lang w:val="nl-NL" w:eastAsia="nl-NL"/>
    </w:rPr>
  </w:style>
  <w:style w:type="character" w:customStyle="1" w:styleId="nieuwpuntjeininfonotaChar">
    <w:name w:val="nieuw puntje in infonota Char"/>
    <w:basedOn w:val="Kop6Char"/>
    <w:link w:val="nieuwpuntjeininfonota"/>
    <w:rsid w:val="00D73E87"/>
    <w:rPr>
      <w:rFonts w:ascii="Trebuchet MS" w:hAnsi="Trebuchet MS"/>
      <w:b/>
      <w:spacing w:val="-3"/>
      <w:szCs w:val="24"/>
      <w:u w:val="single"/>
      <w:lang w:val="nl-NL" w:eastAsia="nl-NL"/>
    </w:rPr>
  </w:style>
  <w:style w:type="character" w:customStyle="1" w:styleId="Stijl1Char">
    <w:name w:val="Stijl1 Char"/>
    <w:basedOn w:val="Standaardalinea-lettertype"/>
    <w:link w:val="Stijl1"/>
    <w:rsid w:val="00D73E87"/>
    <w:rPr>
      <w:rFonts w:asciiTheme="majorHAnsi" w:eastAsiaTheme="majorEastAsia" w:hAnsiTheme="majorHAnsi" w:cstheme="majorBidi"/>
      <w:b/>
      <w:bCs/>
      <w:u w:val="singl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ke.duquet@vaph.b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ph.be/vlafo/view/nl/771542-Wetgeving.html" TargetMode="External"/><Relationship Id="rId4" Type="http://schemas.openxmlformats.org/officeDocument/2006/relationships/settings" Target="settings.xml"/><Relationship Id="rId9" Type="http://schemas.openxmlformats.org/officeDocument/2006/relationships/hyperlink" Target="mailto:Dorin.devis@vaph.b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Leeg_met_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VAPH_Leeg_met_logo.dot</Template>
  <TotalTime>0</TotalTime>
  <Pages>6</Pages>
  <Words>1816</Words>
  <Characters>9988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11781</CharactersWithSpaces>
  <SharedDoc>false</SharedDoc>
  <HLinks>
    <vt:vector size="24" baseType="variant">
      <vt:variant>
        <vt:i4>6946834</vt:i4>
      </vt:variant>
      <vt:variant>
        <vt:i4>0</vt:i4>
      </vt:variant>
      <vt:variant>
        <vt:i4>0</vt:i4>
      </vt:variant>
      <vt:variant>
        <vt:i4>5</vt:i4>
      </vt:variant>
      <vt:variant>
        <vt:lpwstr>mailto:pieter.adriaens@vaph.be</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2071</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c:creator>
  <cp:keywords/>
  <dc:description/>
  <cp:lastModifiedBy>Peter Bormans</cp:lastModifiedBy>
  <cp:revision>2</cp:revision>
  <cp:lastPrinted>2012-09-25T16:14:00Z</cp:lastPrinted>
  <dcterms:created xsi:type="dcterms:W3CDTF">2012-09-28T12:50:00Z</dcterms:created>
  <dcterms:modified xsi:type="dcterms:W3CDTF">2012-09-28T12:50:00Z</dcterms:modified>
</cp:coreProperties>
</file>