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9" w:rsidRDefault="00181819">
      <w:pPr>
        <w:jc w:val="both"/>
        <w:rPr>
          <w:lang w:val="nl-BE"/>
        </w:rPr>
      </w:pPr>
      <w:bookmarkStart w:id="0" w:name="_GoBack"/>
      <w:bookmarkEnd w:id="0"/>
    </w:p>
    <w:p w:rsidR="00181819" w:rsidRPr="00BF6F61" w:rsidRDefault="00182EBE">
      <w:pPr>
        <w:tabs>
          <w:tab w:val="left" w:pos="-1440"/>
          <w:tab w:val="left" w:pos="-720"/>
        </w:tabs>
        <w:jc w:val="both"/>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sidR="00BF3873">
        <w:t>Nummer: INF/MDT/</w:t>
      </w:r>
      <w:r w:rsidR="00CB14BB">
        <w:t>14</w:t>
      </w:r>
      <w:r w:rsidR="00BF3873">
        <w:t>05</w:t>
      </w:r>
      <w:r>
        <w:rPr>
          <w:spacing w:val="-3"/>
        </w:rPr>
        <w:tab/>
      </w:r>
      <w:r>
        <w:rPr>
          <w:spacing w:val="-3"/>
        </w:rPr>
        <w:tab/>
      </w:r>
      <w:r>
        <w:rPr>
          <w:spacing w:val="-3"/>
        </w:rPr>
        <w:tab/>
      </w:r>
      <w:r>
        <w:rPr>
          <w:spacing w:val="-3"/>
        </w:rPr>
        <w:tab/>
      </w:r>
      <w:r>
        <w:rPr>
          <w:spacing w:val="-3"/>
        </w:rPr>
        <w:tab/>
      </w:r>
      <w:r>
        <w:rPr>
          <w:spacing w:val="-3"/>
        </w:rPr>
        <w:tab/>
      </w:r>
    </w:p>
    <w:p w:rsidR="00181819" w:rsidRDefault="00181819">
      <w:pPr>
        <w:tabs>
          <w:tab w:val="left" w:pos="-1440"/>
          <w:tab w:val="left" w:pos="-720"/>
        </w:tabs>
        <w:jc w:val="both"/>
        <w:rPr>
          <w:spacing w:val="-3"/>
        </w:rPr>
      </w:pPr>
    </w:p>
    <w:p w:rsidR="00181819" w:rsidRDefault="00182EBE">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Brussel,  </w:t>
      </w:r>
      <w:r w:rsidR="00273CCE">
        <w:rPr>
          <w:spacing w:val="-3"/>
        </w:rPr>
        <w:t>4</w:t>
      </w:r>
      <w:r w:rsidR="000778E2">
        <w:rPr>
          <w:spacing w:val="-3"/>
        </w:rPr>
        <w:t xml:space="preserve"> </w:t>
      </w:r>
      <w:r w:rsidR="001433FE">
        <w:rPr>
          <w:spacing w:val="-3"/>
        </w:rPr>
        <w:t>april</w:t>
      </w:r>
      <w:r w:rsidR="000778E2">
        <w:rPr>
          <w:spacing w:val="-3"/>
        </w:rPr>
        <w:t xml:space="preserve"> 2014</w:t>
      </w: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2EBE">
      <w:pPr>
        <w:tabs>
          <w:tab w:val="left" w:pos="-1440"/>
          <w:tab w:val="left" w:pos="-720"/>
          <w:tab w:val="left" w:pos="0"/>
          <w:tab w:val="left" w:pos="720"/>
          <w:tab w:val="left" w:pos="1440"/>
          <w:tab w:val="left" w:pos="2160"/>
          <w:tab w:val="left" w:pos="4111"/>
          <w:tab w:val="left" w:pos="4253"/>
        </w:tabs>
        <w:ind w:left="4253" w:hanging="3593"/>
        <w:jc w:val="both"/>
        <w:rPr>
          <w:b/>
          <w:spacing w:val="-3"/>
        </w:rPr>
      </w:pPr>
      <w:r>
        <w:rPr>
          <w:spacing w:val="-3"/>
          <w:sz w:val="24"/>
        </w:rPr>
        <w:tab/>
      </w:r>
      <w:r>
        <w:rPr>
          <w:spacing w:val="-3"/>
          <w:sz w:val="24"/>
        </w:rPr>
        <w:tab/>
      </w:r>
      <w:r>
        <w:rPr>
          <w:spacing w:val="-3"/>
          <w:sz w:val="24"/>
        </w:rPr>
        <w:tab/>
      </w:r>
      <w:r>
        <w:rPr>
          <w:spacing w:val="-3"/>
          <w:sz w:val="24"/>
        </w:rPr>
        <w:tab/>
      </w:r>
      <w:r>
        <w:rPr>
          <w:b/>
          <w:spacing w:val="-3"/>
          <w:sz w:val="24"/>
        </w:rPr>
        <w:tab/>
      </w:r>
      <w:r>
        <w:rPr>
          <w:b/>
          <w:spacing w:val="-3"/>
        </w:rPr>
        <w:t>Aan de instanties die erkend zijn om multidisciplinaire verslagen af te leveren</w:t>
      </w:r>
    </w:p>
    <w:p w:rsidR="00181819" w:rsidRDefault="00181819">
      <w:pPr>
        <w:tabs>
          <w:tab w:val="left" w:pos="-1440"/>
          <w:tab w:val="left" w:pos="-720"/>
          <w:tab w:val="left" w:pos="0"/>
          <w:tab w:val="left" w:pos="720"/>
          <w:tab w:val="left" w:pos="1440"/>
          <w:tab w:val="left" w:pos="2160"/>
          <w:tab w:val="left" w:pos="4111"/>
          <w:tab w:val="left" w:pos="4253"/>
        </w:tabs>
        <w:ind w:left="3540" w:hanging="2880"/>
        <w:jc w:val="both"/>
        <w:rPr>
          <w:b/>
          <w:spacing w:val="-3"/>
        </w:rPr>
      </w:pPr>
    </w:p>
    <w:p w:rsidR="00181819" w:rsidRDefault="00182EBE">
      <w:pPr>
        <w:ind w:left="4248"/>
        <w:jc w:val="both"/>
        <w:rPr>
          <w:b/>
          <w:spacing w:val="-3"/>
        </w:rPr>
      </w:pPr>
      <w:r>
        <w:rPr>
          <w:b/>
          <w:spacing w:val="-3"/>
        </w:rPr>
        <w:t>Aan de voorzitter en de leden van de permanente werkgroep “Inschrijvingen en Evaluaties” en “Individuele Materiële Bijstand en Universal Design”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Bijzondere Bijstandscommissie</w:t>
      </w:r>
    </w:p>
    <w:p w:rsidR="00181819" w:rsidRDefault="00181819">
      <w:pPr>
        <w:jc w:val="both"/>
        <w:rPr>
          <w:b/>
          <w:spacing w:val="-3"/>
        </w:rPr>
      </w:pPr>
    </w:p>
    <w:p w:rsidR="00181819" w:rsidRDefault="00182EBE">
      <w:pPr>
        <w:ind w:left="4248"/>
        <w:jc w:val="both"/>
        <w:rPr>
          <w:b/>
          <w:spacing w:val="-3"/>
        </w:rPr>
      </w:pPr>
      <w:r>
        <w:rPr>
          <w:b/>
          <w:spacing w:val="-3"/>
        </w:rPr>
        <w:t>Aan de organisaties die erkend zijn om de Personen met een handicap of hun gezinnen te vertegenwoordigen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Provinciale Evaluatiecommissies en de Adviescommissies</w:t>
      </w:r>
    </w:p>
    <w:p w:rsidR="00181819" w:rsidRDefault="00181819">
      <w:pPr>
        <w:jc w:val="both"/>
        <w:rPr>
          <w:b/>
          <w:spacing w:val="-3"/>
        </w:rPr>
      </w:pPr>
    </w:p>
    <w:p w:rsidR="00181819" w:rsidRDefault="00182EBE">
      <w:pPr>
        <w:ind w:left="4245"/>
        <w:jc w:val="both"/>
        <w:rPr>
          <w:b/>
          <w:spacing w:val="-3"/>
        </w:rPr>
      </w:pPr>
      <w:r>
        <w:rPr>
          <w:b/>
          <w:spacing w:val="-3"/>
        </w:rPr>
        <w:tab/>
        <w:t xml:space="preserve">Aan de experts voor gespecialiseerde persoonlijke adviesverlening. </w:t>
      </w:r>
    </w:p>
    <w:p w:rsidR="00181819" w:rsidRDefault="00181819">
      <w:pPr>
        <w:jc w:val="both"/>
        <w:rPr>
          <w:b/>
          <w:spacing w:val="-3"/>
        </w:rPr>
      </w:pPr>
    </w:p>
    <w:p w:rsidR="00181819" w:rsidRDefault="00182EBE">
      <w:pPr>
        <w:pStyle w:val="Plattetekstinspringen3"/>
        <w:rPr>
          <w:rFonts w:ascii="Trebuchet MS" w:hAnsi="Trebuchet MS"/>
          <w:sz w:val="20"/>
        </w:rPr>
      </w:pPr>
      <w:r>
        <w:rPr>
          <w:rFonts w:ascii="Trebuchet MS" w:hAnsi="Trebuchet MS"/>
          <w:sz w:val="20"/>
        </w:rPr>
        <w:t>Aan de voorzitter en de leden van het Toezichtscomité</w:t>
      </w:r>
    </w:p>
    <w:p w:rsidR="00181819" w:rsidRDefault="00182EBE">
      <w:pPr>
        <w:jc w:val="both"/>
      </w:pPr>
      <w:r>
        <w:tab/>
      </w:r>
      <w:r>
        <w:tab/>
      </w:r>
      <w:r>
        <w:tab/>
      </w:r>
      <w:r>
        <w:tab/>
      </w:r>
      <w:r>
        <w:tab/>
      </w:r>
      <w:r>
        <w:tab/>
      </w:r>
    </w:p>
    <w:p w:rsidR="00181819" w:rsidRDefault="00D7780D">
      <w:pPr>
        <w:pStyle w:val="Kop5"/>
        <w:rPr>
          <w:rFonts w:ascii="Trebuchet MS" w:hAnsi="Trebuchet MS"/>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Aan het Agentschap Zorgi</w:t>
      </w:r>
      <w:r w:rsidR="00182EBE">
        <w:rPr>
          <w:rFonts w:ascii="Trebuchet MS" w:hAnsi="Trebuchet MS"/>
          <w:sz w:val="20"/>
        </w:rPr>
        <w:t>nspectie</w:t>
      </w:r>
      <w:r w:rsidR="00182EBE">
        <w:rPr>
          <w:rFonts w:ascii="Trebuchet MS" w:hAnsi="Trebuchet MS"/>
        </w:rPr>
        <w:t xml:space="preserve"> </w:t>
      </w:r>
    </w:p>
    <w:p w:rsidR="00181819" w:rsidRDefault="00181819">
      <w:pPr>
        <w:jc w:val="both"/>
        <w:rPr>
          <w:sz w:val="16"/>
        </w:rPr>
      </w:pPr>
    </w:p>
    <w:p w:rsidR="00181819" w:rsidRDefault="00181819">
      <w:pPr>
        <w:jc w:val="both"/>
        <w:rPr>
          <w:sz w:val="16"/>
        </w:rPr>
      </w:pPr>
    </w:p>
    <w:p w:rsidR="00181819" w:rsidRDefault="00181819">
      <w:pPr>
        <w:jc w:val="both"/>
        <w:rPr>
          <w:sz w:val="16"/>
        </w:rPr>
      </w:pPr>
    </w:p>
    <w:p w:rsidR="00181819" w:rsidRDefault="00182EBE">
      <w:pPr>
        <w:jc w:val="both"/>
        <w:rPr>
          <w:sz w:val="16"/>
        </w:rPr>
      </w:pPr>
      <w:r>
        <w:rPr>
          <w:sz w:val="16"/>
        </w:rPr>
        <w:t>V</w:t>
      </w:r>
      <w:r w:rsidR="001A6715">
        <w:rPr>
          <w:sz w:val="16"/>
        </w:rPr>
        <w:t>oor Griffoen v</w:t>
      </w:r>
      <w:r>
        <w:rPr>
          <w:sz w:val="16"/>
        </w:rPr>
        <w:t xml:space="preserve">ragen naar: </w:t>
      </w:r>
    </w:p>
    <w:p w:rsidR="00181819" w:rsidRDefault="00182EBE">
      <w:pPr>
        <w:jc w:val="both"/>
        <w:rPr>
          <w:sz w:val="16"/>
          <w:lang w:val="fr-FR"/>
        </w:rPr>
      </w:pPr>
      <w:r>
        <w:rPr>
          <w:sz w:val="16"/>
          <w:lang w:val="fr-FR"/>
        </w:rPr>
        <w:t xml:space="preserve">Pieter Adriaens, T 02 225 86 28, e-mail: </w:t>
      </w:r>
      <w:hyperlink r:id="rId9" w:history="1">
        <w:r>
          <w:rPr>
            <w:rStyle w:val="Hyperlink"/>
            <w:sz w:val="16"/>
            <w:lang w:val="fr-FR"/>
          </w:rPr>
          <w:t>pieter.adriaens@vaph.be</w:t>
        </w:r>
      </w:hyperlink>
    </w:p>
    <w:p w:rsidR="00181819" w:rsidRDefault="001A6715">
      <w:pPr>
        <w:jc w:val="both"/>
        <w:rPr>
          <w:sz w:val="16"/>
          <w:lang w:val="fr-FR"/>
        </w:rPr>
      </w:pPr>
      <w:r>
        <w:rPr>
          <w:sz w:val="16"/>
          <w:lang w:val="fr-FR"/>
        </w:rPr>
        <w:t>Voor an</w:t>
      </w:r>
      <w:r w:rsidR="005853A2">
        <w:rPr>
          <w:sz w:val="16"/>
          <w:lang w:val="fr-FR"/>
        </w:rPr>
        <w:t>dere vragen rond IJH</w:t>
      </w:r>
      <w:r>
        <w:rPr>
          <w:sz w:val="16"/>
          <w:lang w:val="fr-FR"/>
        </w:rPr>
        <w:t>:</w:t>
      </w:r>
    </w:p>
    <w:p w:rsidR="001A6715" w:rsidRDefault="001A6715">
      <w:pPr>
        <w:jc w:val="both"/>
        <w:rPr>
          <w:sz w:val="16"/>
          <w:lang w:val="fr-FR"/>
        </w:rPr>
      </w:pPr>
      <w:r>
        <w:rPr>
          <w:sz w:val="16"/>
          <w:lang w:val="fr-FR"/>
        </w:rPr>
        <w:t>Hanna Steenwegen</w:t>
      </w:r>
      <w:r w:rsidRPr="001A6715">
        <w:rPr>
          <w:sz w:val="16"/>
          <w:lang w:val="fr-FR"/>
        </w:rPr>
        <w:t xml:space="preserve">, T 02 225 85 37, e-mail : </w:t>
      </w:r>
      <w:hyperlink r:id="rId10" w:history="1">
        <w:r w:rsidRPr="001A6715">
          <w:rPr>
            <w:rStyle w:val="Hyperlink"/>
            <w:sz w:val="16"/>
            <w:lang w:val="fr-FR"/>
          </w:rPr>
          <w:t>hanna.steenwegen@vaph.be</w:t>
        </w:r>
      </w:hyperlink>
    </w:p>
    <w:p w:rsidR="001A6715" w:rsidRDefault="001A6715">
      <w:pPr>
        <w:jc w:val="both"/>
        <w:rPr>
          <w:sz w:val="16"/>
          <w:lang w:val="fr-FR"/>
        </w:rPr>
      </w:pPr>
    </w:p>
    <w:p w:rsidR="001A6715" w:rsidRDefault="001A6715">
      <w:pPr>
        <w:jc w:val="both"/>
        <w:rPr>
          <w:sz w:val="16"/>
          <w:lang w:val="fr-FR"/>
        </w:rPr>
      </w:pPr>
    </w:p>
    <w:p w:rsidR="00181819" w:rsidRDefault="00182EBE">
      <w:pPr>
        <w:jc w:val="both"/>
        <w:rPr>
          <w:b/>
          <w:spacing w:val="-3"/>
          <w:lang w:val="nl-BE"/>
        </w:rPr>
      </w:pPr>
      <w:r>
        <w:rPr>
          <w:b/>
          <w:spacing w:val="-3"/>
          <w:lang w:val="nl-BE"/>
        </w:rPr>
        <w:t>Betreft : Nieuwe versie Griffoen</w:t>
      </w:r>
    </w:p>
    <w:p w:rsidR="00181819" w:rsidRDefault="00181819">
      <w:pPr>
        <w:jc w:val="both"/>
        <w:rPr>
          <w:b/>
          <w:spacing w:val="-3"/>
          <w:sz w:val="24"/>
          <w:lang w:val="nl-BE"/>
        </w:rPr>
      </w:pPr>
    </w:p>
    <w:p w:rsidR="00181819" w:rsidRDefault="00181819">
      <w:pPr>
        <w:jc w:val="both"/>
        <w:rPr>
          <w:b/>
          <w:spacing w:val="-3"/>
          <w:sz w:val="24"/>
          <w:lang w:val="nl-BE"/>
        </w:rPr>
      </w:pPr>
    </w:p>
    <w:p w:rsidR="00181819" w:rsidRDefault="00182EBE">
      <w:pPr>
        <w:jc w:val="both"/>
        <w:rPr>
          <w:bCs/>
          <w:spacing w:val="-3"/>
        </w:rPr>
      </w:pPr>
      <w:r>
        <w:rPr>
          <w:bCs/>
          <w:spacing w:val="-3"/>
        </w:rPr>
        <w:t>Geachte mevrouw</w:t>
      </w:r>
    </w:p>
    <w:p w:rsidR="00181819" w:rsidRDefault="00182EBE">
      <w:pPr>
        <w:pStyle w:val="Koptekst"/>
        <w:tabs>
          <w:tab w:val="clear" w:pos="4536"/>
          <w:tab w:val="clear" w:pos="9072"/>
        </w:tabs>
        <w:jc w:val="both"/>
        <w:rPr>
          <w:bCs/>
          <w:spacing w:val="-3"/>
        </w:rPr>
      </w:pPr>
      <w:r>
        <w:rPr>
          <w:bCs/>
          <w:spacing w:val="-3"/>
        </w:rPr>
        <w:t>Geachte heer</w:t>
      </w:r>
    </w:p>
    <w:p w:rsidR="00BF3873" w:rsidRDefault="00BF3873">
      <w:pPr>
        <w:jc w:val="both"/>
        <w:rPr>
          <w:bCs/>
          <w:spacing w:val="-3"/>
        </w:rPr>
      </w:pPr>
    </w:p>
    <w:p w:rsidR="00BF3873" w:rsidRPr="00BF3873" w:rsidRDefault="00BF3873" w:rsidP="00BF3873">
      <w:pPr>
        <w:rPr>
          <w:rFonts w:eastAsia="Calibri"/>
          <w:szCs w:val="22"/>
          <w:lang w:val="nl-BE" w:eastAsia="en-US"/>
        </w:rPr>
      </w:pPr>
      <w:r w:rsidRPr="00BF3873">
        <w:rPr>
          <w:rFonts w:eastAsia="Calibri"/>
          <w:szCs w:val="22"/>
          <w:lang w:val="nl-BE" w:eastAsia="en-US"/>
        </w:rPr>
        <w:t xml:space="preserve">Naar aanleiding van de opstart van de Integrale Toegangspoort (ITP) in heel Vlaanderen is er heel wat veranderd in het jeugdzorglandschap, zo ook voor aanvragen naar hulpmiddelen en aanpassingen (Individuele Materiële Bijstand of IMB). </w:t>
      </w:r>
    </w:p>
    <w:p w:rsidR="00BF3873" w:rsidRPr="00BF3873" w:rsidRDefault="00BF3873" w:rsidP="00BF3873">
      <w:pPr>
        <w:rPr>
          <w:rFonts w:eastAsia="Calibri"/>
          <w:szCs w:val="22"/>
          <w:lang w:val="nl-BE" w:eastAsia="en-US"/>
        </w:rPr>
      </w:pPr>
    </w:p>
    <w:p w:rsidR="00BF3873" w:rsidRPr="00BF3873" w:rsidRDefault="00BF3873" w:rsidP="00BF3873">
      <w:pPr>
        <w:rPr>
          <w:rFonts w:eastAsia="Calibri"/>
          <w:szCs w:val="22"/>
          <w:lang w:val="nl-BE" w:eastAsia="en-US"/>
        </w:rPr>
      </w:pPr>
      <w:r w:rsidRPr="00BF3873">
        <w:rPr>
          <w:rFonts w:eastAsia="Calibri"/>
          <w:szCs w:val="22"/>
          <w:lang w:val="nl-BE" w:eastAsia="en-US"/>
        </w:rPr>
        <w:t xml:space="preserve">Deze infonota zet alle aanpassingen voor IMB nog eens duidelijk op een rijtje. </w:t>
      </w:r>
    </w:p>
    <w:p w:rsidR="00BF3873" w:rsidRPr="00BF3873" w:rsidRDefault="00BF3873" w:rsidP="00BF3873">
      <w:pPr>
        <w:rPr>
          <w:rFonts w:eastAsia="Calibri"/>
          <w:szCs w:val="22"/>
          <w:lang w:val="nl-BE" w:eastAsia="en-US"/>
        </w:rPr>
      </w:pPr>
    </w:p>
    <w:p w:rsidR="00BF3873" w:rsidRPr="00BF3873" w:rsidRDefault="00BF3873" w:rsidP="00BF3873">
      <w:pPr>
        <w:keepNext/>
        <w:keepLines/>
        <w:numPr>
          <w:ilvl w:val="0"/>
          <w:numId w:val="13"/>
        </w:numPr>
        <w:spacing w:before="120" w:after="240"/>
        <w:outlineLvl w:val="0"/>
        <w:rPr>
          <w:b/>
          <w:bCs/>
          <w:color w:val="5F5F5F"/>
          <w:sz w:val="24"/>
          <w:szCs w:val="28"/>
          <w:lang w:eastAsia="en-US"/>
        </w:rPr>
      </w:pPr>
      <w:r w:rsidRPr="00BF3873">
        <w:rPr>
          <w:b/>
          <w:bCs/>
          <w:color w:val="5F5F5F"/>
          <w:sz w:val="24"/>
          <w:szCs w:val="28"/>
          <w:lang w:eastAsia="en-US"/>
        </w:rPr>
        <w:lastRenderedPageBreak/>
        <w:t>Voor wie?</w:t>
      </w:r>
    </w:p>
    <w:p w:rsidR="00BF3873" w:rsidRPr="00BF3873" w:rsidRDefault="00BF3873" w:rsidP="00BF3873">
      <w:pPr>
        <w:rPr>
          <w:rFonts w:eastAsia="Calibri"/>
          <w:szCs w:val="22"/>
          <w:lang w:val="nl-BE" w:eastAsia="en-US"/>
        </w:rPr>
      </w:pPr>
      <w:r w:rsidRPr="00BF3873">
        <w:rPr>
          <w:rFonts w:eastAsia="Calibri"/>
          <w:szCs w:val="22"/>
          <w:lang w:val="nl-BE" w:eastAsia="en-US"/>
        </w:rPr>
        <w:t xml:space="preserve">Kinderen of jongeren (d.w.z. jongeren dan 18 jaar) dienen hun vraag IMB ofwel tot de toegangspoort ofwel tot het VAPH te richten. Onderstaande scenario’s leggen u uit wanneer naar welk agentschap gestuurd moet worden. </w:t>
      </w:r>
    </w:p>
    <w:p w:rsidR="00BF3873" w:rsidRDefault="00BF3873" w:rsidP="00BF3873">
      <w:pPr>
        <w:rPr>
          <w:rFonts w:eastAsia="Calibri"/>
          <w:szCs w:val="22"/>
          <w:lang w:val="nl-BE" w:eastAsia="en-US"/>
        </w:rPr>
      </w:pPr>
      <w:r w:rsidRPr="00BF3873">
        <w:rPr>
          <w:rFonts w:eastAsia="Calibri"/>
          <w:szCs w:val="22"/>
          <w:lang w:val="nl-BE" w:eastAsia="en-US"/>
        </w:rPr>
        <w:t xml:space="preserve">Vanaf de leeftijd van 18 jaar (ongeacht of men verlengd minderjarig is of niet) dienen alle aanvragen IMB ingediend te worden bij het VAPH. </w:t>
      </w:r>
    </w:p>
    <w:p w:rsidR="000A31C8" w:rsidRDefault="000A31C8" w:rsidP="00BF3873">
      <w:pPr>
        <w:rPr>
          <w:rFonts w:eastAsia="Calibri"/>
          <w:szCs w:val="22"/>
          <w:lang w:val="nl-BE" w:eastAsia="en-US"/>
        </w:rPr>
      </w:pPr>
    </w:p>
    <w:p w:rsidR="000A31C8" w:rsidRPr="00890C36" w:rsidRDefault="000A31C8" w:rsidP="000A31C8">
      <w:pPr>
        <w:keepNext/>
        <w:keepLines/>
        <w:numPr>
          <w:ilvl w:val="0"/>
          <w:numId w:val="13"/>
        </w:numPr>
        <w:spacing w:before="120" w:after="240"/>
        <w:outlineLvl w:val="0"/>
        <w:rPr>
          <w:b/>
          <w:bCs/>
          <w:color w:val="5F5F5F"/>
          <w:sz w:val="24"/>
          <w:szCs w:val="28"/>
          <w:lang w:eastAsia="en-US"/>
        </w:rPr>
      </w:pPr>
      <w:r>
        <w:rPr>
          <w:b/>
          <w:bCs/>
          <w:color w:val="5F5F5F"/>
          <w:sz w:val="24"/>
          <w:szCs w:val="28"/>
          <w:lang w:eastAsia="en-US"/>
        </w:rPr>
        <w:t>Wa</w:t>
      </w:r>
      <w:r w:rsidR="00890C36">
        <w:rPr>
          <w:b/>
          <w:bCs/>
          <w:color w:val="5F5F5F"/>
          <w:sz w:val="24"/>
          <w:szCs w:val="28"/>
          <w:lang w:eastAsia="en-US"/>
        </w:rPr>
        <w:t>nneer is een aanvraag</w:t>
      </w:r>
      <w:r>
        <w:rPr>
          <w:b/>
          <w:bCs/>
          <w:color w:val="5F5F5F"/>
          <w:sz w:val="24"/>
          <w:szCs w:val="28"/>
          <w:lang w:eastAsia="en-US"/>
        </w:rPr>
        <w:t xml:space="preserve"> </w:t>
      </w:r>
      <w:r w:rsidR="00890C36">
        <w:rPr>
          <w:b/>
          <w:bCs/>
          <w:color w:val="5F5F5F"/>
          <w:sz w:val="24"/>
          <w:szCs w:val="28"/>
          <w:lang w:eastAsia="en-US"/>
        </w:rPr>
        <w:t>ontvankelijk</w:t>
      </w:r>
      <w:r w:rsidR="00272DB2">
        <w:rPr>
          <w:b/>
          <w:bCs/>
          <w:color w:val="5F5F5F"/>
          <w:sz w:val="24"/>
          <w:szCs w:val="28"/>
          <w:lang w:eastAsia="en-US"/>
        </w:rPr>
        <w:t xml:space="preserve"> bij de ITP</w:t>
      </w:r>
      <w:r>
        <w:rPr>
          <w:b/>
          <w:bCs/>
          <w:color w:val="5F5F5F"/>
          <w:sz w:val="24"/>
          <w:szCs w:val="28"/>
          <w:lang w:eastAsia="en-US"/>
        </w:rPr>
        <w:t>?</w:t>
      </w:r>
    </w:p>
    <w:p w:rsidR="000A31C8" w:rsidRPr="000A31C8" w:rsidRDefault="000A31C8" w:rsidP="000A31C8">
      <w:pPr>
        <w:rPr>
          <w:rFonts w:eastAsia="Calibri"/>
          <w:szCs w:val="22"/>
          <w:lang w:eastAsia="en-US"/>
        </w:rPr>
      </w:pPr>
      <w:r w:rsidRPr="000A31C8">
        <w:rPr>
          <w:rFonts w:eastAsia="Calibri"/>
          <w:szCs w:val="22"/>
          <w:lang w:eastAsia="en-US"/>
        </w:rPr>
        <w:t>Een aanmelding is ontvankelijk als het aanvraagdocument volgende gegevens bevat:</w:t>
      </w:r>
    </w:p>
    <w:p w:rsidR="000A31C8" w:rsidRPr="000A31C8" w:rsidRDefault="000A31C8" w:rsidP="000A31C8">
      <w:pPr>
        <w:rPr>
          <w:rFonts w:eastAsia="Calibri"/>
          <w:szCs w:val="22"/>
          <w:lang w:eastAsia="en-US"/>
        </w:rPr>
      </w:pPr>
    </w:p>
    <w:p w:rsidR="000A31C8" w:rsidRPr="000A31C8" w:rsidRDefault="000A31C8" w:rsidP="000A31C8">
      <w:pPr>
        <w:rPr>
          <w:rFonts w:eastAsia="Calibri"/>
          <w:szCs w:val="22"/>
          <w:lang w:eastAsia="en-US"/>
        </w:rPr>
      </w:pPr>
      <w:r w:rsidRPr="000A31C8">
        <w:rPr>
          <w:rFonts w:eastAsia="Calibri"/>
          <w:szCs w:val="22"/>
          <w:lang w:eastAsia="en-US"/>
        </w:rPr>
        <w:t>1. identificatie en vraagverhelderende gegevens m</w:t>
      </w:r>
      <w:r w:rsidR="001433FE">
        <w:rPr>
          <w:rFonts w:eastAsia="Calibri"/>
          <w:szCs w:val="22"/>
          <w:lang w:eastAsia="en-US"/>
        </w:rPr>
        <w:t>.</w:t>
      </w:r>
      <w:r w:rsidRPr="000A31C8">
        <w:rPr>
          <w:rFonts w:eastAsia="Calibri"/>
          <w:szCs w:val="22"/>
          <w:lang w:eastAsia="en-US"/>
        </w:rPr>
        <w:t>b</w:t>
      </w:r>
      <w:r w:rsidR="001433FE">
        <w:rPr>
          <w:rFonts w:eastAsia="Calibri"/>
          <w:szCs w:val="22"/>
          <w:lang w:eastAsia="en-US"/>
        </w:rPr>
        <w:t>.</w:t>
      </w:r>
      <w:r w:rsidRPr="000A31C8">
        <w:rPr>
          <w:rFonts w:eastAsia="Calibri"/>
          <w:szCs w:val="22"/>
          <w:lang w:eastAsia="en-US"/>
        </w:rPr>
        <w:t>t</w:t>
      </w:r>
      <w:r w:rsidR="001433FE">
        <w:rPr>
          <w:rFonts w:eastAsia="Calibri"/>
          <w:szCs w:val="22"/>
          <w:lang w:eastAsia="en-US"/>
        </w:rPr>
        <w:t>. de</w:t>
      </w:r>
      <w:r w:rsidRPr="000A31C8">
        <w:rPr>
          <w:rFonts w:eastAsia="Calibri"/>
          <w:szCs w:val="22"/>
          <w:lang w:eastAsia="en-US"/>
        </w:rPr>
        <w:t xml:space="preserve"> minderjarige </w:t>
      </w:r>
    </w:p>
    <w:p w:rsidR="000A31C8" w:rsidRPr="000A31C8" w:rsidRDefault="000A31C8" w:rsidP="000A31C8">
      <w:pPr>
        <w:rPr>
          <w:rFonts w:eastAsia="Calibri"/>
          <w:szCs w:val="22"/>
          <w:lang w:eastAsia="en-US"/>
        </w:rPr>
      </w:pPr>
    </w:p>
    <w:p w:rsidR="000A31C8" w:rsidRPr="000A31C8" w:rsidRDefault="000A31C8" w:rsidP="000A31C8">
      <w:pPr>
        <w:rPr>
          <w:rFonts w:eastAsia="Calibri"/>
          <w:szCs w:val="22"/>
          <w:lang w:eastAsia="en-US"/>
        </w:rPr>
      </w:pPr>
      <w:r w:rsidRPr="000A31C8">
        <w:rPr>
          <w:rFonts w:eastAsia="Calibri"/>
          <w:szCs w:val="22"/>
          <w:lang w:eastAsia="en-US"/>
        </w:rPr>
        <w:t xml:space="preserve">2. aanduiding dat </w:t>
      </w:r>
      <w:r w:rsidR="001433FE">
        <w:rPr>
          <w:rFonts w:eastAsia="Calibri"/>
          <w:szCs w:val="22"/>
          <w:lang w:eastAsia="en-US"/>
        </w:rPr>
        <w:t xml:space="preserve">de </w:t>
      </w:r>
      <w:r w:rsidRPr="000A31C8">
        <w:rPr>
          <w:rFonts w:eastAsia="Calibri"/>
          <w:szCs w:val="22"/>
          <w:lang w:eastAsia="en-US"/>
        </w:rPr>
        <w:t>minderjarige en zijn ouders instemmen met de aanmelding of toelichting waarom de aanmelding niet werd verkregen</w:t>
      </w:r>
    </w:p>
    <w:p w:rsidR="000A31C8" w:rsidRPr="000A31C8" w:rsidRDefault="000A31C8" w:rsidP="000A31C8">
      <w:pPr>
        <w:rPr>
          <w:rFonts w:eastAsia="Calibri"/>
          <w:szCs w:val="22"/>
          <w:lang w:eastAsia="en-US"/>
        </w:rPr>
      </w:pPr>
    </w:p>
    <w:p w:rsidR="000A31C8" w:rsidRPr="000A31C8" w:rsidRDefault="000A31C8" w:rsidP="000A31C8">
      <w:pPr>
        <w:rPr>
          <w:rFonts w:eastAsia="Calibri"/>
          <w:szCs w:val="22"/>
          <w:lang w:eastAsia="en-US"/>
        </w:rPr>
      </w:pPr>
      <w:r w:rsidRPr="000A31C8">
        <w:rPr>
          <w:rFonts w:eastAsia="Calibri"/>
          <w:szCs w:val="22"/>
          <w:lang w:eastAsia="en-US"/>
        </w:rPr>
        <w:t>3. identificatiegegevens van de aanmelder</w:t>
      </w:r>
    </w:p>
    <w:p w:rsidR="000A31C8" w:rsidRPr="000A31C8" w:rsidRDefault="000A31C8" w:rsidP="000A31C8">
      <w:pPr>
        <w:rPr>
          <w:rFonts w:eastAsia="Calibri"/>
          <w:szCs w:val="22"/>
          <w:lang w:eastAsia="en-US"/>
        </w:rPr>
      </w:pPr>
    </w:p>
    <w:p w:rsidR="000A31C8" w:rsidRPr="000A31C8" w:rsidRDefault="000A31C8" w:rsidP="000A31C8">
      <w:pPr>
        <w:rPr>
          <w:rFonts w:eastAsia="Calibri"/>
          <w:szCs w:val="22"/>
          <w:lang w:eastAsia="en-US"/>
        </w:rPr>
      </w:pPr>
      <w:r w:rsidRPr="000A31C8">
        <w:rPr>
          <w:rFonts w:eastAsia="Calibri"/>
          <w:szCs w:val="22"/>
          <w:lang w:eastAsia="en-US"/>
        </w:rPr>
        <w:t>Als de aanmelder een erkend MDT of een gemandateerde voorziening is, bevat het aanvraagdocument ook de relevante diagnostische gegevens en een indicatiestellingsvoorstel m.b.t. de minderjarige.</w:t>
      </w:r>
    </w:p>
    <w:p w:rsidR="000A31C8" w:rsidRDefault="000A31C8" w:rsidP="00BF3873">
      <w:pPr>
        <w:rPr>
          <w:rFonts w:eastAsia="Calibri"/>
          <w:szCs w:val="22"/>
          <w:lang w:val="nl-BE" w:eastAsia="en-US"/>
        </w:rPr>
      </w:pPr>
    </w:p>
    <w:p w:rsidR="000A31C8" w:rsidRPr="00BF3873" w:rsidRDefault="00890C36" w:rsidP="00BF3873">
      <w:pPr>
        <w:rPr>
          <w:rFonts w:eastAsia="Calibri"/>
          <w:szCs w:val="22"/>
          <w:lang w:val="nl-BE" w:eastAsia="en-US"/>
        </w:rPr>
      </w:pPr>
      <w:r w:rsidRPr="00890C36">
        <w:rPr>
          <w:rFonts w:eastAsia="Calibri"/>
          <w:szCs w:val="22"/>
          <w:lang w:val="nl-BE" w:eastAsia="en-US"/>
        </w:rPr>
        <w:t xml:space="preserve">De datum van de ontvankelijkheid is de datum waarop de dossierbeheerder van het team indicatiestelling het dossier ontvankelijk verklaart en deze geldt als de datum van aanmelding bij de toegangspoort. In een aantal aanvraagscenario’s die u hieronder terugvindt, zal deze datum </w:t>
      </w:r>
      <w:r>
        <w:rPr>
          <w:rFonts w:eastAsia="Calibri"/>
          <w:szCs w:val="22"/>
          <w:lang w:val="nl-BE" w:eastAsia="en-US"/>
        </w:rPr>
        <w:t xml:space="preserve">dus </w:t>
      </w:r>
      <w:r w:rsidRPr="00890C36">
        <w:rPr>
          <w:rFonts w:eastAsia="Calibri"/>
          <w:szCs w:val="22"/>
          <w:lang w:val="nl-BE" w:eastAsia="en-US"/>
        </w:rPr>
        <w:t>gebruikt worden voor het bepalen van de datum tenlasteneming</w:t>
      </w:r>
      <w:r>
        <w:rPr>
          <w:rFonts w:eastAsia="Calibri"/>
          <w:szCs w:val="22"/>
          <w:lang w:val="nl-BE" w:eastAsia="en-US"/>
        </w:rPr>
        <w:t xml:space="preserve"> van de gevraagde hulpmiddelen of aanpassingen</w:t>
      </w:r>
      <w:r w:rsidRPr="00890C36">
        <w:rPr>
          <w:rFonts w:eastAsia="Calibri"/>
          <w:szCs w:val="22"/>
          <w:lang w:val="nl-BE" w:eastAsia="en-US"/>
        </w:rPr>
        <w:t>.</w:t>
      </w:r>
    </w:p>
    <w:p w:rsidR="00BF3873" w:rsidRPr="00BF3873" w:rsidRDefault="00BF3873" w:rsidP="00BF3873">
      <w:pPr>
        <w:rPr>
          <w:rFonts w:eastAsia="Calibri"/>
          <w:szCs w:val="22"/>
          <w:lang w:val="nl-BE" w:eastAsia="en-US"/>
        </w:rPr>
      </w:pPr>
    </w:p>
    <w:p w:rsidR="00BF3873" w:rsidRDefault="00BF3873" w:rsidP="00BF3873">
      <w:pPr>
        <w:keepNext/>
        <w:keepLines/>
        <w:numPr>
          <w:ilvl w:val="0"/>
          <w:numId w:val="13"/>
        </w:numPr>
        <w:spacing w:before="120" w:after="240"/>
        <w:outlineLvl w:val="0"/>
        <w:rPr>
          <w:b/>
          <w:bCs/>
          <w:color w:val="5F5F5F"/>
          <w:sz w:val="24"/>
          <w:szCs w:val="28"/>
          <w:lang w:eastAsia="en-US"/>
        </w:rPr>
      </w:pPr>
      <w:r w:rsidRPr="00BF3873">
        <w:rPr>
          <w:b/>
          <w:bCs/>
          <w:color w:val="5F5F5F"/>
          <w:sz w:val="24"/>
          <w:szCs w:val="28"/>
          <w:lang w:eastAsia="en-US"/>
        </w:rPr>
        <w:t>Welke aanvraagprocedure volgen?</w:t>
      </w:r>
    </w:p>
    <w:p w:rsidR="00BF3873" w:rsidRDefault="00BF3873" w:rsidP="00BF3873">
      <w:pPr>
        <w:rPr>
          <w:rFonts w:eastAsia="Calibri"/>
          <w:szCs w:val="22"/>
          <w:lang w:val="nl-BE" w:eastAsia="en-US"/>
        </w:rPr>
      </w:pPr>
      <w:r w:rsidRPr="00BF3873">
        <w:rPr>
          <w:rFonts w:eastAsia="Calibri"/>
          <w:szCs w:val="22"/>
          <w:lang w:val="nl-BE" w:eastAsia="en-US"/>
        </w:rPr>
        <w:t>Hieronder vindt u de juiste aanvraagprocedure terug voor de verscheidene mogelijke scenario’s.</w:t>
      </w:r>
    </w:p>
    <w:p w:rsidR="001E0EBF" w:rsidRPr="00BF3873" w:rsidRDefault="001E0EBF" w:rsidP="00BF3873">
      <w:pPr>
        <w:rPr>
          <w:rFonts w:eastAsia="Calibri"/>
          <w:szCs w:val="22"/>
          <w:lang w:val="nl-BE" w:eastAsia="en-US"/>
        </w:rPr>
      </w:pPr>
    </w:p>
    <w:p w:rsidR="00BF3873" w:rsidRPr="00BF3873" w:rsidRDefault="00BF3873" w:rsidP="00BF3873">
      <w:pPr>
        <w:rPr>
          <w:rFonts w:eastAsia="Calibri"/>
          <w:szCs w:val="22"/>
          <w:lang w:val="nl-BE" w:eastAsia="en-US"/>
        </w:rPr>
      </w:pPr>
    </w:p>
    <w:p w:rsidR="00BF3873" w:rsidRPr="00BF3873" w:rsidRDefault="00BF3873" w:rsidP="00BF3873">
      <w:pPr>
        <w:numPr>
          <w:ilvl w:val="0"/>
          <w:numId w:val="14"/>
        </w:numPr>
        <w:ind w:left="426"/>
        <w:contextualSpacing/>
        <w:rPr>
          <w:rFonts w:eastAsia="Calibri"/>
          <w:b/>
          <w:szCs w:val="22"/>
          <w:lang w:val="nl-BE" w:eastAsia="en-US"/>
        </w:rPr>
      </w:pPr>
      <w:r w:rsidRPr="00BF3873">
        <w:rPr>
          <w:rFonts w:eastAsia="Calibri"/>
          <w:b/>
          <w:szCs w:val="22"/>
          <w:lang w:val="nl-BE" w:eastAsia="en-US"/>
        </w:rPr>
        <w:t>Een minderjarige, zonder erkenning als persoon met handicap, meldt zich voor de eerste keer aan. De vraag betreft een aanvraag IMB.</w:t>
      </w:r>
    </w:p>
    <w:p w:rsidR="00BF3873" w:rsidRPr="00BF3873" w:rsidRDefault="00BF3873" w:rsidP="00BF3873">
      <w:pPr>
        <w:rPr>
          <w:rFonts w:eastAsia="Calibri"/>
          <w:szCs w:val="22"/>
          <w:u w:val="single"/>
          <w:lang w:val="nl-BE" w:eastAsia="en-US"/>
        </w:rPr>
      </w:pPr>
    </w:p>
    <w:p w:rsidR="00BF3873" w:rsidRPr="00BF3873" w:rsidRDefault="00BF3873" w:rsidP="00BF3873">
      <w:pPr>
        <w:rPr>
          <w:rFonts w:eastAsia="Calibri"/>
          <w:szCs w:val="22"/>
          <w:lang w:val="nl-BE" w:eastAsia="en-US"/>
        </w:rPr>
      </w:pPr>
      <w:r w:rsidRPr="00BF3873">
        <w:rPr>
          <w:rFonts w:eastAsia="Calibri"/>
          <w:szCs w:val="22"/>
          <w:lang w:val="nl-BE" w:eastAsia="en-US"/>
        </w:rPr>
        <w:t>In deze situatie gaat het om iemand die nog niet erkend is als persoon met handicap, noch door het VAPH, noch door de ITP. Zijn eerste aanvraag betreft een aanvraag IMB.</w:t>
      </w:r>
    </w:p>
    <w:p w:rsidR="00BF3873" w:rsidRPr="00BF3873" w:rsidRDefault="00BF3873" w:rsidP="00BF3873">
      <w:pPr>
        <w:rPr>
          <w:rFonts w:eastAsia="Calibri"/>
          <w:szCs w:val="22"/>
          <w:lang w:val="nl-BE" w:eastAsia="en-US"/>
        </w:rPr>
      </w:pPr>
      <w:r w:rsidRPr="00BF3873">
        <w:rPr>
          <w:rFonts w:eastAsia="Calibri"/>
          <w:szCs w:val="22"/>
          <w:lang w:val="nl-BE" w:eastAsia="en-US"/>
        </w:rPr>
        <w:t xml:space="preserve">Het Vlaams Agentschap voor Personen met een Handicap (VAPH) zal nog steeds beslissen over de toekenning van interventieniveaus, functiebeperkingen en de gevraagde hulpmiddelen en aanpassingen. </w:t>
      </w:r>
    </w:p>
    <w:p w:rsidR="00BF3873" w:rsidRPr="00BF3873" w:rsidRDefault="00BF3873" w:rsidP="00BF3873">
      <w:pPr>
        <w:rPr>
          <w:rFonts w:eastAsia="Calibri"/>
          <w:szCs w:val="22"/>
          <w:lang w:val="nl-BE" w:eastAsia="en-US"/>
        </w:rPr>
      </w:pPr>
      <w:r w:rsidRPr="00BF3873">
        <w:rPr>
          <w:rFonts w:eastAsia="Calibri"/>
          <w:szCs w:val="22"/>
          <w:lang w:val="nl-BE" w:eastAsia="en-US"/>
        </w:rPr>
        <w:t>Hiervoor heeft men echter eerst een goedkeuring nodig voor de typemodule ‘IMB’ onder de functie ‘bijstand’ van de ITP. Eens deze goedkeuring er is, maakt de ITP de vraag naar hulpmiddelen over aan het VAPH.</w:t>
      </w:r>
    </w:p>
    <w:p w:rsidR="00BF3873" w:rsidRPr="00BF3873" w:rsidRDefault="00BF3873" w:rsidP="00BF3873">
      <w:pPr>
        <w:ind w:left="708"/>
        <w:rPr>
          <w:rFonts w:eastAsia="Calibri"/>
          <w:szCs w:val="22"/>
          <w:u w:val="single"/>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Naar waar?</w:t>
      </w:r>
      <w:r w:rsidRPr="00BF3873">
        <w:rPr>
          <w:rFonts w:eastAsia="Calibri"/>
          <w:szCs w:val="22"/>
          <w:lang w:val="nl-BE" w:eastAsia="en-US"/>
        </w:rPr>
        <w:t xml:space="preserve"> De vraag dient door het MDT gericht te worden aan de ITP, na een eventuele goedkeuring geven zij de gegevens door aan het VAPH. Voor deze tweede stap moet het MDT dus niets meer ondernemen. </w:t>
      </w:r>
    </w:p>
    <w:p w:rsidR="00BF3873" w:rsidRPr="00BF3873" w:rsidRDefault="00BF3873" w:rsidP="00BF3873">
      <w:pPr>
        <w:ind w:left="708"/>
        <w:rPr>
          <w:rFonts w:eastAsia="Calibri"/>
          <w:szCs w:val="22"/>
          <w:lang w:val="nl-BE" w:eastAsia="en-US"/>
        </w:rPr>
      </w:pPr>
    </w:p>
    <w:p w:rsidR="00BF3873" w:rsidRDefault="00BF3873" w:rsidP="00BF3873">
      <w:pPr>
        <w:ind w:left="708"/>
        <w:rPr>
          <w:rFonts w:eastAsia="Calibri"/>
          <w:szCs w:val="22"/>
          <w:lang w:val="nl-BE" w:eastAsia="en-US"/>
        </w:rPr>
      </w:pPr>
      <w:r w:rsidRPr="00BF3873">
        <w:rPr>
          <w:rFonts w:eastAsia="Calibri"/>
          <w:b/>
          <w:i/>
          <w:szCs w:val="22"/>
          <w:lang w:val="nl-BE" w:eastAsia="en-US"/>
        </w:rPr>
        <w:t>Datum tenlasteneming?</w:t>
      </w:r>
      <w:r w:rsidR="00F36DFE">
        <w:rPr>
          <w:rFonts w:eastAsia="Calibri"/>
          <w:szCs w:val="22"/>
          <w:lang w:val="nl-BE" w:eastAsia="en-US"/>
        </w:rPr>
        <w:t xml:space="preserve"> Voor het bepalen van de datum tenlasteneming wordt teruggerekend</w:t>
      </w:r>
      <w:r w:rsidRPr="00BF3873">
        <w:rPr>
          <w:rFonts w:eastAsia="Calibri"/>
          <w:szCs w:val="22"/>
          <w:lang w:val="nl-BE" w:eastAsia="en-US"/>
        </w:rPr>
        <w:t xml:space="preserve"> vanaf </w:t>
      </w:r>
      <w:r w:rsidR="00F36DFE">
        <w:rPr>
          <w:rFonts w:eastAsia="Calibri"/>
          <w:szCs w:val="22"/>
          <w:lang w:val="nl-BE" w:eastAsia="en-US"/>
        </w:rPr>
        <w:t>de</w:t>
      </w:r>
      <w:r w:rsidR="00B51CA1">
        <w:rPr>
          <w:rFonts w:eastAsia="Calibri"/>
          <w:szCs w:val="22"/>
          <w:lang w:val="nl-BE" w:eastAsia="en-US"/>
        </w:rPr>
        <w:t xml:space="preserve"> aanmeldingsdatum bij de ITP</w:t>
      </w:r>
      <w:r w:rsidR="00F36DFE">
        <w:rPr>
          <w:rFonts w:eastAsia="Calibri"/>
          <w:szCs w:val="22"/>
          <w:lang w:val="nl-BE" w:eastAsia="en-US"/>
        </w:rPr>
        <w:t>. M</w:t>
      </w:r>
      <w:r w:rsidRPr="00BF3873">
        <w:rPr>
          <w:rFonts w:eastAsia="Calibri"/>
          <w:szCs w:val="22"/>
          <w:lang w:val="nl-BE" w:eastAsia="en-US"/>
        </w:rPr>
        <w:t xml:space="preserve">en telt 18 maanden terug (geen 12 maanden!). </w:t>
      </w:r>
    </w:p>
    <w:p w:rsidR="00BF3873" w:rsidRPr="00BF3873" w:rsidRDefault="00BF3873" w:rsidP="00BF3873">
      <w:pPr>
        <w:ind w:left="708"/>
        <w:rPr>
          <w:rFonts w:eastAsia="Calibri"/>
          <w:szCs w:val="22"/>
          <w:lang w:val="nl-BE" w:eastAsia="en-US"/>
        </w:rPr>
      </w:pPr>
      <w:r w:rsidRPr="00BF3873">
        <w:rPr>
          <w:rFonts w:eastAsia="Calibri"/>
          <w:szCs w:val="22"/>
          <w:lang w:val="nl-BE" w:eastAsia="en-US"/>
        </w:rPr>
        <w:lastRenderedPageBreak/>
        <w:t xml:space="preserve">Uitzonderingen hierop vormen de forfaitaire vergoeding voor incontinentiemateriaal en de tegemoetkomingen voor mobiliteitshulpmiddelen vermeld in de bijlage II bij het BVR van 13 juli 2001. </w:t>
      </w:r>
    </w:p>
    <w:p w:rsidR="00BF3873" w:rsidRPr="00BF3873" w:rsidRDefault="00BF3873" w:rsidP="00BF3873">
      <w:pPr>
        <w:ind w:left="708"/>
        <w:rPr>
          <w:rFonts w:eastAsia="Calibri"/>
          <w:szCs w:val="22"/>
          <w:lang w:val="nl-BE" w:eastAsia="en-US"/>
        </w:rPr>
      </w:pPr>
      <w:r w:rsidRPr="00BF3873">
        <w:rPr>
          <w:rFonts w:eastAsia="Calibri"/>
          <w:szCs w:val="22"/>
          <w:lang w:val="nl-BE" w:eastAsia="en-US"/>
        </w:rPr>
        <w:t>De beslissingen over de toekenning van een refertebedrag voor incontinentiemateriaal gelden met ingang van de eerste dag van de maand waarin de aanvraag volledig is ingediend bij de ITP.</w:t>
      </w:r>
    </w:p>
    <w:p w:rsidR="00BF3873" w:rsidRPr="00BF3873" w:rsidRDefault="00BF3873" w:rsidP="00BF3873">
      <w:pPr>
        <w:ind w:left="708"/>
        <w:rPr>
          <w:rFonts w:eastAsia="Calibri"/>
          <w:szCs w:val="22"/>
          <w:lang w:val="nl-BE" w:eastAsia="en-US"/>
        </w:rPr>
      </w:pPr>
      <w:r w:rsidRPr="00BF3873">
        <w:rPr>
          <w:rFonts w:eastAsia="Calibri"/>
          <w:szCs w:val="22"/>
          <w:lang w:val="nl-BE" w:eastAsia="en-US"/>
        </w:rPr>
        <w:t xml:space="preserve">De aankoop van een mobiliteitshulpmiddel of de kosten voor onderhoud, herstellingen of aanpassingen die ermee verband houden, kunnen ten vroegste vergoed worden vanaf de datum dat de aanvraag t.a.v. het RIZIV werd ingediend. </w:t>
      </w:r>
    </w:p>
    <w:p w:rsidR="00BF3873" w:rsidRPr="00BF3873" w:rsidRDefault="00BF3873" w:rsidP="00BF3873">
      <w:pPr>
        <w:ind w:left="708"/>
        <w:rPr>
          <w:rFonts w:eastAsia="Calibr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Welke documenten?</w:t>
      </w:r>
      <w:r w:rsidRPr="00BF3873">
        <w:rPr>
          <w:rFonts w:eastAsia="Calibri"/>
          <w:szCs w:val="22"/>
          <w:lang w:val="nl-BE" w:eastAsia="en-US"/>
        </w:rPr>
        <w:t xml:space="preserve"> Een aanvraag moet ingegeven worden in INSISTO: men heeft een A-doc nodig en als bijlage een adviesrapport. Dit adviesrapport wordt volgens de gewone procedure ingevuld (d.w.z. dat hier het bijkomende tabblad IJH niet moet worden ingevuld). Ook de gebruikelijke bijlagen worden mee aangeleverd bij de ITP (RIZIV-bijlagen bij een aanvraag voor een mobiliteitshulpmiddel</w:t>
      </w:r>
      <w:r w:rsidR="00DB71F3">
        <w:rPr>
          <w:rFonts w:eastAsia="Calibri"/>
          <w:szCs w:val="22"/>
          <w:lang w:val="nl-BE" w:eastAsia="en-US"/>
        </w:rPr>
        <w:t xml:space="preserve"> of</w:t>
      </w:r>
      <w:r w:rsidR="00272DB2">
        <w:rPr>
          <w:rFonts w:eastAsia="Calibri"/>
          <w:szCs w:val="22"/>
          <w:lang w:val="nl-BE" w:eastAsia="en-US"/>
        </w:rPr>
        <w:t xml:space="preserve"> een incontinentieattest bij</w:t>
      </w:r>
      <w:r w:rsidRPr="00BF3873">
        <w:rPr>
          <w:rFonts w:eastAsia="Calibri"/>
          <w:szCs w:val="22"/>
          <w:lang w:val="nl-BE" w:eastAsia="en-US"/>
        </w:rPr>
        <w:t xml:space="preserve"> de aanvraag van een forfaitaire tegemoetkoming</w:t>
      </w:r>
      <w:r w:rsidR="00272DB2">
        <w:rPr>
          <w:rFonts w:eastAsia="Calibri"/>
          <w:szCs w:val="22"/>
          <w:lang w:val="nl-BE" w:eastAsia="en-US"/>
        </w:rPr>
        <w:t xml:space="preserve"> voor incontinentiemateriaal</w:t>
      </w:r>
      <w:r w:rsidRPr="00BF3873">
        <w:rPr>
          <w:rFonts w:eastAsia="Calibri"/>
          <w:szCs w:val="22"/>
          <w:lang w:val="nl-BE" w:eastAsia="en-US"/>
        </w:rPr>
        <w:t xml:space="preserve">). </w:t>
      </w:r>
      <w:r w:rsidR="004A16D5" w:rsidRPr="004F61EF">
        <w:rPr>
          <w:rFonts w:eastAsia="Calibri"/>
          <w:szCs w:val="22"/>
          <w:lang w:val="nl-BE" w:eastAsia="en-US"/>
        </w:rPr>
        <w:t>Een A001</w:t>
      </w:r>
      <w:r w:rsidR="00CF04AF" w:rsidRPr="004F61EF">
        <w:rPr>
          <w:rFonts w:eastAsia="Calibri"/>
          <w:szCs w:val="22"/>
          <w:lang w:val="nl-BE" w:eastAsia="en-US"/>
        </w:rPr>
        <w:t xml:space="preserve"> is niet nodig.</w:t>
      </w:r>
      <w:r w:rsidRPr="00BF3873">
        <w:rPr>
          <w:rFonts w:eastAsia="Calibri"/>
          <w:szCs w:val="22"/>
          <w:lang w:val="nl-BE" w:eastAsia="en-US"/>
        </w:rPr>
        <w:t xml:space="preserve"> </w:t>
      </w:r>
    </w:p>
    <w:p w:rsidR="00BF3873" w:rsidRPr="00BF3873" w:rsidRDefault="00BF3873" w:rsidP="00BF3873">
      <w:pPr>
        <w:ind w:left="708"/>
        <w:rPr>
          <w:rFonts w:eastAsia="Calibri"/>
          <w:szCs w:val="22"/>
          <w:u w:val="single"/>
          <w:lang w:val="nl-BE" w:eastAsia="en-US"/>
        </w:rPr>
      </w:pPr>
    </w:p>
    <w:p w:rsidR="00BF3873" w:rsidRPr="00BF3873" w:rsidRDefault="00BF3873" w:rsidP="00BF3873">
      <w:pPr>
        <w:ind w:left="708"/>
        <w:rPr>
          <w:rFonts w:eastAsia="Calibri"/>
          <w:szCs w:val="22"/>
          <w:u w:val="single"/>
          <w:lang w:val="nl-BE" w:eastAsia="en-US"/>
        </w:rPr>
      </w:pPr>
    </w:p>
    <w:p w:rsidR="00BF3873" w:rsidRPr="00BF3873" w:rsidRDefault="00BF3873" w:rsidP="00BF3873">
      <w:pPr>
        <w:numPr>
          <w:ilvl w:val="0"/>
          <w:numId w:val="14"/>
        </w:numPr>
        <w:ind w:left="426"/>
        <w:contextualSpacing/>
        <w:rPr>
          <w:rFonts w:eastAsia="Calibri"/>
          <w:b/>
          <w:szCs w:val="22"/>
          <w:lang w:val="nl-BE" w:eastAsia="en-US"/>
        </w:rPr>
      </w:pPr>
      <w:r w:rsidRPr="00BF3873">
        <w:rPr>
          <w:rFonts w:eastAsia="Calibri"/>
          <w:b/>
          <w:szCs w:val="22"/>
          <w:lang w:val="nl-BE" w:eastAsia="en-US"/>
        </w:rPr>
        <w:t>Een minderjarige, zonder erkenning als persoon met handicap, meldt zich voor de eerste keer aan maar vraagt geen IMB. Na de erkenning als persoon met een handicap en de goedkeuring van deze eerste aanvraag meldt hij/zij zich later opnieuw aan, deze keer voor een eerste aanvraag IMB.</w:t>
      </w:r>
    </w:p>
    <w:p w:rsidR="00BF3873" w:rsidRPr="00BF3873" w:rsidRDefault="00BF3873" w:rsidP="00BF3873">
      <w:pPr>
        <w:rPr>
          <w:rFonts w:eastAsia="Calibri"/>
          <w:szCs w:val="22"/>
          <w:u w:val="single"/>
          <w:lang w:val="nl-BE" w:eastAsia="en-US"/>
        </w:rPr>
      </w:pPr>
    </w:p>
    <w:p w:rsidR="00BF3873" w:rsidRPr="00BF3873" w:rsidRDefault="00BF3873" w:rsidP="00BF3873">
      <w:pPr>
        <w:rPr>
          <w:rFonts w:eastAsia="Calibri"/>
          <w:szCs w:val="22"/>
          <w:lang w:val="nl-BE" w:eastAsia="en-US"/>
        </w:rPr>
      </w:pPr>
      <w:r w:rsidRPr="00BF3873">
        <w:rPr>
          <w:rFonts w:eastAsia="Calibri"/>
          <w:szCs w:val="22"/>
          <w:lang w:val="nl-BE" w:eastAsia="en-US"/>
        </w:rPr>
        <w:t>De persoon heeft in deze situatie reeds een vraag Zorg, PAB gesteld aan de ITP (was daarvoor nog niet erkend door het VAPH). Deze vraag is goedgekeurd, vervolgens stelt hij een vraag IMB. Ook hier is er nood aan een typemodule IMB vooraleer de vraag naar het VAPH kan doorgestuurd worden. Deze typemodule IMB was immers bij de vorige vraag (ZIN of PAB) nog niet aangevraagd.</w:t>
      </w:r>
    </w:p>
    <w:p w:rsidR="00BF3873" w:rsidRPr="00BF3873" w:rsidRDefault="00BF3873" w:rsidP="00BF3873">
      <w:pPr>
        <w:ind w:left="708"/>
        <w:rPr>
          <w:rFonts w:eastAsia="Calibri"/>
          <w:szCs w:val="22"/>
          <w:u w:val="single"/>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 xml:space="preserve">Naar waar? </w:t>
      </w:r>
      <w:r w:rsidRPr="00BF3873">
        <w:rPr>
          <w:rFonts w:eastAsia="Calibri"/>
          <w:szCs w:val="22"/>
          <w:lang w:val="nl-BE" w:eastAsia="en-US"/>
        </w:rPr>
        <w:t xml:space="preserve">De vraag moet men richten aan de ITP, na een goedkeuring zullen zij alle documenten overmaken aan het VAPH ter afhandeling. </w:t>
      </w:r>
    </w:p>
    <w:p w:rsidR="00BF3873" w:rsidRPr="00BF3873" w:rsidRDefault="00BF3873" w:rsidP="00BF3873">
      <w:pPr>
        <w:ind w:left="708"/>
        <w:rPr>
          <w:rFonts w:eastAsia="Calibri"/>
          <w:b/>
          <w: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 xml:space="preserve">Datum tenlasteneming? </w:t>
      </w:r>
      <w:r w:rsidRPr="00BF3873">
        <w:rPr>
          <w:rFonts w:eastAsia="Calibri"/>
          <w:szCs w:val="22"/>
          <w:lang w:val="nl-BE" w:eastAsia="en-US"/>
        </w:rPr>
        <w:t xml:space="preserve">Het gaat hier om een eerste vraag IMB, dus vanaf </w:t>
      </w:r>
      <w:r w:rsidRPr="00272DB2">
        <w:rPr>
          <w:rFonts w:eastAsia="Calibri"/>
          <w:szCs w:val="22"/>
          <w:lang w:val="nl-BE" w:eastAsia="en-US"/>
        </w:rPr>
        <w:t xml:space="preserve">de </w:t>
      </w:r>
      <w:r w:rsidR="00B51CA1">
        <w:rPr>
          <w:rFonts w:eastAsia="Calibri"/>
          <w:szCs w:val="22"/>
          <w:lang w:val="nl-BE" w:eastAsia="en-US"/>
        </w:rPr>
        <w:t>aanmeldingsdatum bij de ITP</w:t>
      </w:r>
      <w:r w:rsidRPr="00BF3873">
        <w:rPr>
          <w:rFonts w:eastAsia="Calibri"/>
          <w:szCs w:val="22"/>
          <w:lang w:val="nl-BE" w:eastAsia="en-US"/>
        </w:rPr>
        <w:t xml:space="preserve"> telt men 18 maanden terug (geen 12 maanden!).</w:t>
      </w:r>
    </w:p>
    <w:p w:rsidR="00BF3873" w:rsidRPr="00BF3873" w:rsidRDefault="00BF3873" w:rsidP="00BF3873">
      <w:pPr>
        <w:ind w:left="708"/>
        <w:rPr>
          <w:rFonts w:eastAsia="Calibr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szCs w:val="22"/>
          <w:lang w:val="nl-BE" w:eastAsia="en-US"/>
        </w:rPr>
        <w:t xml:space="preserve">Uitzonderingen hierop vormen de forfaitaire vergoeding voor incontinentiemateriaal en de tegemoetkomingen voor mobiliteitshulpmiddelen vermeld in de bijlage II bij het BVR van 13 juli 2001. </w:t>
      </w:r>
    </w:p>
    <w:p w:rsidR="00BF3873" w:rsidRPr="00BF3873" w:rsidRDefault="00BF3873" w:rsidP="00BF3873">
      <w:pPr>
        <w:ind w:left="708"/>
        <w:rPr>
          <w:rFonts w:eastAsia="Calibri"/>
          <w:szCs w:val="22"/>
          <w:lang w:val="nl-BE" w:eastAsia="en-US"/>
        </w:rPr>
      </w:pPr>
      <w:r w:rsidRPr="00BF3873">
        <w:rPr>
          <w:rFonts w:eastAsia="Calibri"/>
          <w:szCs w:val="22"/>
          <w:lang w:val="nl-BE" w:eastAsia="en-US"/>
        </w:rPr>
        <w:t>De beslissingen over de toekenning van een refertebedrag voor incontinentiemateriaal gelden met ingang van de eerste dag van de maand waarin de aanvraag volledig is ingediend bij de ITP.</w:t>
      </w:r>
    </w:p>
    <w:p w:rsidR="00BF3873" w:rsidRPr="00BF3873" w:rsidRDefault="00BF3873" w:rsidP="00BF3873">
      <w:pPr>
        <w:ind w:left="708"/>
        <w:rPr>
          <w:rFonts w:eastAsia="Calibri"/>
          <w:szCs w:val="22"/>
          <w:lang w:val="nl-BE" w:eastAsia="en-US"/>
        </w:rPr>
      </w:pPr>
      <w:r w:rsidRPr="00BF3873">
        <w:rPr>
          <w:rFonts w:eastAsia="Calibri"/>
          <w:szCs w:val="22"/>
          <w:lang w:val="nl-BE" w:eastAsia="en-US"/>
        </w:rPr>
        <w:t>De aankoop van een mobiliteitshulpmiddel of de kosten voor onderhoud, herstellingen of aanpassingen die ermee verband houden, kunnen ten vroegste vergoed worden vanaf de datum dat de aanvraag t.a.v. het RIZIV werd ingediend.</w:t>
      </w:r>
    </w:p>
    <w:p w:rsidR="00BF3873" w:rsidRPr="00BF3873" w:rsidRDefault="00BF3873" w:rsidP="00BF3873">
      <w:pPr>
        <w:ind w:left="708"/>
        <w:rPr>
          <w:rFonts w:eastAsia="Calibri"/>
          <w:b/>
          <w:i/>
          <w:szCs w:val="22"/>
          <w:lang w:val="nl-BE" w:eastAsia="en-US"/>
        </w:rPr>
      </w:pPr>
    </w:p>
    <w:p w:rsidR="00BF3873" w:rsidRDefault="00BF3873" w:rsidP="00901BF9">
      <w:pPr>
        <w:ind w:left="708"/>
        <w:rPr>
          <w:rFonts w:eastAsia="Calibri"/>
          <w:szCs w:val="22"/>
          <w:lang w:val="nl-BE" w:eastAsia="en-US"/>
        </w:rPr>
      </w:pPr>
      <w:r w:rsidRPr="00BF3873">
        <w:rPr>
          <w:rFonts w:eastAsia="Calibri"/>
          <w:b/>
          <w:i/>
          <w:szCs w:val="22"/>
          <w:lang w:val="nl-BE" w:eastAsia="en-US"/>
        </w:rPr>
        <w:t xml:space="preserve">Welke documenten? </w:t>
      </w:r>
      <w:r w:rsidRPr="00BF3873">
        <w:rPr>
          <w:rFonts w:eastAsia="Calibri"/>
          <w:szCs w:val="22"/>
          <w:lang w:val="nl-BE" w:eastAsia="en-US"/>
        </w:rPr>
        <w:t>Een aanvraag moet ingegeven worden in INSISTO: men heeft een A-doc nodig en als bijlage een adviesrapport. Dit adviesrapport wordt volgens de gewone procedure ingevuld (d.w.z. dat hier het bijkomende tabblad IJH niet moet worden ingevuld). Ook de gebruikelijke bijlagen worden mee aangeleverd bij de ITP (RIZIV-bijlagen bij een aanvraag</w:t>
      </w:r>
      <w:r w:rsidR="00DB71F3">
        <w:rPr>
          <w:rFonts w:eastAsia="Calibri"/>
          <w:szCs w:val="22"/>
          <w:lang w:val="nl-BE" w:eastAsia="en-US"/>
        </w:rPr>
        <w:t xml:space="preserve"> voor een mobiliteitshulpmiddel of</w:t>
      </w:r>
      <w:r w:rsidRPr="00BF3873">
        <w:rPr>
          <w:rFonts w:eastAsia="Calibri"/>
          <w:szCs w:val="22"/>
          <w:lang w:val="nl-BE" w:eastAsia="en-US"/>
        </w:rPr>
        <w:t xml:space="preserve"> een incontinentieattest </w:t>
      </w:r>
      <w:r w:rsidR="001E0EBF" w:rsidRPr="001E0EBF">
        <w:rPr>
          <w:rFonts w:eastAsia="Calibri"/>
          <w:szCs w:val="22"/>
          <w:lang w:val="nl-BE" w:eastAsia="en-US"/>
        </w:rPr>
        <w:t>bij de aanvraag van een forfaitaire tegemoetkoming voor incontinentiemateriaal</w:t>
      </w:r>
      <w:r w:rsidRPr="00BF3873">
        <w:rPr>
          <w:rFonts w:eastAsia="Calibri"/>
          <w:szCs w:val="22"/>
          <w:lang w:val="nl-BE" w:eastAsia="en-US"/>
        </w:rPr>
        <w:t xml:space="preserve">). </w:t>
      </w:r>
      <w:r w:rsidR="004A16D5" w:rsidRPr="004F61EF">
        <w:rPr>
          <w:rFonts w:eastAsia="Calibri"/>
          <w:szCs w:val="22"/>
          <w:lang w:val="nl-BE" w:eastAsia="en-US"/>
        </w:rPr>
        <w:t>Een A001 is niet nodig.</w:t>
      </w:r>
      <w:r w:rsidRPr="00BF3873">
        <w:rPr>
          <w:rFonts w:eastAsia="Calibri"/>
          <w:szCs w:val="22"/>
          <w:lang w:val="nl-BE" w:eastAsia="en-US"/>
        </w:rPr>
        <w:t xml:space="preserve"> </w:t>
      </w:r>
    </w:p>
    <w:p w:rsidR="00901BF9" w:rsidRPr="00BF3873" w:rsidRDefault="00901BF9" w:rsidP="00901BF9">
      <w:pPr>
        <w:ind w:left="708"/>
        <w:rPr>
          <w:rFonts w:eastAsia="Calibri"/>
          <w:szCs w:val="22"/>
          <w:lang w:val="nl-BE" w:eastAsia="en-US"/>
        </w:rPr>
      </w:pPr>
    </w:p>
    <w:p w:rsidR="00BF3873" w:rsidRPr="00BF3873" w:rsidRDefault="00BF3873" w:rsidP="00BF3873">
      <w:pPr>
        <w:rPr>
          <w:rFonts w:eastAsia="Calibri"/>
          <w:szCs w:val="22"/>
          <w:u w:val="single"/>
          <w:lang w:val="nl-BE" w:eastAsia="en-US"/>
        </w:rPr>
      </w:pPr>
    </w:p>
    <w:p w:rsidR="00BF3873" w:rsidRPr="00BF3873" w:rsidRDefault="00BF3873" w:rsidP="00BF3873">
      <w:pPr>
        <w:numPr>
          <w:ilvl w:val="0"/>
          <w:numId w:val="14"/>
        </w:numPr>
        <w:ind w:left="426"/>
        <w:contextualSpacing/>
        <w:rPr>
          <w:rFonts w:eastAsia="Calibri"/>
          <w:b/>
          <w:szCs w:val="22"/>
          <w:lang w:val="nl-BE" w:eastAsia="en-US"/>
        </w:rPr>
      </w:pPr>
      <w:r w:rsidRPr="00BF3873">
        <w:rPr>
          <w:rFonts w:eastAsia="Calibri"/>
          <w:b/>
          <w:szCs w:val="22"/>
          <w:lang w:val="nl-BE" w:eastAsia="en-US"/>
        </w:rPr>
        <w:lastRenderedPageBreak/>
        <w:t xml:space="preserve">Een minderjarige, reeds erkend als persoon met handicap door het VAPH vóór het opstarten van de ITP (op basis van ZIN- </w:t>
      </w:r>
      <w:r w:rsidRPr="00BF3873">
        <w:rPr>
          <w:rFonts w:eastAsia="Calibri"/>
          <w:b/>
          <w:i/>
          <w:szCs w:val="22"/>
          <w:lang w:val="nl-BE" w:eastAsia="en-US"/>
        </w:rPr>
        <w:t xml:space="preserve">of </w:t>
      </w:r>
      <w:r w:rsidRPr="00BF3873">
        <w:rPr>
          <w:rFonts w:eastAsia="Calibri"/>
          <w:b/>
          <w:szCs w:val="22"/>
          <w:lang w:val="nl-BE" w:eastAsia="en-US"/>
        </w:rPr>
        <w:t>PAB-vraag), meldt zich aan voor een eerste aanvraag IMB.</w:t>
      </w:r>
    </w:p>
    <w:p w:rsidR="00BF3873" w:rsidRPr="00BF3873" w:rsidRDefault="00BF3873" w:rsidP="00BF3873">
      <w:pPr>
        <w:rPr>
          <w:rFonts w:eastAsia="Calibri"/>
          <w:szCs w:val="22"/>
          <w:u w:val="single"/>
          <w:lang w:val="nl-BE" w:eastAsia="en-US"/>
        </w:rPr>
      </w:pPr>
    </w:p>
    <w:p w:rsidR="00BF3873" w:rsidRPr="00BF3873" w:rsidRDefault="00BF3873" w:rsidP="00BF3873">
      <w:pPr>
        <w:rPr>
          <w:rFonts w:eastAsia="Calibri"/>
          <w:szCs w:val="22"/>
          <w:lang w:val="nl-BE" w:eastAsia="en-US"/>
        </w:rPr>
      </w:pPr>
      <w:r w:rsidRPr="00BF3873">
        <w:rPr>
          <w:rFonts w:eastAsia="Calibri"/>
          <w:szCs w:val="22"/>
          <w:lang w:val="nl-BE" w:eastAsia="en-US"/>
        </w:rPr>
        <w:t xml:space="preserve">De twee agentschappen (in casu het VAPH en het Agentschap Jongerenwelzijn dat instaat voor de organisatie van IJH) hebben hier afgesproken dat, gezien men in dit geval reeds erkend is als persoon met handicap voor de opstart van IJH (erkenning door het VAPH), de vraag rechtstreeks mag ingediend worden bij het VAPH. </w:t>
      </w:r>
    </w:p>
    <w:p w:rsidR="00BF3873" w:rsidRPr="00BF3873" w:rsidRDefault="00BF3873" w:rsidP="00BF3873">
      <w:pPr>
        <w:ind w:left="708"/>
        <w:rPr>
          <w:rFonts w:eastAsia="Calibr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Wanneer startte de ITP op?</w:t>
      </w:r>
      <w:r w:rsidRPr="00BF3873">
        <w:rPr>
          <w:rFonts w:eastAsia="Calibri"/>
          <w:szCs w:val="22"/>
          <w:lang w:val="nl-BE" w:eastAsia="en-US"/>
        </w:rPr>
        <w:t xml:space="preserve"> In Oost-Vlaanderen startte de toegangspoort op 16 september 2013. In de overige Vlaamse provincies was dit 1 maart 2014. </w:t>
      </w:r>
    </w:p>
    <w:p w:rsidR="00BF3873" w:rsidRPr="00BF3873" w:rsidRDefault="00BF3873" w:rsidP="00BF3873">
      <w:pPr>
        <w:ind w:left="708"/>
        <w:rPr>
          <w:rFonts w:eastAsia="Calibr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Naar waar?</w:t>
      </w:r>
      <w:r w:rsidRPr="00BF3873">
        <w:rPr>
          <w:rFonts w:eastAsia="Calibri"/>
          <w:szCs w:val="22"/>
          <w:lang w:val="nl-BE" w:eastAsia="en-US"/>
        </w:rPr>
        <w:t xml:space="preserve"> Deze vraag mag via Griffoen rechtstreeks ingediend worden bij het VAPH.</w:t>
      </w:r>
    </w:p>
    <w:p w:rsidR="00BF3873" w:rsidRPr="00BF3873" w:rsidRDefault="00BF3873" w:rsidP="00BF3873">
      <w:pPr>
        <w:ind w:left="708"/>
        <w:rPr>
          <w:rFonts w:eastAsia="Calibri"/>
          <w:b/>
          <w: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 xml:space="preserve">Datum tenlasteneming? </w:t>
      </w:r>
      <w:r w:rsidRPr="00BF3873">
        <w:rPr>
          <w:rFonts w:eastAsia="Calibri"/>
          <w:szCs w:val="22"/>
          <w:lang w:val="nl-BE" w:eastAsia="en-US"/>
        </w:rPr>
        <w:t xml:space="preserve">Ook hier gaat het om een eerste aanvraag IMB, echter wel rechtstreeks ingediend bij het VAPH. Dat wil zeggen dat de datum tenlasteneming bepaald wordt door vanaf de datum van de aanvraag </w:t>
      </w:r>
      <w:r w:rsidRPr="004A16D5">
        <w:rPr>
          <w:rFonts w:eastAsia="Calibri"/>
          <w:szCs w:val="22"/>
          <w:lang w:val="nl-BE" w:eastAsia="en-US"/>
        </w:rPr>
        <w:t>(het A001!)</w:t>
      </w:r>
      <w:r w:rsidRPr="00BF3873">
        <w:rPr>
          <w:rFonts w:eastAsia="Calibri"/>
          <w:szCs w:val="22"/>
          <w:lang w:val="nl-BE" w:eastAsia="en-US"/>
        </w:rPr>
        <w:t xml:space="preserve"> 12 maanden terug te tellen. </w:t>
      </w:r>
    </w:p>
    <w:p w:rsidR="00BF3873" w:rsidRPr="00BF3873" w:rsidRDefault="00BF3873" w:rsidP="00BF3873">
      <w:pPr>
        <w:ind w:left="708"/>
        <w:rPr>
          <w:rFonts w:eastAsia="Calibri"/>
          <w:szCs w:val="22"/>
          <w:lang w:val="nl-BE" w:eastAsia="en-US"/>
        </w:rPr>
      </w:pPr>
    </w:p>
    <w:p w:rsidR="00667E28" w:rsidRPr="00667E28" w:rsidRDefault="00667E28" w:rsidP="00667E28">
      <w:pPr>
        <w:ind w:left="708"/>
        <w:rPr>
          <w:rFonts w:eastAsia="Calibri"/>
          <w:szCs w:val="22"/>
          <w:lang w:val="nl-BE" w:eastAsia="en-US"/>
        </w:rPr>
      </w:pPr>
      <w:r w:rsidRPr="00667E28">
        <w:rPr>
          <w:rFonts w:eastAsia="Calibri"/>
          <w:szCs w:val="22"/>
          <w:lang w:val="nl-BE" w:eastAsia="en-US"/>
        </w:rPr>
        <w:t xml:space="preserve">Uitzonderingen hierop vormen de forfaitaire vergoeding voor incontinentiemateriaal en de tegemoetkomingen voor mobiliteitshulpmiddelen vermeld in de bijlage II bij het BVR van 13 juli 2001. </w:t>
      </w:r>
    </w:p>
    <w:p w:rsidR="00667E28" w:rsidRPr="00667E28" w:rsidRDefault="00667E28" w:rsidP="00667E28">
      <w:pPr>
        <w:ind w:left="708"/>
        <w:rPr>
          <w:rFonts w:eastAsia="Calibri"/>
          <w:szCs w:val="22"/>
          <w:lang w:val="nl-BE" w:eastAsia="en-US"/>
        </w:rPr>
      </w:pPr>
      <w:r w:rsidRPr="00667E28">
        <w:rPr>
          <w:rFonts w:eastAsia="Calibri"/>
          <w:szCs w:val="22"/>
          <w:lang w:val="nl-BE" w:eastAsia="en-US"/>
        </w:rPr>
        <w:t xml:space="preserve">De beslissingen over de toekenning van een refertebedrag voor incontinentiemateriaal gelden met ingang van de eerste dag van de maand waarin de aanvraag volledig is ingediend bij </w:t>
      </w:r>
      <w:r w:rsidR="00904A2F">
        <w:rPr>
          <w:rFonts w:eastAsia="Calibri"/>
          <w:szCs w:val="22"/>
          <w:lang w:val="nl-BE" w:eastAsia="en-US"/>
        </w:rPr>
        <w:t>het VAPH</w:t>
      </w:r>
      <w:r w:rsidRPr="00667E28">
        <w:rPr>
          <w:rFonts w:eastAsia="Calibri"/>
          <w:szCs w:val="22"/>
          <w:lang w:val="nl-BE" w:eastAsia="en-US"/>
        </w:rPr>
        <w:t>.</w:t>
      </w:r>
    </w:p>
    <w:p w:rsidR="00BF3873" w:rsidRDefault="00667E28" w:rsidP="00667E28">
      <w:pPr>
        <w:ind w:left="708"/>
        <w:rPr>
          <w:rFonts w:eastAsia="Calibri"/>
          <w:szCs w:val="22"/>
          <w:lang w:val="nl-BE" w:eastAsia="en-US"/>
        </w:rPr>
      </w:pPr>
      <w:r w:rsidRPr="00667E28">
        <w:rPr>
          <w:rFonts w:eastAsia="Calibri"/>
          <w:szCs w:val="22"/>
          <w:lang w:val="nl-BE" w:eastAsia="en-US"/>
        </w:rPr>
        <w:t>De aankoop van een mobiliteitshulpmiddel of de kosten voor onderhoud, herstellingen of aanpassingen die ermee verband houden, kunnen ten vroegste vergoed worden vanaf de datum dat de aanvraag t.a.v. het RIZIV werd ingediend.</w:t>
      </w:r>
    </w:p>
    <w:p w:rsidR="00667E28" w:rsidRPr="00BF3873" w:rsidRDefault="00667E28" w:rsidP="00667E28">
      <w:pPr>
        <w:ind w:left="708"/>
        <w:rPr>
          <w:rFonts w:eastAsia="Calibri"/>
          <w:b/>
          <w:i/>
          <w:szCs w:val="22"/>
          <w:lang w:val="nl-BE" w:eastAsia="en-US"/>
        </w:rPr>
      </w:pPr>
    </w:p>
    <w:p w:rsidR="00BF3873" w:rsidRDefault="00BF3873" w:rsidP="00302E3A">
      <w:pPr>
        <w:ind w:left="708"/>
        <w:rPr>
          <w:rFonts w:eastAsia="Calibri"/>
          <w:szCs w:val="22"/>
          <w:lang w:val="nl-BE" w:eastAsia="en-US"/>
        </w:rPr>
      </w:pPr>
      <w:r w:rsidRPr="00BF3873">
        <w:rPr>
          <w:rFonts w:eastAsia="Calibri"/>
          <w:b/>
          <w:i/>
          <w:szCs w:val="22"/>
          <w:lang w:val="nl-BE" w:eastAsia="en-US"/>
        </w:rPr>
        <w:t xml:space="preserve">Welke documenten? </w:t>
      </w:r>
      <w:r w:rsidRPr="00BF3873">
        <w:rPr>
          <w:rFonts w:eastAsia="Calibri"/>
          <w:szCs w:val="22"/>
          <w:lang w:val="nl-BE" w:eastAsia="en-US"/>
        </w:rPr>
        <w:t>Vóór de opstart van de poort zou hier</w:t>
      </w:r>
      <w:r w:rsidR="004A16D5">
        <w:rPr>
          <w:rFonts w:eastAsia="Calibri"/>
          <w:szCs w:val="22"/>
          <w:lang w:val="nl-BE" w:eastAsia="en-US"/>
        </w:rPr>
        <w:t xml:space="preserve"> een A001</w:t>
      </w:r>
      <w:r w:rsidR="00302E3A">
        <w:rPr>
          <w:rFonts w:eastAsia="Calibri"/>
          <w:szCs w:val="22"/>
          <w:lang w:val="nl-BE" w:eastAsia="en-US"/>
        </w:rPr>
        <w:t>, een</w:t>
      </w:r>
      <w:r w:rsidR="00B5261E">
        <w:rPr>
          <w:rFonts w:eastAsia="Calibri"/>
          <w:szCs w:val="22"/>
          <w:lang w:val="nl-BE" w:eastAsia="en-US"/>
        </w:rPr>
        <w:t xml:space="preserve"> MDV en een a</w:t>
      </w:r>
      <w:r w:rsidRPr="00BF3873">
        <w:rPr>
          <w:rFonts w:eastAsia="Calibri"/>
          <w:szCs w:val="22"/>
          <w:lang w:val="nl-BE" w:eastAsia="en-US"/>
        </w:rPr>
        <w:t xml:space="preserve">dviesrapport nodig zijn. Nu is er </w:t>
      </w:r>
      <w:r w:rsidRPr="004F61EF">
        <w:rPr>
          <w:rFonts w:eastAsia="Calibri"/>
          <w:szCs w:val="22"/>
          <w:lang w:val="nl-BE" w:eastAsia="en-US"/>
        </w:rPr>
        <w:t>enkel een</w:t>
      </w:r>
      <w:r w:rsidR="00302E3A" w:rsidRPr="004F61EF">
        <w:rPr>
          <w:rFonts w:eastAsia="Calibri"/>
          <w:szCs w:val="22"/>
          <w:lang w:val="nl-BE" w:eastAsia="en-US"/>
        </w:rPr>
        <w:t xml:space="preserve"> A001</w:t>
      </w:r>
      <w:r w:rsidR="00302E3A">
        <w:rPr>
          <w:rFonts w:eastAsia="Calibri"/>
          <w:szCs w:val="22"/>
          <w:lang w:val="nl-BE" w:eastAsia="en-US"/>
        </w:rPr>
        <w:t xml:space="preserve"> en een</w:t>
      </w:r>
      <w:r w:rsidRPr="00BF3873">
        <w:rPr>
          <w:rFonts w:eastAsia="Calibri"/>
          <w:szCs w:val="22"/>
          <w:lang w:val="nl-BE" w:eastAsia="en-US"/>
        </w:rPr>
        <w:t xml:space="preserve"> adviesrapport nodig, maar wel met het ingevulde extra tabblad IJH. Hierdoor geeft men een uitgebreider beeld weer van het globaal functioneren van de betrokkene (het luik ‘globaal beeld’ moet dan niet meer ingevuld worden). </w:t>
      </w:r>
    </w:p>
    <w:p w:rsidR="00302E3A" w:rsidRDefault="00302E3A" w:rsidP="00BF3873">
      <w:pPr>
        <w:ind w:left="709"/>
        <w:rPr>
          <w:rFonts w:eastAsia="Calibri"/>
          <w:szCs w:val="22"/>
          <w:lang w:val="nl-BE" w:eastAsia="en-US"/>
        </w:rPr>
      </w:pPr>
    </w:p>
    <w:p w:rsidR="00916E6C" w:rsidRDefault="00916E6C" w:rsidP="00BF3873">
      <w:pPr>
        <w:ind w:left="709"/>
        <w:rPr>
          <w:rFonts w:eastAsia="Calibri"/>
          <w:szCs w:val="22"/>
          <w:lang w:val="nl-BE" w:eastAsia="en-US"/>
        </w:rPr>
      </w:pPr>
      <w:r w:rsidRPr="00BF3873">
        <w:rPr>
          <w:rFonts w:eastAsia="Calibri"/>
          <w:szCs w:val="22"/>
          <w:lang w:val="nl-BE" w:eastAsia="en-US"/>
        </w:rPr>
        <w:t>Ook de gebruikelijke bijlagen w</w:t>
      </w:r>
      <w:r>
        <w:rPr>
          <w:rFonts w:eastAsia="Calibri"/>
          <w:szCs w:val="22"/>
          <w:lang w:val="nl-BE" w:eastAsia="en-US"/>
        </w:rPr>
        <w:t>orden mee aangeleverd</w:t>
      </w:r>
      <w:r w:rsidRPr="00BF3873">
        <w:rPr>
          <w:rFonts w:eastAsia="Calibri"/>
          <w:szCs w:val="22"/>
          <w:lang w:val="nl-BE" w:eastAsia="en-US"/>
        </w:rPr>
        <w:t xml:space="preserve"> (RIZIV-bijlagen bij een aanvraag voor een mobiliteitshulpm</w:t>
      </w:r>
      <w:r w:rsidR="00DB71F3">
        <w:rPr>
          <w:rFonts w:eastAsia="Calibri"/>
          <w:szCs w:val="22"/>
          <w:lang w:val="nl-BE" w:eastAsia="en-US"/>
        </w:rPr>
        <w:t>iddel of</w:t>
      </w:r>
      <w:r w:rsidRPr="00BF3873">
        <w:rPr>
          <w:rFonts w:eastAsia="Calibri"/>
          <w:szCs w:val="22"/>
          <w:lang w:val="nl-BE" w:eastAsia="en-US"/>
        </w:rPr>
        <w:t xml:space="preserve"> een incontinentieattest </w:t>
      </w:r>
      <w:r w:rsidR="001E0EBF" w:rsidRPr="001E0EBF">
        <w:rPr>
          <w:rFonts w:eastAsia="Calibri"/>
          <w:szCs w:val="22"/>
          <w:lang w:val="nl-BE" w:eastAsia="en-US"/>
        </w:rPr>
        <w:t>bij de aanvraag van een forfaitaire tegemoetkoming voor incontinentiemateriaal</w:t>
      </w:r>
      <w:r w:rsidRPr="00BF3873">
        <w:rPr>
          <w:rFonts w:eastAsia="Calibri"/>
          <w:szCs w:val="22"/>
          <w:lang w:val="nl-BE" w:eastAsia="en-US"/>
        </w:rPr>
        <w:t>).</w:t>
      </w:r>
    </w:p>
    <w:p w:rsidR="00901BF9" w:rsidRPr="00BF3873" w:rsidRDefault="00901BF9" w:rsidP="00BF3873">
      <w:pPr>
        <w:ind w:left="709"/>
        <w:rPr>
          <w:rFonts w:eastAsia="Calibri"/>
          <w:szCs w:val="22"/>
          <w:u w:val="single"/>
          <w:lang w:val="nl-BE" w:eastAsia="en-US"/>
        </w:rPr>
      </w:pPr>
    </w:p>
    <w:p w:rsidR="00BF3873" w:rsidRPr="00BF3873" w:rsidRDefault="00BF3873" w:rsidP="00BF3873">
      <w:pPr>
        <w:rPr>
          <w:rFonts w:eastAsia="Calibri"/>
          <w:szCs w:val="22"/>
          <w:u w:val="single"/>
          <w:lang w:val="nl-BE" w:eastAsia="en-US"/>
        </w:rPr>
      </w:pPr>
    </w:p>
    <w:p w:rsidR="00BF3873" w:rsidRPr="00BF3873" w:rsidRDefault="00BF3873" w:rsidP="00BF3873">
      <w:pPr>
        <w:numPr>
          <w:ilvl w:val="0"/>
          <w:numId w:val="14"/>
        </w:numPr>
        <w:ind w:left="426"/>
        <w:contextualSpacing/>
        <w:rPr>
          <w:rFonts w:eastAsia="Calibri"/>
          <w:b/>
          <w:szCs w:val="22"/>
          <w:lang w:val="nl-BE" w:eastAsia="en-US"/>
        </w:rPr>
      </w:pPr>
      <w:r w:rsidRPr="00BF3873">
        <w:rPr>
          <w:rFonts w:eastAsia="Calibri"/>
          <w:b/>
          <w:szCs w:val="22"/>
          <w:lang w:val="nl-BE" w:eastAsia="en-US"/>
        </w:rPr>
        <w:t>Een minderjarige, reeds erkend als persoon met h</w:t>
      </w:r>
      <w:r w:rsidR="001E5A25">
        <w:rPr>
          <w:rFonts w:eastAsia="Calibri"/>
          <w:b/>
          <w:szCs w:val="22"/>
          <w:lang w:val="nl-BE" w:eastAsia="en-US"/>
        </w:rPr>
        <w:t>andicap door het VAPH vóór</w:t>
      </w:r>
      <w:r w:rsidRPr="00BF3873">
        <w:rPr>
          <w:rFonts w:eastAsia="Calibri"/>
          <w:b/>
          <w:szCs w:val="22"/>
          <w:lang w:val="nl-BE" w:eastAsia="en-US"/>
        </w:rPr>
        <w:t xml:space="preserve"> het opstarten van de ITP (op basis van IMB-vraag), meldt zich aan voor een</w:t>
      </w:r>
      <w:r w:rsidR="000429CC">
        <w:rPr>
          <w:rFonts w:eastAsia="Calibri"/>
          <w:b/>
          <w:szCs w:val="22"/>
          <w:lang w:val="nl-BE" w:eastAsia="en-US"/>
        </w:rPr>
        <w:t xml:space="preserve"> volgende</w:t>
      </w:r>
      <w:r w:rsidRPr="00BF3873">
        <w:rPr>
          <w:rFonts w:eastAsia="Calibri"/>
          <w:b/>
          <w:szCs w:val="22"/>
          <w:lang w:val="nl-BE" w:eastAsia="en-US"/>
        </w:rPr>
        <w:t xml:space="preserve"> vraag IMB.</w:t>
      </w:r>
    </w:p>
    <w:p w:rsidR="00BF3873" w:rsidRPr="00BF3873" w:rsidRDefault="00BF3873" w:rsidP="00BF3873">
      <w:pPr>
        <w:rPr>
          <w:rFonts w:eastAsia="Calibri"/>
          <w:szCs w:val="22"/>
          <w:u w:val="single"/>
          <w:lang w:val="nl-BE" w:eastAsia="en-US"/>
        </w:rPr>
      </w:pPr>
    </w:p>
    <w:p w:rsidR="00BF3873" w:rsidRPr="00BF3873" w:rsidRDefault="00BF3873" w:rsidP="00BF3873">
      <w:pPr>
        <w:rPr>
          <w:rFonts w:eastAsia="Calibri"/>
          <w:szCs w:val="22"/>
          <w:lang w:val="nl-BE" w:eastAsia="en-US"/>
        </w:rPr>
      </w:pPr>
      <w:r w:rsidRPr="00BF3873">
        <w:rPr>
          <w:rFonts w:eastAsia="Calibri"/>
          <w:szCs w:val="22"/>
          <w:lang w:val="nl-BE" w:eastAsia="en-US"/>
        </w:rPr>
        <w:t xml:space="preserve">Ook hier geldt de afspraak gemaakt tussen de twee agentschappen: aangezien men reeds erkend is als persoon met handicap door het VAPH voor de opstart van de ITP, wordt de vraag rechtstreeks ingediend bij het VAPH. </w:t>
      </w:r>
    </w:p>
    <w:p w:rsidR="00BF3873" w:rsidRPr="00BF3873" w:rsidRDefault="00BF3873" w:rsidP="00BF3873">
      <w:pPr>
        <w:ind w:left="708"/>
        <w:rPr>
          <w:rFonts w:eastAsia="Calibri"/>
          <w:szCs w:val="22"/>
          <w:u w:val="single"/>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 xml:space="preserve">Naar waar? </w:t>
      </w:r>
      <w:r w:rsidRPr="00BF3873">
        <w:rPr>
          <w:rFonts w:eastAsia="Calibri"/>
          <w:szCs w:val="22"/>
          <w:lang w:val="nl-BE" w:eastAsia="en-US"/>
        </w:rPr>
        <w:t>Deze vraag mag via Griffoen rechtstreeks ingediend worden bij het VAPH.</w:t>
      </w:r>
    </w:p>
    <w:p w:rsidR="00BF3873" w:rsidRPr="00BF3873" w:rsidRDefault="00BF3873" w:rsidP="00BF3873">
      <w:pPr>
        <w:ind w:left="708"/>
        <w:rPr>
          <w:rFonts w:eastAsia="Calibri"/>
          <w:b/>
          <w: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 xml:space="preserve">Datum tenlasteneming? </w:t>
      </w:r>
      <w:r w:rsidRPr="00BF3873">
        <w:rPr>
          <w:rFonts w:eastAsia="Calibri"/>
          <w:szCs w:val="22"/>
          <w:lang w:val="nl-BE" w:eastAsia="en-US"/>
        </w:rPr>
        <w:t xml:space="preserve">Het gaat hier om een volgende vraag IMB, dat wil zeggen dat men teruggaat tot de eerste van de maand voorafgaand aan de maand waarin de aanvraag wordt ingediend. </w:t>
      </w:r>
    </w:p>
    <w:p w:rsidR="00BF3873" w:rsidRPr="00BF3873" w:rsidRDefault="00BF3873" w:rsidP="00BF3873">
      <w:pPr>
        <w:ind w:left="708"/>
        <w:rPr>
          <w:rFonts w:eastAsia="Calibri"/>
          <w:szCs w:val="22"/>
          <w:lang w:val="nl-BE" w:eastAsia="en-US"/>
        </w:rPr>
      </w:pPr>
    </w:p>
    <w:p w:rsidR="0053724E" w:rsidRPr="0053724E" w:rsidRDefault="0053724E" w:rsidP="0053724E">
      <w:pPr>
        <w:ind w:left="708"/>
        <w:rPr>
          <w:rFonts w:eastAsia="Calibri"/>
          <w:szCs w:val="22"/>
          <w:lang w:val="nl-BE" w:eastAsia="en-US"/>
        </w:rPr>
      </w:pPr>
      <w:r w:rsidRPr="0053724E">
        <w:rPr>
          <w:rFonts w:eastAsia="Calibri"/>
          <w:szCs w:val="22"/>
          <w:lang w:val="nl-BE" w:eastAsia="en-US"/>
        </w:rPr>
        <w:lastRenderedPageBreak/>
        <w:t xml:space="preserve">Uitzonderingen hierop vormen de forfaitaire vergoeding voor incontinentiemateriaal en de tegemoetkomingen voor mobiliteitshulpmiddelen vermeld in de bijlage II bij het BVR van 13 juli 2001. </w:t>
      </w:r>
    </w:p>
    <w:p w:rsidR="0053724E" w:rsidRPr="0053724E" w:rsidRDefault="0053724E" w:rsidP="0053724E">
      <w:pPr>
        <w:ind w:left="708"/>
        <w:rPr>
          <w:rFonts w:eastAsia="Calibri"/>
          <w:szCs w:val="22"/>
          <w:lang w:val="nl-BE" w:eastAsia="en-US"/>
        </w:rPr>
      </w:pPr>
      <w:r w:rsidRPr="0053724E">
        <w:rPr>
          <w:rFonts w:eastAsia="Calibri"/>
          <w:szCs w:val="22"/>
          <w:lang w:val="nl-BE" w:eastAsia="en-US"/>
        </w:rPr>
        <w:t>De beslissingen over de toekenning van een refertebedrag voor incontinentiemateriaal gelden met ingang van de eerste dag van de maand waarin de aanvraag volledig is ingediend bij</w:t>
      </w:r>
      <w:r w:rsidR="00904A2F">
        <w:rPr>
          <w:rFonts w:eastAsia="Calibri"/>
          <w:szCs w:val="22"/>
          <w:lang w:val="nl-BE" w:eastAsia="en-US"/>
        </w:rPr>
        <w:t xml:space="preserve"> het VAPH</w:t>
      </w:r>
      <w:r w:rsidRPr="0053724E">
        <w:rPr>
          <w:rFonts w:eastAsia="Calibri"/>
          <w:szCs w:val="22"/>
          <w:lang w:val="nl-BE" w:eastAsia="en-US"/>
        </w:rPr>
        <w:t>.</w:t>
      </w:r>
    </w:p>
    <w:p w:rsidR="00BF3873" w:rsidRDefault="0053724E" w:rsidP="0053724E">
      <w:pPr>
        <w:ind w:left="708"/>
        <w:rPr>
          <w:rFonts w:eastAsia="Calibri"/>
          <w:szCs w:val="22"/>
          <w:lang w:val="nl-BE" w:eastAsia="en-US"/>
        </w:rPr>
      </w:pPr>
      <w:r w:rsidRPr="0053724E">
        <w:rPr>
          <w:rFonts w:eastAsia="Calibri"/>
          <w:szCs w:val="22"/>
          <w:lang w:val="nl-BE" w:eastAsia="en-US"/>
        </w:rPr>
        <w:t>De aankoop van een mobiliteitshulpmiddel of de kosten voor onderhoud, herstellingen of aanpassingen die ermee verband houden, kunnen ten vroegste vergoed worden vanaf de datum dat de aanvraag t.a.v. het RIZIV werd ingediend.</w:t>
      </w:r>
    </w:p>
    <w:p w:rsidR="0053724E" w:rsidRPr="00BF3873" w:rsidRDefault="0053724E" w:rsidP="0053724E">
      <w:pPr>
        <w:ind w:left="708"/>
        <w:rPr>
          <w:rFonts w:eastAsia="Calibri"/>
          <w:b/>
          <w: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b/>
          <w:i/>
          <w:szCs w:val="22"/>
          <w:lang w:val="nl-BE" w:eastAsia="en-US"/>
        </w:rPr>
        <w:t xml:space="preserve">Welke documenten? </w:t>
      </w:r>
      <w:r w:rsidRPr="00BF3873">
        <w:rPr>
          <w:rFonts w:eastAsia="Calibri"/>
          <w:szCs w:val="22"/>
          <w:lang w:val="nl-BE" w:eastAsia="en-US"/>
        </w:rPr>
        <w:t xml:space="preserve">Het kan hier gaan om twee situaties: ofwel een hulpmiddel onder een reeds toegekend IN/FB, ofwel een hulpmiddel onder een nieuw IN/FB. Voor beide situaties is enkel het adviesrapport nodig, voor de laatste situatie moet wel extra het tabblad IJH ingevuld worden. </w:t>
      </w:r>
    </w:p>
    <w:p w:rsidR="000429CC" w:rsidRDefault="000429CC" w:rsidP="00BF3873">
      <w:pPr>
        <w:ind w:left="708"/>
        <w:rPr>
          <w:rFonts w:eastAsia="Calibri"/>
          <w:szCs w:val="22"/>
          <w:lang w:val="nl-BE" w:eastAsia="en-US"/>
        </w:rPr>
      </w:pPr>
    </w:p>
    <w:p w:rsidR="00BF3873" w:rsidRPr="00BF3873" w:rsidRDefault="00BF3873" w:rsidP="00BF3873">
      <w:pPr>
        <w:ind w:left="708"/>
        <w:rPr>
          <w:rFonts w:eastAsia="Calibri"/>
          <w:szCs w:val="22"/>
          <w:lang w:val="nl-BE" w:eastAsia="en-US"/>
        </w:rPr>
      </w:pPr>
      <w:r w:rsidRPr="00BF3873">
        <w:rPr>
          <w:rFonts w:eastAsia="Calibri"/>
          <w:szCs w:val="22"/>
          <w:lang w:val="nl-BE" w:eastAsia="en-US"/>
        </w:rPr>
        <w:t>Wanneer de aanvraag met een eenvoudige motivering kan gebeuren, kan dit steeds rechtstreeks bij het VAPH.</w:t>
      </w:r>
      <w:r w:rsidR="000429CC">
        <w:rPr>
          <w:rFonts w:eastAsia="Calibri"/>
          <w:szCs w:val="22"/>
          <w:lang w:val="nl-BE" w:eastAsia="en-US"/>
        </w:rPr>
        <w:t xml:space="preserve"> De huidige procedure blijft dus van toepassing.</w:t>
      </w:r>
    </w:p>
    <w:p w:rsidR="000429CC" w:rsidRDefault="000429CC" w:rsidP="00BF3873">
      <w:pPr>
        <w:ind w:left="709"/>
        <w:rPr>
          <w:rFonts w:eastAsia="Calibri"/>
          <w:szCs w:val="22"/>
          <w:lang w:val="nl-BE" w:eastAsia="en-US"/>
        </w:rPr>
      </w:pPr>
    </w:p>
    <w:p w:rsidR="00BF3873" w:rsidRDefault="00BF3873" w:rsidP="00BF3873">
      <w:pPr>
        <w:ind w:left="709"/>
        <w:rPr>
          <w:rFonts w:eastAsia="Calibri"/>
          <w:szCs w:val="22"/>
          <w:lang w:val="nl-BE" w:eastAsia="en-US"/>
        </w:rPr>
      </w:pPr>
      <w:r w:rsidRPr="004F61EF">
        <w:rPr>
          <w:rFonts w:eastAsia="Calibri"/>
          <w:szCs w:val="22"/>
          <w:lang w:val="nl-BE" w:eastAsia="en-US"/>
        </w:rPr>
        <w:t xml:space="preserve">Een A001 is </w:t>
      </w:r>
      <w:r w:rsidR="0053724E" w:rsidRPr="004F61EF">
        <w:rPr>
          <w:rFonts w:eastAsia="Calibri"/>
          <w:szCs w:val="22"/>
          <w:lang w:val="nl-BE" w:eastAsia="en-US"/>
        </w:rPr>
        <w:t>niet nodig</w:t>
      </w:r>
      <w:r w:rsidRPr="004F61EF">
        <w:rPr>
          <w:rFonts w:eastAsia="Calibri"/>
          <w:szCs w:val="22"/>
          <w:lang w:val="nl-BE" w:eastAsia="en-US"/>
        </w:rPr>
        <w:t>. Indien</w:t>
      </w:r>
      <w:r w:rsidRPr="00BF3873">
        <w:rPr>
          <w:rFonts w:eastAsia="Calibri"/>
          <w:szCs w:val="22"/>
          <w:lang w:val="nl-BE" w:eastAsia="en-US"/>
        </w:rPr>
        <w:t xml:space="preserve"> men ervoor kiest om deze niet in te sturen moet het MDT absoluut zeker zijn dat het adviesrapport dienst doet als aanvraagdocument, d.w.z. dat dit adviesrapport ondertekend moet zijn door de aanvrager. Indien men de startdatum wel wil vastleggen met een A001 is dit uiteraard ook mogelijk.</w:t>
      </w:r>
    </w:p>
    <w:p w:rsidR="00916E6C" w:rsidRPr="00BF3873" w:rsidRDefault="00916E6C" w:rsidP="00BF3873">
      <w:pPr>
        <w:ind w:left="709"/>
        <w:rPr>
          <w:rFonts w:eastAsia="Calibri"/>
          <w:szCs w:val="22"/>
          <w:lang w:val="nl-BE" w:eastAsia="en-US"/>
        </w:rPr>
      </w:pPr>
      <w:r w:rsidRPr="00BF3873">
        <w:rPr>
          <w:rFonts w:eastAsia="Calibri"/>
          <w:szCs w:val="22"/>
          <w:lang w:val="nl-BE" w:eastAsia="en-US"/>
        </w:rPr>
        <w:t>Ook de gebruikelijke bijlagen w</w:t>
      </w:r>
      <w:r>
        <w:rPr>
          <w:rFonts w:eastAsia="Calibri"/>
          <w:szCs w:val="22"/>
          <w:lang w:val="nl-BE" w:eastAsia="en-US"/>
        </w:rPr>
        <w:t>orden mee aangeleverd</w:t>
      </w:r>
      <w:r w:rsidRPr="00BF3873">
        <w:rPr>
          <w:rFonts w:eastAsia="Calibri"/>
          <w:szCs w:val="22"/>
          <w:lang w:val="nl-BE" w:eastAsia="en-US"/>
        </w:rPr>
        <w:t xml:space="preserve"> (RIZIV-bijlagen bij een aanvraag voor een </w:t>
      </w:r>
      <w:r w:rsidR="00DB71F3">
        <w:rPr>
          <w:rFonts w:eastAsia="Calibri"/>
          <w:szCs w:val="22"/>
          <w:lang w:val="nl-BE" w:eastAsia="en-US"/>
        </w:rPr>
        <w:t>mobiliteitshulpmiddel of</w:t>
      </w:r>
      <w:r w:rsidRPr="00BF3873">
        <w:rPr>
          <w:rFonts w:eastAsia="Calibri"/>
          <w:szCs w:val="22"/>
          <w:lang w:val="nl-BE" w:eastAsia="en-US"/>
        </w:rPr>
        <w:t xml:space="preserve"> een incontinentieattest </w:t>
      </w:r>
      <w:r w:rsidR="001E0EBF" w:rsidRPr="001E0EBF">
        <w:rPr>
          <w:rFonts w:eastAsia="Calibri"/>
          <w:szCs w:val="22"/>
          <w:lang w:val="nl-BE" w:eastAsia="en-US"/>
        </w:rPr>
        <w:t>bij de aanvraag van een forfaitaire tegemoetkoming voor incontinentiemateriaal</w:t>
      </w:r>
      <w:r w:rsidRPr="00BF3873">
        <w:rPr>
          <w:rFonts w:eastAsia="Calibri"/>
          <w:szCs w:val="22"/>
          <w:lang w:val="nl-BE" w:eastAsia="en-US"/>
        </w:rPr>
        <w:t>).</w:t>
      </w:r>
    </w:p>
    <w:p w:rsidR="00BF3873" w:rsidRDefault="00BF3873" w:rsidP="00BF3873">
      <w:pPr>
        <w:rPr>
          <w:rFonts w:eastAsia="Calibri"/>
          <w:szCs w:val="22"/>
          <w:lang w:val="nl-BE" w:eastAsia="en-US"/>
        </w:rPr>
      </w:pPr>
    </w:p>
    <w:p w:rsidR="00D7780D" w:rsidRDefault="00D7780D" w:rsidP="00BF3873">
      <w:pPr>
        <w:rPr>
          <w:rFonts w:eastAsia="Calibri"/>
          <w:szCs w:val="22"/>
          <w:lang w:val="nl-BE" w:eastAsia="en-US"/>
        </w:rPr>
      </w:pPr>
    </w:p>
    <w:p w:rsidR="00B5261E" w:rsidRPr="00BF3873" w:rsidRDefault="00B5261E" w:rsidP="00B5261E">
      <w:pPr>
        <w:numPr>
          <w:ilvl w:val="0"/>
          <w:numId w:val="14"/>
        </w:numPr>
        <w:contextualSpacing/>
        <w:rPr>
          <w:rFonts w:eastAsia="Calibri"/>
          <w:b/>
          <w:szCs w:val="22"/>
          <w:lang w:val="nl-BE" w:eastAsia="en-US"/>
        </w:rPr>
      </w:pPr>
      <w:r w:rsidRPr="00BF3873">
        <w:rPr>
          <w:rFonts w:eastAsia="Calibri"/>
          <w:b/>
          <w:szCs w:val="22"/>
          <w:lang w:val="nl-BE" w:eastAsia="en-US"/>
        </w:rPr>
        <w:t>Een minderjarige, reeds erkend als persoon met</w:t>
      </w:r>
      <w:r w:rsidR="001E5A25">
        <w:rPr>
          <w:rFonts w:eastAsia="Calibri"/>
          <w:b/>
          <w:szCs w:val="22"/>
          <w:lang w:val="nl-BE" w:eastAsia="en-US"/>
        </w:rPr>
        <w:t xml:space="preserve"> handicap door het VAPH </w:t>
      </w:r>
      <w:r w:rsidRPr="00BF3873">
        <w:rPr>
          <w:rFonts w:eastAsia="Calibri"/>
          <w:b/>
          <w:szCs w:val="22"/>
          <w:lang w:val="nl-BE" w:eastAsia="en-US"/>
        </w:rPr>
        <w:t>na het opstarten van de ITP (op basis van IMB-vraag), meldt zich aan voor een</w:t>
      </w:r>
      <w:r>
        <w:rPr>
          <w:rFonts w:eastAsia="Calibri"/>
          <w:b/>
          <w:szCs w:val="22"/>
          <w:lang w:val="nl-BE" w:eastAsia="en-US"/>
        </w:rPr>
        <w:t xml:space="preserve"> volgende</w:t>
      </w:r>
      <w:r w:rsidRPr="00BF3873">
        <w:rPr>
          <w:rFonts w:eastAsia="Calibri"/>
          <w:b/>
          <w:szCs w:val="22"/>
          <w:lang w:val="nl-BE" w:eastAsia="en-US"/>
        </w:rPr>
        <w:t xml:space="preserve"> vraag IMB.</w:t>
      </w:r>
    </w:p>
    <w:p w:rsidR="00B5261E" w:rsidRPr="00BF3873" w:rsidRDefault="00B5261E" w:rsidP="00B5261E">
      <w:pPr>
        <w:rPr>
          <w:rFonts w:eastAsia="Calibri"/>
          <w:szCs w:val="22"/>
          <w:u w:val="single"/>
          <w:lang w:val="nl-BE" w:eastAsia="en-US"/>
        </w:rPr>
      </w:pPr>
    </w:p>
    <w:p w:rsidR="00B5261E" w:rsidRPr="00BF3873" w:rsidRDefault="00B5261E" w:rsidP="00B5261E">
      <w:pPr>
        <w:rPr>
          <w:rFonts w:eastAsia="Calibri"/>
          <w:szCs w:val="22"/>
          <w:lang w:val="nl-BE" w:eastAsia="en-US"/>
        </w:rPr>
      </w:pPr>
      <w:r w:rsidRPr="00BF3873">
        <w:rPr>
          <w:rFonts w:eastAsia="Calibri"/>
          <w:szCs w:val="22"/>
          <w:lang w:val="nl-BE" w:eastAsia="en-US"/>
        </w:rPr>
        <w:t>Ook hier geldt de afspraak gemaakt tussen de twee agentschappen: aangezien men reeds erkend is als persoon met handicap d</w:t>
      </w:r>
      <w:r w:rsidR="001E5A25">
        <w:rPr>
          <w:rFonts w:eastAsia="Calibri"/>
          <w:szCs w:val="22"/>
          <w:lang w:val="nl-BE" w:eastAsia="en-US"/>
        </w:rPr>
        <w:t>oor het VAPH door</w:t>
      </w:r>
      <w:r w:rsidRPr="00BF3873">
        <w:rPr>
          <w:rFonts w:eastAsia="Calibri"/>
          <w:szCs w:val="22"/>
          <w:lang w:val="nl-BE" w:eastAsia="en-US"/>
        </w:rPr>
        <w:t xml:space="preserve"> de ITP, wordt de</w:t>
      </w:r>
      <w:r w:rsidR="001E5A25">
        <w:rPr>
          <w:rFonts w:eastAsia="Calibri"/>
          <w:szCs w:val="22"/>
          <w:lang w:val="nl-BE" w:eastAsia="en-US"/>
        </w:rPr>
        <w:t xml:space="preserve"> volgende</w:t>
      </w:r>
      <w:r w:rsidRPr="00BF3873">
        <w:rPr>
          <w:rFonts w:eastAsia="Calibri"/>
          <w:szCs w:val="22"/>
          <w:lang w:val="nl-BE" w:eastAsia="en-US"/>
        </w:rPr>
        <w:t xml:space="preserve"> vraag</w:t>
      </w:r>
      <w:r w:rsidR="001E5A25">
        <w:rPr>
          <w:rFonts w:eastAsia="Calibri"/>
          <w:szCs w:val="22"/>
          <w:lang w:val="nl-BE" w:eastAsia="en-US"/>
        </w:rPr>
        <w:t xml:space="preserve"> IMB</w:t>
      </w:r>
      <w:r w:rsidRPr="00BF3873">
        <w:rPr>
          <w:rFonts w:eastAsia="Calibri"/>
          <w:szCs w:val="22"/>
          <w:lang w:val="nl-BE" w:eastAsia="en-US"/>
        </w:rPr>
        <w:t xml:space="preserve"> rechtstreeks ingediend bij het VAPH. </w:t>
      </w:r>
    </w:p>
    <w:p w:rsidR="00B5261E" w:rsidRPr="00BF3873" w:rsidRDefault="00B5261E" w:rsidP="00B5261E">
      <w:pPr>
        <w:ind w:left="708"/>
        <w:rPr>
          <w:rFonts w:eastAsia="Calibri"/>
          <w:szCs w:val="22"/>
          <w:u w:val="single"/>
          <w:lang w:val="nl-BE" w:eastAsia="en-US"/>
        </w:rPr>
      </w:pPr>
    </w:p>
    <w:p w:rsidR="00B5261E" w:rsidRPr="0053724E" w:rsidRDefault="00B5261E" w:rsidP="00B5261E">
      <w:pPr>
        <w:ind w:left="708"/>
        <w:rPr>
          <w:rFonts w:eastAsia="Calibri"/>
          <w:szCs w:val="22"/>
          <w:lang w:val="nl-BE" w:eastAsia="en-US"/>
        </w:rPr>
      </w:pPr>
      <w:r w:rsidRPr="0053724E">
        <w:rPr>
          <w:rFonts w:eastAsia="Calibri"/>
          <w:b/>
          <w:i/>
          <w:szCs w:val="22"/>
          <w:lang w:val="nl-BE" w:eastAsia="en-US"/>
        </w:rPr>
        <w:t xml:space="preserve">Naar waar? </w:t>
      </w:r>
      <w:r w:rsidRPr="0053724E">
        <w:rPr>
          <w:rFonts w:eastAsia="Calibri"/>
          <w:szCs w:val="22"/>
          <w:lang w:val="nl-BE" w:eastAsia="en-US"/>
        </w:rPr>
        <w:t>Deze vraag mag via Griffoen rechtstreeks ingediend worden bij het VAPH.</w:t>
      </w:r>
    </w:p>
    <w:p w:rsidR="00B5261E" w:rsidRPr="0053724E" w:rsidRDefault="00B5261E" w:rsidP="00B5261E">
      <w:pPr>
        <w:ind w:left="708"/>
        <w:rPr>
          <w:rFonts w:eastAsia="Calibri"/>
          <w:b/>
          <w:i/>
          <w:szCs w:val="22"/>
          <w:lang w:val="nl-BE" w:eastAsia="en-US"/>
        </w:rPr>
      </w:pPr>
    </w:p>
    <w:p w:rsidR="00B5261E" w:rsidRPr="0053724E" w:rsidRDefault="00B5261E" w:rsidP="00B5261E">
      <w:pPr>
        <w:ind w:left="708"/>
        <w:rPr>
          <w:rFonts w:eastAsia="Calibri"/>
          <w:szCs w:val="22"/>
          <w:lang w:val="nl-BE" w:eastAsia="en-US"/>
        </w:rPr>
      </w:pPr>
      <w:r w:rsidRPr="0053724E">
        <w:rPr>
          <w:rFonts w:eastAsia="Calibri"/>
          <w:b/>
          <w:i/>
          <w:szCs w:val="22"/>
          <w:lang w:val="nl-BE" w:eastAsia="en-US"/>
        </w:rPr>
        <w:t xml:space="preserve">Datum tenlasteneming? </w:t>
      </w:r>
      <w:r w:rsidRPr="0053724E">
        <w:rPr>
          <w:rFonts w:eastAsia="Calibri"/>
          <w:szCs w:val="22"/>
          <w:lang w:val="nl-BE" w:eastAsia="en-US"/>
        </w:rPr>
        <w:t xml:space="preserve">Het gaat hier om een volgende vraag IMB, dat wil zeggen dat men teruggaat tot de eerste van de maand voorafgaand aan de maand waarin de aanvraag wordt ingediend. </w:t>
      </w:r>
    </w:p>
    <w:p w:rsidR="00B5261E" w:rsidRPr="00BB5735" w:rsidRDefault="00B5261E" w:rsidP="00B5261E">
      <w:pPr>
        <w:ind w:left="708"/>
        <w:rPr>
          <w:rFonts w:eastAsia="Calibri"/>
          <w:szCs w:val="22"/>
          <w:highlight w:val="yellow"/>
          <w:lang w:val="nl-BE" w:eastAsia="en-US"/>
        </w:rPr>
      </w:pPr>
    </w:p>
    <w:p w:rsidR="0053724E" w:rsidRPr="0053724E" w:rsidRDefault="0053724E" w:rsidP="0053724E">
      <w:pPr>
        <w:ind w:left="708"/>
        <w:rPr>
          <w:rFonts w:eastAsia="Calibri"/>
          <w:szCs w:val="22"/>
          <w:lang w:val="nl-BE" w:eastAsia="en-US"/>
        </w:rPr>
      </w:pPr>
      <w:r w:rsidRPr="0053724E">
        <w:rPr>
          <w:rFonts w:eastAsia="Calibri"/>
          <w:szCs w:val="22"/>
          <w:lang w:val="nl-BE" w:eastAsia="en-US"/>
        </w:rPr>
        <w:t xml:space="preserve">Uitzonderingen hierop vormen de forfaitaire vergoeding voor incontinentiemateriaal en de tegemoetkomingen voor mobiliteitshulpmiddelen vermeld in de bijlage II bij het BVR van 13 juli 2001. </w:t>
      </w:r>
    </w:p>
    <w:p w:rsidR="0053724E" w:rsidRPr="0053724E" w:rsidRDefault="0053724E" w:rsidP="0053724E">
      <w:pPr>
        <w:ind w:left="708"/>
        <w:rPr>
          <w:rFonts w:eastAsia="Calibri"/>
          <w:szCs w:val="22"/>
          <w:lang w:val="nl-BE" w:eastAsia="en-US"/>
        </w:rPr>
      </w:pPr>
      <w:r w:rsidRPr="0053724E">
        <w:rPr>
          <w:rFonts w:eastAsia="Calibri"/>
          <w:szCs w:val="22"/>
          <w:lang w:val="nl-BE" w:eastAsia="en-US"/>
        </w:rPr>
        <w:t xml:space="preserve">De beslissingen over de toekenning van een refertebedrag voor incontinentiemateriaal gelden met ingang van de eerste dag van de maand waarin de aanvraag volledig is ingediend </w:t>
      </w:r>
      <w:r w:rsidR="00904A2F">
        <w:rPr>
          <w:rFonts w:eastAsia="Calibri"/>
          <w:szCs w:val="22"/>
          <w:lang w:val="nl-BE" w:eastAsia="en-US"/>
        </w:rPr>
        <w:t>bij het VAPH</w:t>
      </w:r>
      <w:r w:rsidRPr="0053724E">
        <w:rPr>
          <w:rFonts w:eastAsia="Calibri"/>
          <w:szCs w:val="22"/>
          <w:lang w:val="nl-BE" w:eastAsia="en-US"/>
        </w:rPr>
        <w:t>.</w:t>
      </w:r>
    </w:p>
    <w:p w:rsidR="00B5261E" w:rsidRPr="00BB5735" w:rsidRDefault="0053724E" w:rsidP="0053724E">
      <w:pPr>
        <w:ind w:left="708"/>
        <w:rPr>
          <w:rFonts w:eastAsia="Calibri"/>
          <w:szCs w:val="22"/>
          <w:highlight w:val="yellow"/>
          <w:lang w:val="nl-BE" w:eastAsia="en-US"/>
        </w:rPr>
      </w:pPr>
      <w:r w:rsidRPr="0053724E">
        <w:rPr>
          <w:rFonts w:eastAsia="Calibri"/>
          <w:szCs w:val="22"/>
          <w:lang w:val="nl-BE" w:eastAsia="en-US"/>
        </w:rPr>
        <w:t>De aankoop van een mobiliteitshulpmiddel of de kosten voor onderhoud, herstellingen of aanpassingen die ermee verband houden, kunnen ten vroegste vergoed worden vanaf de datum dat de aanvraag t.a.v. het RIZIV werd ingediend.</w:t>
      </w:r>
    </w:p>
    <w:p w:rsidR="00B5261E" w:rsidRPr="00BB5735" w:rsidRDefault="00B5261E" w:rsidP="00B5261E">
      <w:pPr>
        <w:ind w:left="708"/>
        <w:rPr>
          <w:rFonts w:eastAsia="Calibri"/>
          <w:b/>
          <w:i/>
          <w:szCs w:val="22"/>
          <w:highlight w:val="yellow"/>
          <w:lang w:val="nl-BE" w:eastAsia="en-US"/>
        </w:rPr>
      </w:pPr>
    </w:p>
    <w:p w:rsidR="00B5261E" w:rsidRPr="0053724E" w:rsidRDefault="00B5261E" w:rsidP="00B5261E">
      <w:pPr>
        <w:ind w:left="708"/>
        <w:rPr>
          <w:rFonts w:eastAsia="Calibri"/>
          <w:szCs w:val="22"/>
          <w:lang w:val="nl-BE" w:eastAsia="en-US"/>
        </w:rPr>
      </w:pPr>
      <w:r w:rsidRPr="0053724E">
        <w:rPr>
          <w:rFonts w:eastAsia="Calibri"/>
          <w:b/>
          <w:i/>
          <w:szCs w:val="22"/>
          <w:lang w:val="nl-BE" w:eastAsia="en-US"/>
        </w:rPr>
        <w:t xml:space="preserve">Welke documenten? </w:t>
      </w:r>
      <w:r w:rsidRPr="0053724E">
        <w:rPr>
          <w:rFonts w:eastAsia="Calibri"/>
          <w:szCs w:val="22"/>
          <w:lang w:val="nl-BE" w:eastAsia="en-US"/>
        </w:rPr>
        <w:t>Het kan hier gaan om twee situaties: ofwel een hulpmiddel onder een reeds toegekend IN/FB, ofwel een hulpmiddel onder een nieuw IN/F</w:t>
      </w:r>
      <w:r w:rsidR="0053724E">
        <w:rPr>
          <w:rFonts w:eastAsia="Calibri"/>
          <w:szCs w:val="22"/>
          <w:lang w:val="nl-BE" w:eastAsia="en-US"/>
        </w:rPr>
        <w:t xml:space="preserve">B. Voor beide situaties is </w:t>
      </w:r>
      <w:r w:rsidR="0053724E" w:rsidRPr="004F61EF">
        <w:rPr>
          <w:rFonts w:eastAsia="Calibri"/>
          <w:szCs w:val="22"/>
          <w:lang w:val="nl-BE" w:eastAsia="en-US"/>
        </w:rPr>
        <w:lastRenderedPageBreak/>
        <w:t>een A001</w:t>
      </w:r>
      <w:r w:rsidR="005A6BF1" w:rsidRPr="004F61EF">
        <w:rPr>
          <w:rFonts w:eastAsia="Calibri"/>
          <w:szCs w:val="22"/>
          <w:lang w:val="nl-BE" w:eastAsia="en-US"/>
        </w:rPr>
        <w:t xml:space="preserve"> en</w:t>
      </w:r>
      <w:r w:rsidRPr="0053724E">
        <w:rPr>
          <w:rFonts w:eastAsia="Calibri"/>
          <w:szCs w:val="22"/>
          <w:lang w:val="nl-BE" w:eastAsia="en-US"/>
        </w:rPr>
        <w:t xml:space="preserve"> het adviesrapport nodig, voor de laatste situatie moet wel extra het tabblad IJH </w:t>
      </w:r>
      <w:r w:rsidR="005A6BF1">
        <w:rPr>
          <w:rFonts w:eastAsia="Calibri"/>
          <w:szCs w:val="22"/>
          <w:lang w:val="nl-BE" w:eastAsia="en-US"/>
        </w:rPr>
        <w:t xml:space="preserve">bij het adviesrapport </w:t>
      </w:r>
      <w:r w:rsidRPr="0053724E">
        <w:rPr>
          <w:rFonts w:eastAsia="Calibri"/>
          <w:szCs w:val="22"/>
          <w:lang w:val="nl-BE" w:eastAsia="en-US"/>
        </w:rPr>
        <w:t xml:space="preserve">ingevuld worden. </w:t>
      </w:r>
    </w:p>
    <w:p w:rsidR="00B5261E" w:rsidRPr="0053724E" w:rsidRDefault="00B5261E" w:rsidP="00B5261E">
      <w:pPr>
        <w:ind w:left="708"/>
        <w:rPr>
          <w:rFonts w:eastAsia="Calibri"/>
          <w:szCs w:val="22"/>
          <w:lang w:val="nl-BE" w:eastAsia="en-US"/>
        </w:rPr>
      </w:pPr>
    </w:p>
    <w:p w:rsidR="00B5261E" w:rsidRPr="0053724E" w:rsidRDefault="00B5261E" w:rsidP="00B5261E">
      <w:pPr>
        <w:ind w:left="708"/>
        <w:rPr>
          <w:rFonts w:eastAsia="Calibri"/>
          <w:szCs w:val="22"/>
          <w:lang w:val="nl-BE" w:eastAsia="en-US"/>
        </w:rPr>
      </w:pPr>
      <w:r w:rsidRPr="0053724E">
        <w:rPr>
          <w:rFonts w:eastAsia="Calibri"/>
          <w:szCs w:val="22"/>
          <w:lang w:val="nl-BE" w:eastAsia="en-US"/>
        </w:rPr>
        <w:t>Wanneer de aanvraag met een eenvoudige motivering kan gebeuren, kan dit steeds rechtstreeks bij het VAPH. De huidige procedure blijft dus van toepassing.</w:t>
      </w:r>
    </w:p>
    <w:p w:rsidR="00B5261E" w:rsidRPr="0053724E" w:rsidRDefault="00B5261E" w:rsidP="00B5261E">
      <w:pPr>
        <w:ind w:left="709"/>
        <w:rPr>
          <w:rFonts w:eastAsia="Calibri"/>
          <w:szCs w:val="22"/>
          <w:lang w:val="nl-BE" w:eastAsia="en-US"/>
        </w:rPr>
      </w:pPr>
    </w:p>
    <w:p w:rsidR="00B5261E" w:rsidRPr="00BF3873" w:rsidRDefault="00B5261E" w:rsidP="00B5261E">
      <w:pPr>
        <w:ind w:left="709"/>
        <w:rPr>
          <w:rFonts w:eastAsia="Calibri"/>
          <w:szCs w:val="22"/>
          <w:lang w:val="nl-BE" w:eastAsia="en-US"/>
        </w:rPr>
      </w:pPr>
      <w:r w:rsidRPr="005A6BF1">
        <w:rPr>
          <w:rFonts w:eastAsia="Calibri"/>
          <w:szCs w:val="22"/>
          <w:lang w:val="nl-BE" w:eastAsia="en-US"/>
        </w:rPr>
        <w:t xml:space="preserve">Ook de gebruikelijke bijlagen worden mee aangeleverd (RIZIV-bijlagen bij een aanvraag voor een mobiliteitshulpmiddel of een incontinentieattest </w:t>
      </w:r>
      <w:r w:rsidR="001E0EBF" w:rsidRPr="005A6BF1">
        <w:rPr>
          <w:rFonts w:eastAsia="Calibri"/>
          <w:szCs w:val="22"/>
          <w:lang w:val="nl-BE" w:eastAsia="en-US"/>
        </w:rPr>
        <w:t>bij de aanvraag van een forfaitaire tegemoetkoming voor incontinentiemateriaal</w:t>
      </w:r>
      <w:r w:rsidRPr="005A6BF1">
        <w:rPr>
          <w:rFonts w:eastAsia="Calibri"/>
          <w:szCs w:val="22"/>
          <w:lang w:val="nl-BE" w:eastAsia="en-US"/>
        </w:rPr>
        <w:t>).</w:t>
      </w:r>
    </w:p>
    <w:p w:rsidR="00B5261E" w:rsidRDefault="00B5261E" w:rsidP="00BF3873">
      <w:pPr>
        <w:rPr>
          <w:rFonts w:eastAsia="Calibri"/>
          <w:szCs w:val="22"/>
          <w:lang w:val="nl-BE" w:eastAsia="en-US"/>
        </w:rPr>
      </w:pPr>
    </w:p>
    <w:p w:rsidR="005A6BF1" w:rsidRPr="004F61EF" w:rsidRDefault="005A6BF1" w:rsidP="005A6BF1">
      <w:pPr>
        <w:keepNext/>
        <w:keepLines/>
        <w:numPr>
          <w:ilvl w:val="0"/>
          <w:numId w:val="13"/>
        </w:numPr>
        <w:spacing w:before="120" w:after="240"/>
        <w:outlineLvl w:val="0"/>
        <w:rPr>
          <w:b/>
          <w:bCs/>
          <w:color w:val="5F5F5F"/>
          <w:sz w:val="24"/>
          <w:szCs w:val="28"/>
          <w:lang w:eastAsia="en-US"/>
        </w:rPr>
      </w:pPr>
      <w:r w:rsidRPr="004F61EF">
        <w:rPr>
          <w:b/>
          <w:bCs/>
          <w:color w:val="5F5F5F"/>
          <w:sz w:val="24"/>
          <w:szCs w:val="28"/>
          <w:lang w:eastAsia="en-US"/>
        </w:rPr>
        <w:t>Aanvraag IMB bij meerderjarigheid</w:t>
      </w:r>
    </w:p>
    <w:p w:rsidR="00B5261E" w:rsidRDefault="005A6BF1" w:rsidP="00BF3873">
      <w:pPr>
        <w:rPr>
          <w:rFonts w:eastAsia="Calibri"/>
          <w:szCs w:val="22"/>
          <w:lang w:val="nl-BE" w:eastAsia="en-US"/>
        </w:rPr>
      </w:pPr>
      <w:r w:rsidRPr="004F61EF">
        <w:rPr>
          <w:rFonts w:eastAsia="Calibri"/>
          <w:szCs w:val="22"/>
          <w:lang w:val="nl-BE" w:eastAsia="en-US"/>
        </w:rPr>
        <w:t>Bij een eerste aanvraag voor hulpmiddelen of aanpassingen nadat men meerderjarig is geworden, moet steeds een A001 bezorgd worden, ook wanneer men daarvoor reeds een aanvraag IMB heeft ingediend.</w:t>
      </w:r>
      <w:r>
        <w:rPr>
          <w:rFonts w:eastAsia="Calibri"/>
          <w:szCs w:val="22"/>
          <w:lang w:val="nl-BE" w:eastAsia="en-US"/>
        </w:rPr>
        <w:t xml:space="preserve"> </w:t>
      </w:r>
    </w:p>
    <w:p w:rsidR="000A31C8" w:rsidRPr="000A31C8" w:rsidRDefault="000A31C8" w:rsidP="00BF3873">
      <w:pPr>
        <w:rPr>
          <w:rFonts w:eastAsia="Calibri"/>
          <w:szCs w:val="22"/>
          <w:lang w:eastAsia="en-US"/>
        </w:rPr>
      </w:pPr>
    </w:p>
    <w:p w:rsidR="00181819" w:rsidRPr="00BF3873" w:rsidRDefault="00BF3873" w:rsidP="00BF3873">
      <w:pPr>
        <w:keepNext/>
        <w:keepLines/>
        <w:numPr>
          <w:ilvl w:val="0"/>
          <w:numId w:val="13"/>
        </w:numPr>
        <w:spacing w:before="120" w:after="240"/>
        <w:outlineLvl w:val="0"/>
        <w:rPr>
          <w:b/>
          <w:bCs/>
          <w:color w:val="5F5F5F"/>
          <w:sz w:val="24"/>
          <w:szCs w:val="28"/>
          <w:lang w:eastAsia="en-US"/>
        </w:rPr>
      </w:pPr>
      <w:r w:rsidRPr="00BF3873">
        <w:rPr>
          <w:b/>
          <w:bCs/>
          <w:color w:val="5F5F5F"/>
          <w:sz w:val="24"/>
          <w:szCs w:val="28"/>
          <w:lang w:eastAsia="en-US"/>
        </w:rPr>
        <w:t>Griffoen</w:t>
      </w:r>
    </w:p>
    <w:p w:rsidR="00BF6F61" w:rsidRDefault="00182EBE">
      <w:pPr>
        <w:jc w:val="both"/>
        <w:rPr>
          <w:rFonts w:cs="Arial"/>
          <w:bCs/>
        </w:rPr>
      </w:pPr>
      <w:r>
        <w:rPr>
          <w:rFonts w:cs="Arial"/>
          <w:bCs/>
        </w:rPr>
        <w:t xml:space="preserve">Vanaf </w:t>
      </w:r>
      <w:r w:rsidR="000429CC">
        <w:rPr>
          <w:rFonts w:cs="Arial"/>
          <w:b/>
        </w:rPr>
        <w:t>31</w:t>
      </w:r>
      <w:r w:rsidR="000778E2">
        <w:rPr>
          <w:rFonts w:cs="Arial"/>
          <w:b/>
        </w:rPr>
        <w:t xml:space="preserve"> maart 2014</w:t>
      </w:r>
      <w:r>
        <w:rPr>
          <w:rFonts w:cs="Arial"/>
          <w:b/>
        </w:rPr>
        <w:t xml:space="preserve"> </w:t>
      </w:r>
      <w:r>
        <w:rPr>
          <w:rFonts w:cs="Arial"/>
          <w:bCs/>
        </w:rPr>
        <w:t>is de nieuwe versie van Griffoen, versie 1.1.</w:t>
      </w:r>
      <w:r w:rsidR="000D7293">
        <w:rPr>
          <w:rFonts w:cs="Arial"/>
          <w:bCs/>
        </w:rPr>
        <w:t>1</w:t>
      </w:r>
      <w:r w:rsidR="000778E2">
        <w:rPr>
          <w:rFonts w:cs="Arial"/>
          <w:bCs/>
        </w:rPr>
        <w:t>3</w:t>
      </w:r>
      <w:r>
        <w:rPr>
          <w:rFonts w:cs="Arial"/>
          <w:bCs/>
        </w:rPr>
        <w:t xml:space="preserve">,  beschikbaar. U kan deze downloaden via de website van het VAPH voor </w:t>
      </w:r>
      <w:r w:rsidR="00B84C4C">
        <w:rPr>
          <w:rFonts w:cs="Arial"/>
          <w:bCs/>
        </w:rPr>
        <w:t xml:space="preserve"> </w:t>
      </w:r>
      <w:r>
        <w:rPr>
          <w:rFonts w:cs="Arial"/>
          <w:bCs/>
        </w:rPr>
        <w:t xml:space="preserve">MDT’s.  </w:t>
      </w:r>
      <w:r w:rsidR="00BF6F61">
        <w:rPr>
          <w:rFonts w:cs="Arial"/>
          <w:bCs/>
        </w:rPr>
        <w:t>In deze versie:</w:t>
      </w:r>
    </w:p>
    <w:p w:rsidR="00BF6F61" w:rsidRDefault="00830E7F" w:rsidP="00BF6F61">
      <w:pPr>
        <w:pStyle w:val="Lijstalinea"/>
        <w:numPr>
          <w:ilvl w:val="0"/>
          <w:numId w:val="6"/>
        </w:numPr>
        <w:jc w:val="both"/>
        <w:rPr>
          <w:rFonts w:cs="Arial"/>
          <w:bCs/>
        </w:rPr>
      </w:pPr>
      <w:r>
        <w:rPr>
          <w:rFonts w:cs="Arial"/>
          <w:bCs/>
        </w:rPr>
        <w:t>Is d</w:t>
      </w:r>
      <w:r w:rsidR="00BF6F61">
        <w:rPr>
          <w:rFonts w:cs="Arial"/>
          <w:bCs/>
        </w:rPr>
        <w:t xml:space="preserve">e applicatie </w:t>
      </w:r>
      <w:r w:rsidR="000778E2">
        <w:rPr>
          <w:rFonts w:cs="Arial"/>
          <w:bCs/>
        </w:rPr>
        <w:t xml:space="preserve">nogmaals </w:t>
      </w:r>
      <w:r w:rsidR="00BF6F61">
        <w:rPr>
          <w:rFonts w:cs="Arial"/>
          <w:bCs/>
        </w:rPr>
        <w:t>aangepast aan de noden voor Integrale Jeugdhulp</w:t>
      </w:r>
    </w:p>
    <w:p w:rsidR="00BF6F61" w:rsidRDefault="000778E2" w:rsidP="00BF6F61">
      <w:pPr>
        <w:pStyle w:val="Lijstalinea"/>
        <w:numPr>
          <w:ilvl w:val="0"/>
          <w:numId w:val="6"/>
        </w:numPr>
        <w:jc w:val="both"/>
        <w:rPr>
          <w:rFonts w:cs="Arial"/>
          <w:bCs/>
        </w:rPr>
      </w:pPr>
      <w:r>
        <w:rPr>
          <w:rFonts w:cs="Arial"/>
          <w:bCs/>
        </w:rPr>
        <w:t>Is pleegzorg niet meer beschikbaar als bijstandsveld</w:t>
      </w:r>
    </w:p>
    <w:p w:rsidR="000778E2" w:rsidRDefault="000778E2">
      <w:pPr>
        <w:jc w:val="both"/>
        <w:rPr>
          <w:rFonts w:cs="Arial"/>
          <w:bCs/>
        </w:rPr>
      </w:pPr>
    </w:p>
    <w:p w:rsidR="00181819" w:rsidRDefault="00182EBE">
      <w:pPr>
        <w:jc w:val="both"/>
        <w:rPr>
          <w:rFonts w:cs="Arial"/>
          <w:bCs/>
        </w:rPr>
      </w:pPr>
      <w:r>
        <w:rPr>
          <w:rFonts w:cs="Arial"/>
          <w:bCs/>
        </w:rPr>
        <w:t xml:space="preserve">Hieronder vindt u een </w:t>
      </w:r>
      <w:r w:rsidR="00BF6F61">
        <w:rPr>
          <w:rFonts w:cs="Arial"/>
          <w:bCs/>
        </w:rPr>
        <w:t>uitgebreidere toelicht</w:t>
      </w:r>
      <w:r w:rsidR="00190FD6">
        <w:rPr>
          <w:rFonts w:cs="Arial"/>
          <w:bCs/>
        </w:rPr>
        <w:t>ing</w:t>
      </w:r>
      <w:r w:rsidR="00BF6F61">
        <w:rPr>
          <w:rFonts w:cs="Arial"/>
          <w:bCs/>
        </w:rPr>
        <w:t xml:space="preserve"> over deze aanpassingen.</w:t>
      </w:r>
    </w:p>
    <w:p w:rsidR="00181819" w:rsidRDefault="00181819">
      <w:pPr>
        <w:pStyle w:val="Koptekst"/>
        <w:tabs>
          <w:tab w:val="clear" w:pos="4536"/>
          <w:tab w:val="clear" w:pos="9072"/>
        </w:tabs>
        <w:jc w:val="both"/>
        <w:rPr>
          <w:bCs/>
          <w:spacing w:val="-3"/>
        </w:rPr>
      </w:pPr>
    </w:p>
    <w:p w:rsidR="00234678" w:rsidRDefault="00182EBE" w:rsidP="00234678">
      <w:pPr>
        <w:pStyle w:val="Kop6"/>
        <w:jc w:val="both"/>
      </w:pPr>
      <w:r>
        <w:t xml:space="preserve">1. </w:t>
      </w:r>
      <w:r w:rsidR="00A34ECB">
        <w:t>Aanpassingen voor Integrale Jeugdhulp</w:t>
      </w:r>
    </w:p>
    <w:p w:rsidR="00181819" w:rsidRDefault="00181819">
      <w:pPr>
        <w:jc w:val="both"/>
        <w:rPr>
          <w:bCs/>
          <w:spacing w:val="-3"/>
          <w:lang w:val="nl-BE"/>
        </w:rPr>
      </w:pPr>
    </w:p>
    <w:p w:rsidR="000778E2" w:rsidRDefault="00B7573B">
      <w:pPr>
        <w:jc w:val="both"/>
        <w:rPr>
          <w:bCs/>
          <w:spacing w:val="-3"/>
          <w:lang w:val="nl-BE"/>
        </w:rPr>
      </w:pPr>
      <w:r>
        <w:rPr>
          <w:bCs/>
          <w:spacing w:val="-3"/>
          <w:lang w:val="nl-BE"/>
        </w:rPr>
        <w:t xml:space="preserve">Het adviesrapport is uitgebreid met een </w:t>
      </w:r>
      <w:r w:rsidR="000778E2">
        <w:rPr>
          <w:bCs/>
          <w:spacing w:val="-3"/>
          <w:lang w:val="nl-BE"/>
        </w:rPr>
        <w:t xml:space="preserve">nieuw </w:t>
      </w:r>
      <w:r>
        <w:rPr>
          <w:bCs/>
          <w:spacing w:val="-3"/>
          <w:lang w:val="nl-BE"/>
        </w:rPr>
        <w:t xml:space="preserve">onderdeel </w:t>
      </w:r>
      <w:r w:rsidR="000778E2">
        <w:rPr>
          <w:bCs/>
          <w:spacing w:val="-3"/>
          <w:lang w:val="nl-BE"/>
        </w:rPr>
        <w:t>Synthese 1</w:t>
      </w:r>
      <w:r>
        <w:rPr>
          <w:bCs/>
          <w:spacing w:val="-3"/>
          <w:lang w:val="nl-BE"/>
        </w:rPr>
        <w:t xml:space="preserve">. </w:t>
      </w:r>
      <w:r w:rsidR="000778E2">
        <w:rPr>
          <w:bCs/>
          <w:spacing w:val="-3"/>
          <w:lang w:val="nl-BE"/>
        </w:rPr>
        <w:t>Dit zijn dezelfde vrije tekstvelden zoals in het Multidisciplinair Verslag (MDV) waarin u de stoornis, het gedrag, het functioneren… van de persoon met een handicap kan toelichten.</w:t>
      </w:r>
    </w:p>
    <w:p w:rsidR="000778E2" w:rsidRDefault="000778E2">
      <w:pPr>
        <w:jc w:val="both"/>
        <w:rPr>
          <w:bCs/>
          <w:spacing w:val="-3"/>
          <w:lang w:val="nl-BE"/>
        </w:rPr>
      </w:pPr>
    </w:p>
    <w:p w:rsidR="00B7573B" w:rsidRDefault="00B7573B">
      <w:pPr>
        <w:jc w:val="both"/>
        <w:rPr>
          <w:bCs/>
          <w:spacing w:val="-3"/>
          <w:lang w:val="nl-BE"/>
        </w:rPr>
      </w:pPr>
      <w:r>
        <w:rPr>
          <w:bCs/>
          <w:spacing w:val="-3"/>
          <w:lang w:val="nl-BE"/>
        </w:rPr>
        <w:t xml:space="preserve">Dit moet u </w:t>
      </w:r>
      <w:r w:rsidRPr="000429CC">
        <w:rPr>
          <w:bCs/>
          <w:spacing w:val="-3"/>
          <w:lang w:val="nl-BE"/>
        </w:rPr>
        <w:t>invullen</w:t>
      </w:r>
      <w:r>
        <w:rPr>
          <w:bCs/>
          <w:spacing w:val="-3"/>
          <w:lang w:val="nl-BE"/>
        </w:rPr>
        <w:t xml:space="preserve"> </w:t>
      </w:r>
      <w:r w:rsidR="000429CC">
        <w:rPr>
          <w:bCs/>
          <w:spacing w:val="-3"/>
          <w:lang w:val="nl-BE"/>
        </w:rPr>
        <w:t>overeenkomstig de hierboven beschreven richtlijnen</w:t>
      </w:r>
      <w:r>
        <w:rPr>
          <w:bCs/>
          <w:spacing w:val="-3"/>
          <w:lang w:val="nl-BE"/>
        </w:rPr>
        <w:t xml:space="preserve">. Als u een </w:t>
      </w:r>
      <w:r w:rsidR="00645B9D">
        <w:rPr>
          <w:bCs/>
          <w:spacing w:val="-3"/>
          <w:lang w:val="nl-BE"/>
        </w:rPr>
        <w:t xml:space="preserve">gewone aanvraag indient, kan u </w:t>
      </w:r>
      <w:r>
        <w:rPr>
          <w:bCs/>
          <w:spacing w:val="-3"/>
          <w:lang w:val="nl-BE"/>
        </w:rPr>
        <w:t xml:space="preserve">aanvinken dat </w:t>
      </w:r>
      <w:r w:rsidR="000778E2">
        <w:rPr>
          <w:bCs/>
          <w:spacing w:val="-3"/>
          <w:lang w:val="nl-BE"/>
        </w:rPr>
        <w:t>u dit reeds gedaan heeft in</w:t>
      </w:r>
      <w:r w:rsidR="00412144">
        <w:rPr>
          <w:bCs/>
          <w:spacing w:val="-3"/>
          <w:lang w:val="nl-BE"/>
        </w:rPr>
        <w:t xml:space="preserve"> een eerder MDV</w:t>
      </w:r>
      <w:r w:rsidR="000778E2">
        <w:rPr>
          <w:bCs/>
          <w:spacing w:val="-3"/>
          <w:lang w:val="nl-BE"/>
        </w:rPr>
        <w:t>.</w:t>
      </w:r>
    </w:p>
    <w:p w:rsidR="00B7573B" w:rsidRDefault="00B7573B">
      <w:pPr>
        <w:jc w:val="both"/>
        <w:rPr>
          <w:bCs/>
          <w:spacing w:val="-3"/>
          <w:lang w:val="nl-BE"/>
        </w:rPr>
      </w:pPr>
    </w:p>
    <w:p w:rsidR="00181819" w:rsidRDefault="00182EBE">
      <w:pPr>
        <w:pStyle w:val="Kop6"/>
        <w:jc w:val="both"/>
        <w:rPr>
          <w:lang w:val="nl-BE"/>
        </w:rPr>
      </w:pPr>
      <w:r>
        <w:rPr>
          <w:lang w:val="nl-BE"/>
        </w:rPr>
        <w:t>2.</w:t>
      </w:r>
      <w:r w:rsidR="000778E2">
        <w:rPr>
          <w:lang w:val="nl-BE"/>
        </w:rPr>
        <w:t>Pleegzorg</w:t>
      </w:r>
    </w:p>
    <w:p w:rsidR="00234678" w:rsidRPr="00234678" w:rsidRDefault="00234678" w:rsidP="00234678">
      <w:pPr>
        <w:rPr>
          <w:lang w:val="nl-BE"/>
        </w:rPr>
      </w:pPr>
    </w:p>
    <w:p w:rsidR="000778E2" w:rsidRDefault="000778E2" w:rsidP="000778E2">
      <w:pPr>
        <w:jc w:val="both"/>
        <w:rPr>
          <w:bCs/>
          <w:spacing w:val="-3"/>
          <w:lang w:val="nl-BE"/>
        </w:rPr>
      </w:pPr>
      <w:r>
        <w:rPr>
          <w:bCs/>
          <w:spacing w:val="-3"/>
          <w:lang w:val="nl-BE"/>
        </w:rPr>
        <w:t xml:space="preserve">In infonota 1402 ben u door het VAPH geïnformeerd over het nieuwe decreet Pleegzorg. Hierdoor kan er sinds 1 januari 2014 geen aanvraag pleegzorg meer ingediend worden. </w:t>
      </w:r>
    </w:p>
    <w:p w:rsidR="000778E2" w:rsidRDefault="000778E2" w:rsidP="000778E2">
      <w:pPr>
        <w:jc w:val="both"/>
        <w:rPr>
          <w:bCs/>
          <w:spacing w:val="-3"/>
          <w:lang w:val="nl-BE"/>
        </w:rPr>
      </w:pPr>
    </w:p>
    <w:p w:rsidR="00B7573B" w:rsidRDefault="000778E2" w:rsidP="00412144">
      <w:pPr>
        <w:jc w:val="both"/>
        <w:rPr>
          <w:szCs w:val="20"/>
        </w:rPr>
      </w:pPr>
      <w:r>
        <w:rPr>
          <w:bCs/>
          <w:spacing w:val="-3"/>
          <w:lang w:val="nl-BE"/>
        </w:rPr>
        <w:t>Om dit u ook praktisch onmogelijk te maken, kan u in de laatste versie van Griffoen niet langer Pleegzorg als bijstandsveld aanduiden.</w:t>
      </w:r>
    </w:p>
    <w:p w:rsidR="000778E2" w:rsidRPr="00B7573B" w:rsidRDefault="000778E2" w:rsidP="00B7573B">
      <w:pPr>
        <w:pStyle w:val="Default"/>
        <w:jc w:val="both"/>
        <w:rPr>
          <w:sz w:val="20"/>
          <w:szCs w:val="20"/>
        </w:rPr>
      </w:pPr>
    </w:p>
    <w:p w:rsidR="00181819" w:rsidRDefault="00182EBE">
      <w:pPr>
        <w:pStyle w:val="Default"/>
        <w:jc w:val="both"/>
        <w:rPr>
          <w:sz w:val="20"/>
          <w:szCs w:val="20"/>
        </w:rPr>
      </w:pPr>
      <w:r>
        <w:rPr>
          <w:sz w:val="20"/>
          <w:szCs w:val="20"/>
        </w:rPr>
        <w:t>Bent u nog bezig met het afwerken van o</w:t>
      </w:r>
      <w:r w:rsidR="00B84C4C">
        <w:rPr>
          <w:sz w:val="20"/>
          <w:szCs w:val="20"/>
        </w:rPr>
        <w:t xml:space="preserve">pgestarte verslagen, </w:t>
      </w:r>
      <w:r>
        <w:rPr>
          <w:sz w:val="20"/>
          <w:szCs w:val="20"/>
        </w:rPr>
        <w:t>geen probleem. U mag de vorige versie (versie 1.1.</w:t>
      </w:r>
      <w:r w:rsidR="00585717">
        <w:rPr>
          <w:sz w:val="20"/>
          <w:szCs w:val="20"/>
        </w:rPr>
        <w:t>1</w:t>
      </w:r>
      <w:r w:rsidR="000778E2">
        <w:rPr>
          <w:sz w:val="20"/>
          <w:szCs w:val="20"/>
        </w:rPr>
        <w:t>2</w:t>
      </w:r>
      <w:r>
        <w:rPr>
          <w:sz w:val="20"/>
          <w:szCs w:val="20"/>
        </w:rPr>
        <w:t xml:space="preserve">) nog gebruiken tot en met </w:t>
      </w:r>
      <w:r w:rsidR="000778E2">
        <w:rPr>
          <w:sz w:val="20"/>
          <w:szCs w:val="20"/>
        </w:rPr>
        <w:t>31 mei 2014</w:t>
      </w:r>
      <w:r w:rsidR="00412144">
        <w:rPr>
          <w:sz w:val="20"/>
          <w:szCs w:val="20"/>
        </w:rPr>
        <w:t xml:space="preserve">. </w:t>
      </w:r>
      <w:r>
        <w:rPr>
          <w:sz w:val="20"/>
          <w:szCs w:val="20"/>
        </w:rPr>
        <w:t xml:space="preserve">Vanaf 1 </w:t>
      </w:r>
      <w:r w:rsidR="00585717">
        <w:rPr>
          <w:sz w:val="20"/>
          <w:szCs w:val="20"/>
        </w:rPr>
        <w:t>j</w:t>
      </w:r>
      <w:r w:rsidR="000778E2">
        <w:rPr>
          <w:sz w:val="20"/>
          <w:szCs w:val="20"/>
        </w:rPr>
        <w:t>uni</w:t>
      </w:r>
      <w:r w:rsidR="00585717">
        <w:rPr>
          <w:sz w:val="20"/>
          <w:szCs w:val="20"/>
        </w:rPr>
        <w:t xml:space="preserve"> 2014</w:t>
      </w:r>
      <w:r>
        <w:rPr>
          <w:sz w:val="20"/>
          <w:szCs w:val="20"/>
        </w:rPr>
        <w:t xml:space="preserve"> heeft u in ieder geval de nieuwe versie van Griffoen nodig om verslagen door te sturen naar het Vlaams Agentschap. Bij technische problemen met het installeren van Griffoen kan u terecht bij onze helpdesk op het nummer 02/225</w:t>
      </w:r>
      <w:r w:rsidR="00A8127F">
        <w:rPr>
          <w:sz w:val="20"/>
          <w:szCs w:val="20"/>
        </w:rPr>
        <w:t xml:space="preserve"> </w:t>
      </w:r>
      <w:r>
        <w:rPr>
          <w:sz w:val="20"/>
          <w:szCs w:val="20"/>
        </w:rPr>
        <w:t>84</w:t>
      </w:r>
      <w:r w:rsidR="00A8127F">
        <w:rPr>
          <w:sz w:val="20"/>
          <w:szCs w:val="20"/>
        </w:rPr>
        <w:t xml:space="preserve"> </w:t>
      </w:r>
      <w:r>
        <w:rPr>
          <w:sz w:val="20"/>
          <w:szCs w:val="20"/>
        </w:rPr>
        <w:t xml:space="preserve">56. </w:t>
      </w:r>
    </w:p>
    <w:p w:rsidR="00181819" w:rsidRDefault="00181819">
      <w:pPr>
        <w:pStyle w:val="Default"/>
        <w:jc w:val="both"/>
        <w:rPr>
          <w:sz w:val="20"/>
          <w:szCs w:val="20"/>
        </w:rPr>
      </w:pPr>
    </w:p>
    <w:p w:rsidR="00181819" w:rsidRDefault="00182EBE">
      <w:pPr>
        <w:pStyle w:val="Default"/>
        <w:jc w:val="both"/>
        <w:rPr>
          <w:sz w:val="20"/>
          <w:szCs w:val="20"/>
        </w:rPr>
      </w:pPr>
      <w:r>
        <w:rPr>
          <w:b/>
          <w:bCs/>
          <w:sz w:val="20"/>
          <w:szCs w:val="20"/>
        </w:rPr>
        <w:t xml:space="preserve">Opgelet: </w:t>
      </w:r>
      <w:r>
        <w:rPr>
          <w:sz w:val="20"/>
          <w:szCs w:val="20"/>
        </w:rPr>
        <w:t xml:space="preserve">om verslagen te openen die het VAPH u bezorgt, moet u wel de nieuwe versie installeren. </w:t>
      </w:r>
    </w:p>
    <w:p w:rsidR="00181819" w:rsidRDefault="00181819">
      <w:pPr>
        <w:pStyle w:val="Default"/>
        <w:jc w:val="both"/>
        <w:rPr>
          <w:sz w:val="20"/>
          <w:szCs w:val="20"/>
        </w:rPr>
      </w:pPr>
    </w:p>
    <w:p w:rsidR="00181819" w:rsidRDefault="00182EBE" w:rsidP="00585717">
      <w:pPr>
        <w:pStyle w:val="Koptekst"/>
        <w:tabs>
          <w:tab w:val="clear" w:pos="4536"/>
          <w:tab w:val="clear" w:pos="9072"/>
        </w:tabs>
        <w:jc w:val="both"/>
        <w:rPr>
          <w:lang w:val="nl-BE"/>
        </w:rPr>
      </w:pPr>
      <w:r>
        <w:rPr>
          <w:szCs w:val="20"/>
        </w:rPr>
        <w:lastRenderedPageBreak/>
        <w:t>Indien u bijkomende vragen heeft</w:t>
      </w:r>
      <w:r w:rsidR="00916E6C">
        <w:rPr>
          <w:szCs w:val="20"/>
        </w:rPr>
        <w:t xml:space="preserve"> in verband met deze infonota</w:t>
      </w:r>
      <w:r>
        <w:rPr>
          <w:szCs w:val="20"/>
        </w:rPr>
        <w:t>,</w:t>
      </w:r>
      <w:r w:rsidR="00916E6C">
        <w:rPr>
          <w:szCs w:val="20"/>
        </w:rPr>
        <w:t xml:space="preserve"> dan</w:t>
      </w:r>
      <w:r>
        <w:rPr>
          <w:szCs w:val="20"/>
        </w:rPr>
        <w:t xml:space="preserve"> kan u contact opnemen met </w:t>
      </w:r>
      <w:r w:rsidR="00916E6C">
        <w:rPr>
          <w:szCs w:val="20"/>
        </w:rPr>
        <w:t xml:space="preserve">de personen die bovenaan vermeld worden. </w:t>
      </w:r>
    </w:p>
    <w:p w:rsidR="00181819" w:rsidRDefault="00181819">
      <w:pPr>
        <w:jc w:val="both"/>
        <w:rPr>
          <w:lang w:val="nl-BE"/>
        </w:rPr>
      </w:pPr>
    </w:p>
    <w:p w:rsidR="00181819" w:rsidRDefault="00182EBE">
      <w:pPr>
        <w:jc w:val="both"/>
      </w:pPr>
      <w:r>
        <w:t>Met vriendelijke groeten</w:t>
      </w:r>
    </w:p>
    <w:p w:rsidR="00181819" w:rsidRDefault="00181819">
      <w:pPr>
        <w:jc w:val="both"/>
      </w:pPr>
    </w:p>
    <w:p w:rsidR="00181819" w:rsidRDefault="00181819">
      <w:pPr>
        <w:jc w:val="both"/>
      </w:pPr>
    </w:p>
    <w:p w:rsidR="00181819" w:rsidRDefault="00181819">
      <w:pPr>
        <w:jc w:val="both"/>
      </w:pPr>
    </w:p>
    <w:p w:rsidR="00181819" w:rsidRDefault="00181819">
      <w:pPr>
        <w:jc w:val="both"/>
      </w:pPr>
    </w:p>
    <w:p w:rsidR="00181819" w:rsidRDefault="00181819">
      <w:pPr>
        <w:jc w:val="both"/>
      </w:pPr>
    </w:p>
    <w:p w:rsidR="00181819" w:rsidRDefault="008F7A40">
      <w:pPr>
        <w:jc w:val="both"/>
      </w:pPr>
      <w:r>
        <w:t>Karine Moykens</w:t>
      </w:r>
    </w:p>
    <w:p w:rsidR="00182EBE" w:rsidRDefault="008F7A40">
      <w:pPr>
        <w:jc w:val="both"/>
        <w:rPr>
          <w:lang w:val="nl-BE"/>
        </w:rPr>
      </w:pPr>
      <w:r>
        <w:t>Waarnemend administrateur-generaal</w:t>
      </w:r>
      <w:r w:rsidR="004F61EF">
        <w:t xml:space="preserve"> </w:t>
      </w:r>
    </w:p>
    <w:sectPr w:rsidR="00182EBE">
      <w:headerReference w:type="default" r:id="rId11"/>
      <w:footerReference w:type="even" r:id="rId12"/>
      <w:footerReference w:type="default" r:id="rId13"/>
      <w:footerReference w:type="first" r:id="rId14"/>
      <w:pgSz w:w="11906" w:h="16838" w:code="9"/>
      <w:pgMar w:top="2495" w:right="1276" w:bottom="1928" w:left="1418" w:header="851" w:footer="567" w:gutter="0"/>
      <w:paperSrc w:first="259" w:other="26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DE" w:rsidRDefault="004417DE">
      <w:r>
        <w:separator/>
      </w:r>
    </w:p>
  </w:endnote>
  <w:endnote w:type="continuationSeparator" w:id="0">
    <w:p w:rsidR="004417DE" w:rsidRDefault="004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82E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1819" w:rsidRDefault="0018181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82E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0430">
      <w:rPr>
        <w:rStyle w:val="Paginanummer"/>
        <w:noProof/>
      </w:rPr>
      <w:t>7</w:t>
    </w:r>
    <w:r>
      <w:rPr>
        <w:rStyle w:val="Paginanummer"/>
      </w:rPr>
      <w:fldChar w:fldCharType="end"/>
    </w:r>
  </w:p>
  <w:p w:rsidR="00181819" w:rsidRDefault="0012129B">
    <w:pPr>
      <w:pStyle w:val="Voettekst"/>
      <w:tabs>
        <w:tab w:val="right" w:pos="8732"/>
      </w:tabs>
      <w:ind w:right="360"/>
      <w:rPr>
        <w:color w:val="C00076"/>
      </w:rPr>
    </w:pPr>
    <w:r>
      <w:rPr>
        <w:noProof/>
        <w:lang w:val="nl-BE" w:eastAsia="nl-BE"/>
      </w:rPr>
      <w:drawing>
        <wp:anchor distT="0" distB="0" distL="114300" distR="114300" simplePos="0" relativeHeight="251659776"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23" name="Afbeelding 23"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JwFgIAACk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" strokecolor="#c00076"/>
          </w:pict>
        </mc:Fallback>
      </mc:AlternateContent>
    </w:r>
    <w:r w:rsidR="00182EBE">
      <w:tab/>
    </w:r>
    <w:r w:rsidR="00182EBE">
      <w:tab/>
    </w:r>
    <w:r w:rsidR="00182EB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2129B">
    <w:pPr>
      <w:pStyle w:val="Voettekst"/>
      <w:tabs>
        <w:tab w:val="right" w:pos="8732"/>
      </w:tabs>
      <w:jc w:val="right"/>
      <w:rPr>
        <w:color w:val="C00076"/>
      </w:rPr>
    </w:pPr>
    <w:r>
      <w:rPr>
        <w:noProof/>
        <w:lang w:val="nl-BE" w:eastAsia="nl-BE"/>
      </w:rPr>
      <w:drawing>
        <wp:anchor distT="0" distB="0" distL="114300" distR="114300" simplePos="0" relativeHeight="251656704" behindDoc="1" locked="0" layoutInCell="1" allowOverlap="1">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7728"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rsidR="00182EBE">
      <w:tab/>
    </w:r>
    <w:r w:rsidR="00182EBE">
      <w:tab/>
    </w:r>
    <w:r w:rsidR="00182EBE">
      <w:tab/>
    </w:r>
    <w:r w:rsidR="00182EBE">
      <w:rPr>
        <w:rStyle w:val="Paginanummer"/>
        <w:color w:val="C00076"/>
      </w:rPr>
      <w:fldChar w:fldCharType="begin"/>
    </w:r>
    <w:r w:rsidR="00182EBE">
      <w:rPr>
        <w:rStyle w:val="Paginanummer"/>
        <w:color w:val="C00076"/>
      </w:rPr>
      <w:instrText xml:space="preserve"> PAGE </w:instrText>
    </w:r>
    <w:r w:rsidR="00182EBE">
      <w:rPr>
        <w:rStyle w:val="Paginanummer"/>
        <w:color w:val="C00076"/>
      </w:rPr>
      <w:fldChar w:fldCharType="separate"/>
    </w:r>
    <w:r w:rsidR="00640430">
      <w:rPr>
        <w:rStyle w:val="Paginanummer"/>
        <w:noProof/>
        <w:color w:val="C00076"/>
      </w:rPr>
      <w:t>1</w:t>
    </w:r>
    <w:r w:rsidR="00182EBE">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DE" w:rsidRDefault="004417DE">
      <w:r>
        <w:separator/>
      </w:r>
    </w:p>
  </w:footnote>
  <w:footnote w:type="continuationSeparator" w:id="0">
    <w:p w:rsidR="004417DE" w:rsidRDefault="0044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81819">
    <w:pPr>
      <w:pStyle w:val="Koptekst"/>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7C5"/>
    <w:multiLevelType w:val="singleLevel"/>
    <w:tmpl w:val="6E960646"/>
    <w:lvl w:ilvl="0">
      <w:start w:val="1"/>
      <w:numFmt w:val="upperLetter"/>
      <w:pStyle w:val="Kop4"/>
      <w:lvlText w:val="%1."/>
      <w:lvlJc w:val="left"/>
      <w:pPr>
        <w:tabs>
          <w:tab w:val="num" w:pos="397"/>
        </w:tabs>
        <w:ind w:left="397" w:hanging="397"/>
      </w:pPr>
    </w:lvl>
  </w:abstractNum>
  <w:abstractNum w:abstractNumId="1">
    <w:nsid w:val="0C4848D0"/>
    <w:multiLevelType w:val="hybridMultilevel"/>
    <w:tmpl w:val="26AC09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EA216F8"/>
    <w:multiLevelType w:val="multilevel"/>
    <w:tmpl w:val="B40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43FA9"/>
    <w:multiLevelType w:val="hybridMultilevel"/>
    <w:tmpl w:val="C94E43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8944A35"/>
    <w:multiLevelType w:val="hybridMultilevel"/>
    <w:tmpl w:val="4AB20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9E04289"/>
    <w:multiLevelType w:val="hybridMultilevel"/>
    <w:tmpl w:val="F1ACFF5C"/>
    <w:lvl w:ilvl="0" w:tplc="090C5EA2">
      <w:start w:val="1"/>
      <w:numFmt w:val="bullet"/>
      <w:pStyle w:val="VAPH-Titel4"/>
      <w:lvlText w:val="o"/>
      <w:lvlJc w:val="left"/>
      <w:pPr>
        <w:tabs>
          <w:tab w:val="num" w:pos="720"/>
        </w:tabs>
        <w:ind w:left="720" w:hanging="360"/>
      </w:pPr>
      <w:rPr>
        <w:rFonts w:ascii="Courier New" w:hAnsi="Courier New" w:hint="default"/>
      </w:rPr>
    </w:lvl>
    <w:lvl w:ilvl="1" w:tplc="4FAE1CD6">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B157166"/>
    <w:multiLevelType w:val="hybridMultilevel"/>
    <w:tmpl w:val="5CF6E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3BC62B8"/>
    <w:multiLevelType w:val="hybridMultilevel"/>
    <w:tmpl w:val="D422C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81B209C"/>
    <w:multiLevelType w:val="hybridMultilevel"/>
    <w:tmpl w:val="21CC15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E8F45D8"/>
    <w:multiLevelType w:val="hybridMultilevel"/>
    <w:tmpl w:val="293A0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5"/>
  </w:num>
  <w:num w:numId="3">
    <w:abstractNumId w:val="10"/>
  </w:num>
  <w:num w:numId="4">
    <w:abstractNumId w:val="0"/>
  </w:num>
  <w:num w:numId="5">
    <w:abstractNumId w:val="6"/>
  </w:num>
  <w:num w:numId="6">
    <w:abstractNumId w:val="3"/>
  </w:num>
  <w:num w:numId="7">
    <w:abstractNumId w:val="8"/>
  </w:num>
  <w:num w:numId="8">
    <w:abstractNumId w:val="7"/>
  </w:num>
  <w:num w:numId="9">
    <w:abstractNumId w:val="4"/>
  </w:num>
  <w:num w:numId="10">
    <w:abstractNumId w:val="2"/>
  </w:num>
  <w:num w:numId="11">
    <w:abstractNumId w:val="1"/>
  </w:num>
  <w:num w:numId="12">
    <w:abstractNumId w:val="11"/>
  </w:num>
  <w:num w:numId="13">
    <w:abstractNumId w:val="12"/>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B"/>
    <w:rsid w:val="000429CC"/>
    <w:rsid w:val="000778E2"/>
    <w:rsid w:val="000A31C8"/>
    <w:rsid w:val="000C6A19"/>
    <w:rsid w:val="000D4EC4"/>
    <w:rsid w:val="000D7293"/>
    <w:rsid w:val="0012129B"/>
    <w:rsid w:val="001433FE"/>
    <w:rsid w:val="00181819"/>
    <w:rsid w:val="00182EBE"/>
    <w:rsid w:val="00190FD6"/>
    <w:rsid w:val="001A6715"/>
    <w:rsid w:val="001D5FBE"/>
    <w:rsid w:val="001E0EBF"/>
    <w:rsid w:val="001E5A25"/>
    <w:rsid w:val="00234678"/>
    <w:rsid w:val="00272DB2"/>
    <w:rsid w:val="00273CCE"/>
    <w:rsid w:val="00302E3A"/>
    <w:rsid w:val="003E00FC"/>
    <w:rsid w:val="00412144"/>
    <w:rsid w:val="004417DE"/>
    <w:rsid w:val="00443251"/>
    <w:rsid w:val="004475B9"/>
    <w:rsid w:val="00450DD0"/>
    <w:rsid w:val="004A16D5"/>
    <w:rsid w:val="004B403F"/>
    <w:rsid w:val="004F61EF"/>
    <w:rsid w:val="0053724E"/>
    <w:rsid w:val="005853A2"/>
    <w:rsid w:val="00585717"/>
    <w:rsid w:val="005A6BF1"/>
    <w:rsid w:val="005B0A4B"/>
    <w:rsid w:val="00640430"/>
    <w:rsid w:val="00645B9D"/>
    <w:rsid w:val="00660B6F"/>
    <w:rsid w:val="00660F64"/>
    <w:rsid w:val="00667E28"/>
    <w:rsid w:val="00830E7F"/>
    <w:rsid w:val="00890C36"/>
    <w:rsid w:val="008C109C"/>
    <w:rsid w:val="008E2268"/>
    <w:rsid w:val="008F4463"/>
    <w:rsid w:val="008F7A40"/>
    <w:rsid w:val="00901BF9"/>
    <w:rsid w:val="00904A2F"/>
    <w:rsid w:val="00916E6C"/>
    <w:rsid w:val="00A21590"/>
    <w:rsid w:val="00A34ECB"/>
    <w:rsid w:val="00A8127F"/>
    <w:rsid w:val="00AB398A"/>
    <w:rsid w:val="00B51CA1"/>
    <w:rsid w:val="00B5261E"/>
    <w:rsid w:val="00B7573B"/>
    <w:rsid w:val="00B84C4C"/>
    <w:rsid w:val="00BB5735"/>
    <w:rsid w:val="00BF2FBE"/>
    <w:rsid w:val="00BF3873"/>
    <w:rsid w:val="00BF6F61"/>
    <w:rsid w:val="00CB14BB"/>
    <w:rsid w:val="00CF04AF"/>
    <w:rsid w:val="00D7780D"/>
    <w:rsid w:val="00DB71F3"/>
    <w:rsid w:val="00DC45E8"/>
    <w:rsid w:val="00EA7796"/>
    <w:rsid w:val="00F36DFE"/>
    <w:rsid w:val="00F66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sid w:val="005A6BF1"/>
    <w:rPr>
      <w:rFonts w:ascii="Trebuchet MS" w:hAnsi="Trebuchet MS"/>
      <w:szCs w:val="24"/>
      <w:lang w:val="nl-NL" w:eastAsia="nl-NL"/>
    </w:rPr>
  </w:style>
  <w:style w:type="paragraph" w:styleId="Kop1">
    <w:name w:val="heading 1"/>
    <w:aliases w:val="VAPH - Titel 1"/>
    <w:basedOn w:val="Standaard"/>
    <w:next w:val="Standaard"/>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qFormat/>
    <w:pPr>
      <w:keepNext/>
      <w:jc w:val="both"/>
      <w:outlineLvl w:val="4"/>
    </w:pPr>
    <w:rPr>
      <w:rFonts w:ascii="Times New Roman" w:hAnsi="Times New Roman"/>
      <w:b/>
      <w:bCs/>
      <w:sz w:val="24"/>
      <w:szCs w:val="20"/>
    </w:rPr>
  </w:style>
  <w:style w:type="paragraph" w:styleId="Kop6">
    <w:name w:val="heading 6"/>
    <w:basedOn w:val="Standaard"/>
    <w:next w:val="Standaard"/>
    <w:qFormat/>
    <w:pPr>
      <w:keepNext/>
      <w:outlineLvl w:val="5"/>
    </w:pPr>
    <w:rPr>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semiHidden/>
    <w:pPr>
      <w:spacing w:before="119"/>
      <w:ind w:left="454"/>
    </w:pPr>
    <w:rPr>
      <w:rFonts w:ascii="Arial Unicode MS" w:eastAsia="Arial Unicode MS" w:hAnsi="Arial Unicode MS" w:cs="Arial Unicode MS"/>
      <w:sz w:val="24"/>
    </w:rPr>
  </w:style>
  <w:style w:type="paragraph" w:styleId="Lijstalinea">
    <w:name w:val="List Paragraph"/>
    <w:basedOn w:val="Standaard"/>
    <w:uiPriority w:val="34"/>
    <w:qFormat/>
    <w:rsid w:val="00BF6F61"/>
    <w:pPr>
      <w:ind w:left="720"/>
      <w:contextualSpacing/>
    </w:pPr>
  </w:style>
  <w:style w:type="paragraph" w:styleId="Ballontekst">
    <w:name w:val="Balloon Text"/>
    <w:basedOn w:val="Standaard"/>
    <w:link w:val="BallontekstChar"/>
    <w:uiPriority w:val="99"/>
    <w:semiHidden/>
    <w:unhideWhenUsed/>
    <w:rsid w:val="008F7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A4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sid w:val="005A6BF1"/>
    <w:rPr>
      <w:rFonts w:ascii="Trebuchet MS" w:hAnsi="Trebuchet MS"/>
      <w:szCs w:val="24"/>
      <w:lang w:val="nl-NL" w:eastAsia="nl-NL"/>
    </w:rPr>
  </w:style>
  <w:style w:type="paragraph" w:styleId="Kop1">
    <w:name w:val="heading 1"/>
    <w:aliases w:val="VAPH - Titel 1"/>
    <w:basedOn w:val="Standaard"/>
    <w:next w:val="Standaard"/>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qFormat/>
    <w:pPr>
      <w:keepNext/>
      <w:jc w:val="both"/>
      <w:outlineLvl w:val="4"/>
    </w:pPr>
    <w:rPr>
      <w:rFonts w:ascii="Times New Roman" w:hAnsi="Times New Roman"/>
      <w:b/>
      <w:bCs/>
      <w:sz w:val="24"/>
      <w:szCs w:val="20"/>
    </w:rPr>
  </w:style>
  <w:style w:type="paragraph" w:styleId="Kop6">
    <w:name w:val="heading 6"/>
    <w:basedOn w:val="Standaard"/>
    <w:next w:val="Standaard"/>
    <w:qFormat/>
    <w:pPr>
      <w:keepNext/>
      <w:outlineLvl w:val="5"/>
    </w:pPr>
    <w:rPr>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semiHidden/>
    <w:pPr>
      <w:spacing w:before="119"/>
      <w:ind w:left="454"/>
    </w:pPr>
    <w:rPr>
      <w:rFonts w:ascii="Arial Unicode MS" w:eastAsia="Arial Unicode MS" w:hAnsi="Arial Unicode MS" w:cs="Arial Unicode MS"/>
      <w:sz w:val="24"/>
    </w:rPr>
  </w:style>
  <w:style w:type="paragraph" w:styleId="Lijstalinea">
    <w:name w:val="List Paragraph"/>
    <w:basedOn w:val="Standaard"/>
    <w:uiPriority w:val="34"/>
    <w:qFormat/>
    <w:rsid w:val="00BF6F61"/>
    <w:pPr>
      <w:ind w:left="720"/>
      <w:contextualSpacing/>
    </w:pPr>
  </w:style>
  <w:style w:type="paragraph" w:styleId="Ballontekst">
    <w:name w:val="Balloon Text"/>
    <w:basedOn w:val="Standaard"/>
    <w:link w:val="BallontekstChar"/>
    <w:uiPriority w:val="99"/>
    <w:semiHidden/>
    <w:unhideWhenUsed/>
    <w:rsid w:val="008F7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A4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nna.steenwegen@vaph.be" TargetMode="External"/><Relationship Id="rId4" Type="http://schemas.microsoft.com/office/2007/relationships/stylesWithEffects" Target="stylesWithEffects.xml"/><Relationship Id="rId9" Type="http://schemas.openxmlformats.org/officeDocument/2006/relationships/hyperlink" Target="mailto:pieter.adriaens@vaph.b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VAPH_Leeg_met_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D4C8-DEFC-4FF3-BCB5-04595A4A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VAPH_Leeg_met_logo.dot</Template>
  <TotalTime>0</TotalTime>
  <Pages>7</Pages>
  <Words>2407</Words>
  <Characters>13240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15616</CharactersWithSpaces>
  <SharedDoc>false</SharedDoc>
  <HLinks>
    <vt:vector size="24" baseType="variant">
      <vt:variant>
        <vt:i4>6946834</vt:i4>
      </vt:variant>
      <vt:variant>
        <vt:i4>0</vt:i4>
      </vt:variant>
      <vt:variant>
        <vt:i4>0</vt:i4>
      </vt:variant>
      <vt:variant>
        <vt:i4>5</vt:i4>
      </vt:variant>
      <vt:variant>
        <vt:lpwstr>mailto:pieter.adriaens@vaph.be</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2071</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dc:creator>
  <cp:lastModifiedBy>Peter Bormans</cp:lastModifiedBy>
  <cp:revision>2</cp:revision>
  <cp:lastPrinted>2014-04-03T11:48:00Z</cp:lastPrinted>
  <dcterms:created xsi:type="dcterms:W3CDTF">2014-06-30T08:05:00Z</dcterms:created>
  <dcterms:modified xsi:type="dcterms:W3CDTF">2014-06-30T08:05:00Z</dcterms:modified>
</cp:coreProperties>
</file>