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720F" w:rsidRDefault="00CC720F">
      <w:pPr>
        <w:rPr>
          <w:rFonts w:ascii="Arial" w:eastAsia="Arial" w:hAnsi="Arial" w:cs="Arial"/>
          <w:b/>
          <w:sz w:val="12"/>
          <w:szCs w:val="12"/>
        </w:rPr>
      </w:pPr>
      <w:bookmarkStart w:id="0" w:name="_GoBack"/>
      <w:bookmarkEnd w:id="0"/>
    </w:p>
    <w:p w:rsidR="00CC720F" w:rsidRDefault="00CC720F">
      <w:pPr>
        <w:rPr>
          <w:rFonts w:ascii="Arial" w:eastAsia="Arial" w:hAnsi="Arial" w:cs="Arial"/>
          <w:sz w:val="34"/>
          <w:szCs w:val="34"/>
        </w:rPr>
      </w:pPr>
    </w:p>
    <w:tbl>
      <w:tblPr>
        <w:tblStyle w:val="a1"/>
        <w:tblW w:w="8880" w:type="dxa"/>
        <w:tblInd w:w="0" w:type="dxa"/>
        <w:tblLayout w:type="fixed"/>
        <w:tblLook w:val="0600" w:firstRow="0" w:lastRow="0" w:firstColumn="0" w:lastColumn="0" w:noHBand="1" w:noVBand="1"/>
      </w:tblPr>
      <w:tblGrid>
        <w:gridCol w:w="2490"/>
        <w:gridCol w:w="6390"/>
      </w:tblGrid>
      <w:tr w:rsidR="00CC720F">
        <w:tc>
          <w:tcPr>
            <w:tcW w:w="2490" w:type="dxa"/>
            <w:vMerge w:val="restart"/>
            <w:shd w:val="clear" w:color="auto" w:fill="auto"/>
            <w:tcMar>
              <w:top w:w="60" w:type="dxa"/>
              <w:left w:w="100" w:type="dxa"/>
              <w:bottom w:w="60" w:type="dxa"/>
              <w:right w:w="100" w:type="dxa"/>
            </w:tcMar>
          </w:tcPr>
          <w:p w:rsidR="00CC720F" w:rsidRDefault="00AC30DA">
            <w:pPr>
              <w:widowControl w:val="0"/>
              <w:spacing w:line="240" w:lineRule="auto"/>
            </w:pPr>
            <w:r>
              <w:rPr>
                <w:noProof/>
                <w:lang w:val="nl-BE"/>
              </w:rPr>
              <w:drawing>
                <wp:inline distT="114300" distB="114300" distL="114300" distR="114300" wp14:anchorId="543BC6A4" wp14:editId="14407558">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CC720F" w:rsidRDefault="00CC720F">
            <w:pPr>
              <w:widowControl w:val="0"/>
              <w:spacing w:line="240" w:lineRule="auto"/>
            </w:pPr>
          </w:p>
          <w:p w:rsidR="00CC720F" w:rsidRDefault="00AC30DA">
            <w:pPr>
              <w:widowControl w:val="0"/>
              <w:spacing w:line="240" w:lineRule="auto"/>
              <w:rPr>
                <w:color w:val="666666"/>
              </w:rPr>
            </w:pPr>
            <w:r>
              <w:rPr>
                <w:color w:val="666666"/>
              </w:rPr>
              <w:t>Zenithgebouw</w:t>
            </w:r>
          </w:p>
          <w:p w:rsidR="00CC720F" w:rsidRDefault="00AC30DA">
            <w:pPr>
              <w:widowControl w:val="0"/>
              <w:spacing w:line="240" w:lineRule="auto"/>
              <w:rPr>
                <w:color w:val="666666"/>
              </w:rPr>
            </w:pPr>
            <w:r>
              <w:rPr>
                <w:color w:val="666666"/>
              </w:rPr>
              <w:t>Koning Albert II-laan 37</w:t>
            </w:r>
            <w:r>
              <w:rPr>
                <w:color w:val="666666"/>
              </w:rPr>
              <w:br/>
              <w:t>1030 BRUSSEL</w:t>
            </w:r>
          </w:p>
          <w:p w:rsidR="00CC720F" w:rsidRDefault="00AC30DA">
            <w:pPr>
              <w:widowControl w:val="0"/>
              <w:spacing w:line="240" w:lineRule="auto"/>
            </w:pPr>
            <w:r>
              <w:t>www.vaph.be</w:t>
            </w:r>
          </w:p>
        </w:tc>
        <w:tc>
          <w:tcPr>
            <w:tcW w:w="6390" w:type="dxa"/>
            <w:shd w:val="clear" w:color="auto" w:fill="auto"/>
            <w:tcMar>
              <w:top w:w="60" w:type="dxa"/>
              <w:left w:w="100" w:type="dxa"/>
              <w:bottom w:w="60" w:type="dxa"/>
              <w:right w:w="100" w:type="dxa"/>
            </w:tcMar>
          </w:tcPr>
          <w:p w:rsidR="00CC720F" w:rsidRDefault="00CC720F">
            <w:pPr>
              <w:widowControl w:val="0"/>
              <w:jc w:val="right"/>
              <w:rPr>
                <w:b/>
                <w:sz w:val="36"/>
                <w:szCs w:val="36"/>
              </w:rPr>
            </w:pPr>
          </w:p>
          <w:p w:rsidR="00CC720F" w:rsidRDefault="00CC720F">
            <w:pPr>
              <w:widowControl w:val="0"/>
              <w:jc w:val="right"/>
              <w:rPr>
                <w:b/>
                <w:sz w:val="36"/>
                <w:szCs w:val="36"/>
              </w:rPr>
            </w:pPr>
          </w:p>
          <w:p w:rsidR="00CC720F" w:rsidRDefault="00AC30DA">
            <w:pPr>
              <w:widowControl w:val="0"/>
              <w:jc w:val="right"/>
              <w:rPr>
                <w:b/>
                <w:sz w:val="36"/>
                <w:szCs w:val="36"/>
              </w:rPr>
            </w:pPr>
            <w:r>
              <w:rPr>
                <w:b/>
                <w:sz w:val="36"/>
                <w:szCs w:val="36"/>
              </w:rPr>
              <w:t>INFONOTA</w:t>
            </w:r>
          </w:p>
        </w:tc>
      </w:tr>
      <w:tr w:rsidR="00CC720F">
        <w:tc>
          <w:tcPr>
            <w:tcW w:w="2490" w:type="dxa"/>
            <w:vMerge/>
            <w:shd w:val="clear" w:color="auto" w:fill="auto"/>
            <w:tcMar>
              <w:top w:w="100" w:type="dxa"/>
              <w:left w:w="100" w:type="dxa"/>
              <w:bottom w:w="100" w:type="dxa"/>
              <w:right w:w="100" w:type="dxa"/>
            </w:tcMar>
          </w:tcPr>
          <w:p w:rsidR="00CC720F" w:rsidRDefault="00CC720F">
            <w:pPr>
              <w:widowControl w:val="0"/>
            </w:pPr>
          </w:p>
        </w:tc>
        <w:tc>
          <w:tcPr>
            <w:tcW w:w="6390" w:type="dxa"/>
            <w:shd w:val="clear" w:color="auto" w:fill="auto"/>
            <w:tcMar>
              <w:top w:w="60" w:type="dxa"/>
              <w:left w:w="100" w:type="dxa"/>
              <w:bottom w:w="60" w:type="dxa"/>
              <w:right w:w="100" w:type="dxa"/>
            </w:tcMar>
          </w:tcPr>
          <w:p w:rsidR="00CC720F" w:rsidRDefault="00AC30DA">
            <w:pPr>
              <w:widowControl w:val="0"/>
              <w:jc w:val="right"/>
              <w:rPr>
                <w:b/>
                <w:sz w:val="26"/>
                <w:szCs w:val="26"/>
              </w:rPr>
            </w:pPr>
            <w:r>
              <w:rPr>
                <w:sz w:val="26"/>
                <w:szCs w:val="26"/>
              </w:rPr>
              <w:t>Aan: aanbieders van rechtstreeks toegankelijke hulp (RTH-diensten), bijstandsorganisaties, diensten ondersteuningsplan (DOP), groenezorginitiatieven, multifunctionele centra (MFC), observatie-/ diagnose- en behandelingsunits (ODB), organisaties voor vrijetijdszorg, ouderinitiatieven, revalidatiecentra (REVA), forensische VAPH-units, vergunde zorgaanbieders (VZA), gebruikersverenigingen met informatieloket</w:t>
            </w:r>
          </w:p>
        </w:tc>
      </w:tr>
      <w:tr w:rsidR="00CC720F">
        <w:tc>
          <w:tcPr>
            <w:tcW w:w="2490" w:type="dxa"/>
            <w:vMerge/>
            <w:shd w:val="clear" w:color="auto" w:fill="auto"/>
            <w:tcMar>
              <w:top w:w="100" w:type="dxa"/>
              <w:left w:w="100" w:type="dxa"/>
              <w:bottom w:w="100" w:type="dxa"/>
              <w:right w:w="100" w:type="dxa"/>
            </w:tcMar>
          </w:tcPr>
          <w:p w:rsidR="00CC720F" w:rsidRDefault="00CC720F">
            <w:pPr>
              <w:widowControl w:val="0"/>
            </w:pPr>
          </w:p>
        </w:tc>
        <w:tc>
          <w:tcPr>
            <w:tcW w:w="6390" w:type="dxa"/>
            <w:shd w:val="clear" w:color="auto" w:fill="auto"/>
            <w:tcMar>
              <w:top w:w="60" w:type="dxa"/>
              <w:left w:w="100" w:type="dxa"/>
              <w:bottom w:w="60" w:type="dxa"/>
              <w:right w:w="100" w:type="dxa"/>
            </w:tcMar>
          </w:tcPr>
          <w:p w:rsidR="00CC720F" w:rsidRDefault="00AC30DA">
            <w:pPr>
              <w:widowControl w:val="0"/>
              <w:jc w:val="right"/>
              <w:rPr>
                <w:color w:val="666666"/>
              </w:rPr>
            </w:pPr>
            <w:r>
              <w:rPr>
                <w:color w:val="666666"/>
              </w:rPr>
              <w:t>10/02/2021</w:t>
            </w:r>
          </w:p>
        </w:tc>
      </w:tr>
      <w:tr w:rsidR="00CC720F">
        <w:tc>
          <w:tcPr>
            <w:tcW w:w="2490" w:type="dxa"/>
            <w:vMerge/>
            <w:shd w:val="clear" w:color="auto" w:fill="auto"/>
            <w:tcMar>
              <w:top w:w="100" w:type="dxa"/>
              <w:left w:w="100" w:type="dxa"/>
              <w:bottom w:w="100" w:type="dxa"/>
              <w:right w:w="100" w:type="dxa"/>
            </w:tcMar>
          </w:tcPr>
          <w:p w:rsidR="00CC720F" w:rsidRDefault="00CC720F">
            <w:pPr>
              <w:widowControl w:val="0"/>
            </w:pPr>
          </w:p>
        </w:tc>
        <w:tc>
          <w:tcPr>
            <w:tcW w:w="6390" w:type="dxa"/>
            <w:shd w:val="clear" w:color="auto" w:fill="auto"/>
            <w:tcMar>
              <w:top w:w="60" w:type="dxa"/>
              <w:left w:w="100" w:type="dxa"/>
              <w:bottom w:w="60" w:type="dxa"/>
              <w:right w:w="100" w:type="dxa"/>
            </w:tcMar>
          </w:tcPr>
          <w:p w:rsidR="00CC720F" w:rsidRDefault="00AC30DA">
            <w:pPr>
              <w:widowControl w:val="0"/>
              <w:jc w:val="right"/>
              <w:rPr>
                <w:color w:val="666666"/>
              </w:rPr>
            </w:pPr>
            <w:r>
              <w:rPr>
                <w:color w:val="666666"/>
              </w:rPr>
              <w:t>INF/21/19</w:t>
            </w:r>
          </w:p>
        </w:tc>
      </w:tr>
      <w:tr w:rsidR="00CC720F">
        <w:tc>
          <w:tcPr>
            <w:tcW w:w="2490" w:type="dxa"/>
            <w:shd w:val="clear" w:color="auto" w:fill="auto"/>
            <w:tcMar>
              <w:top w:w="20" w:type="dxa"/>
              <w:left w:w="100" w:type="dxa"/>
              <w:bottom w:w="20" w:type="dxa"/>
              <w:right w:w="100" w:type="dxa"/>
            </w:tcMar>
          </w:tcPr>
          <w:p w:rsidR="00CC720F" w:rsidRDefault="00AC30DA">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CC720F" w:rsidRDefault="00CC720F">
            <w:pPr>
              <w:widowControl w:val="0"/>
            </w:pPr>
          </w:p>
        </w:tc>
      </w:tr>
      <w:tr w:rsidR="00CC720F">
        <w:tc>
          <w:tcPr>
            <w:tcW w:w="2490" w:type="dxa"/>
            <w:shd w:val="clear" w:color="auto" w:fill="auto"/>
            <w:tcMar>
              <w:top w:w="20" w:type="dxa"/>
              <w:left w:w="100" w:type="dxa"/>
              <w:bottom w:w="20" w:type="dxa"/>
              <w:right w:w="100" w:type="dxa"/>
            </w:tcMar>
          </w:tcPr>
          <w:p w:rsidR="00CC720F" w:rsidRDefault="00AC30DA">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CC720F" w:rsidRDefault="00AC30DA">
            <w:pPr>
              <w:widowControl w:val="0"/>
              <w:rPr>
                <w:sz w:val="20"/>
                <w:szCs w:val="20"/>
              </w:rPr>
            </w:pPr>
            <w:r>
              <w:rPr>
                <w:sz w:val="20"/>
                <w:szCs w:val="20"/>
              </w:rPr>
              <w:t>avf@vaph.be</w:t>
            </w:r>
          </w:p>
        </w:tc>
      </w:tr>
      <w:tr w:rsidR="00CC720F">
        <w:tc>
          <w:tcPr>
            <w:tcW w:w="2490" w:type="dxa"/>
            <w:shd w:val="clear" w:color="auto" w:fill="auto"/>
            <w:tcMar>
              <w:top w:w="20" w:type="dxa"/>
              <w:left w:w="100" w:type="dxa"/>
              <w:bottom w:w="20" w:type="dxa"/>
              <w:right w:w="100" w:type="dxa"/>
            </w:tcMar>
          </w:tcPr>
          <w:p w:rsidR="00CC720F" w:rsidRDefault="00AC30DA">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CC720F" w:rsidRDefault="00AC30DA">
            <w:pPr>
              <w:widowControl w:val="0"/>
              <w:rPr>
                <w:sz w:val="20"/>
                <w:szCs w:val="20"/>
              </w:rPr>
            </w:pPr>
            <w:r>
              <w:rPr>
                <w:sz w:val="20"/>
                <w:szCs w:val="20"/>
              </w:rPr>
              <w:t>Cliëntregistratie: 02/249 33 66</w:t>
            </w:r>
          </w:p>
          <w:p w:rsidR="00CC720F" w:rsidRDefault="00AC30DA">
            <w:pPr>
              <w:widowControl w:val="0"/>
              <w:rPr>
                <w:sz w:val="20"/>
                <w:szCs w:val="20"/>
              </w:rPr>
            </w:pPr>
            <w:r>
              <w:rPr>
                <w:sz w:val="20"/>
                <w:szCs w:val="20"/>
              </w:rPr>
              <w:t>Afrekeningen:  02/249 33 55</w:t>
            </w:r>
          </w:p>
        </w:tc>
      </w:tr>
      <w:tr w:rsidR="00CC720F">
        <w:tc>
          <w:tcPr>
            <w:tcW w:w="2490" w:type="dxa"/>
            <w:shd w:val="clear" w:color="auto" w:fill="auto"/>
            <w:tcMar>
              <w:top w:w="20" w:type="dxa"/>
              <w:left w:w="100" w:type="dxa"/>
              <w:bottom w:w="20" w:type="dxa"/>
              <w:right w:w="100" w:type="dxa"/>
            </w:tcMar>
          </w:tcPr>
          <w:p w:rsidR="00CC720F" w:rsidRDefault="00AC30DA">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CC720F" w:rsidRDefault="00CC720F">
            <w:pPr>
              <w:widowControl w:val="0"/>
              <w:rPr>
                <w:sz w:val="20"/>
                <w:szCs w:val="20"/>
              </w:rPr>
            </w:pPr>
          </w:p>
        </w:tc>
      </w:tr>
      <w:tr w:rsidR="00CC720F">
        <w:tc>
          <w:tcPr>
            <w:tcW w:w="8880" w:type="dxa"/>
            <w:gridSpan w:val="2"/>
            <w:shd w:val="clear" w:color="auto" w:fill="auto"/>
            <w:tcMar>
              <w:top w:w="60" w:type="dxa"/>
              <w:left w:w="100" w:type="dxa"/>
              <w:bottom w:w="60" w:type="dxa"/>
              <w:right w:w="100" w:type="dxa"/>
            </w:tcMar>
          </w:tcPr>
          <w:p w:rsidR="00CC720F" w:rsidRDefault="00CC720F">
            <w:pPr>
              <w:widowControl w:val="0"/>
              <w:rPr>
                <w:sz w:val="34"/>
                <w:szCs w:val="34"/>
              </w:rPr>
            </w:pPr>
          </w:p>
        </w:tc>
      </w:tr>
      <w:tr w:rsidR="00CC720F">
        <w:tc>
          <w:tcPr>
            <w:tcW w:w="8880" w:type="dxa"/>
            <w:gridSpan w:val="2"/>
            <w:shd w:val="clear" w:color="auto" w:fill="auto"/>
            <w:tcMar>
              <w:top w:w="60" w:type="dxa"/>
              <w:left w:w="100" w:type="dxa"/>
              <w:bottom w:w="60" w:type="dxa"/>
              <w:right w:w="100" w:type="dxa"/>
            </w:tcMar>
          </w:tcPr>
          <w:p w:rsidR="00CC720F" w:rsidRDefault="00AC30DA">
            <w:pPr>
              <w:rPr>
                <w:sz w:val="34"/>
                <w:szCs w:val="34"/>
              </w:rPr>
            </w:pPr>
            <w:r>
              <w:rPr>
                <w:sz w:val="34"/>
                <w:szCs w:val="34"/>
              </w:rPr>
              <w:t>Indexering 2021</w:t>
            </w:r>
          </w:p>
        </w:tc>
      </w:tr>
      <w:tr w:rsidR="00CC720F">
        <w:tc>
          <w:tcPr>
            <w:tcW w:w="8880" w:type="dxa"/>
            <w:gridSpan w:val="2"/>
            <w:shd w:val="clear" w:color="auto" w:fill="auto"/>
            <w:tcMar>
              <w:top w:w="60" w:type="dxa"/>
              <w:left w:w="100" w:type="dxa"/>
              <w:bottom w:w="60" w:type="dxa"/>
              <w:right w:w="100" w:type="dxa"/>
            </w:tcMar>
          </w:tcPr>
          <w:p w:rsidR="00CC720F" w:rsidRDefault="00AC30DA">
            <w:pPr>
              <w:widowControl w:val="0"/>
              <w:jc w:val="right"/>
              <w:rPr>
                <w:sz w:val="20"/>
                <w:szCs w:val="20"/>
              </w:rPr>
            </w:pPr>
            <w:r>
              <w:rPr>
                <w:sz w:val="20"/>
                <w:szCs w:val="20"/>
              </w:rPr>
              <w:t xml:space="preserve"> </w:t>
            </w:r>
          </w:p>
        </w:tc>
      </w:tr>
    </w:tbl>
    <w:p w:rsidR="00CC720F" w:rsidRDefault="00AC30DA">
      <w:pPr>
        <w:spacing w:line="240" w:lineRule="auto"/>
        <w:rPr>
          <w:rFonts w:ascii="Times New Roman" w:eastAsia="Times New Roman" w:hAnsi="Times New Roman" w:cs="Times New Roman"/>
          <w:sz w:val="24"/>
          <w:szCs w:val="24"/>
        </w:rPr>
      </w:pPr>
      <w:r>
        <w:t>Persoonlijke bijdragen, subsidiebedragen, supplementen enzovoort kunnen op basis van de gezondheidsindex geïndexeerd worden. Door besparingsmaatregelen worden niet alle bedragen geïndexeerd.</w:t>
      </w:r>
    </w:p>
    <w:p w:rsidR="00CC720F" w:rsidRDefault="00CC720F">
      <w:pPr>
        <w:spacing w:line="240" w:lineRule="auto"/>
        <w:rPr>
          <w:rFonts w:ascii="Times New Roman" w:eastAsia="Times New Roman" w:hAnsi="Times New Roman" w:cs="Times New Roman"/>
          <w:sz w:val="24"/>
          <w:szCs w:val="24"/>
        </w:rPr>
      </w:pPr>
    </w:p>
    <w:p w:rsidR="00CC720F" w:rsidRDefault="00AC30DA">
      <w:pPr>
        <w:spacing w:line="240" w:lineRule="auto"/>
        <w:rPr>
          <w:rFonts w:ascii="Times New Roman" w:eastAsia="Times New Roman" w:hAnsi="Times New Roman" w:cs="Times New Roman"/>
          <w:sz w:val="24"/>
          <w:szCs w:val="24"/>
        </w:rPr>
      </w:pPr>
      <w:r>
        <w:t>In 2020 werd de spilindex overschreden. Die bedragen werden dan ook geïndexeerd.</w:t>
      </w:r>
    </w:p>
    <w:p w:rsidR="00CC720F" w:rsidRDefault="00CC720F">
      <w:pPr>
        <w:spacing w:line="240" w:lineRule="auto"/>
        <w:rPr>
          <w:rFonts w:ascii="Times New Roman" w:eastAsia="Times New Roman" w:hAnsi="Times New Roman" w:cs="Times New Roman"/>
          <w:sz w:val="24"/>
          <w:szCs w:val="24"/>
        </w:rPr>
      </w:pPr>
    </w:p>
    <w:p w:rsidR="00CC720F" w:rsidRDefault="00AC30DA">
      <w:pPr>
        <w:spacing w:line="240" w:lineRule="auto"/>
        <w:rPr>
          <w:rFonts w:ascii="Times New Roman" w:eastAsia="Times New Roman" w:hAnsi="Times New Roman" w:cs="Times New Roman"/>
          <w:sz w:val="24"/>
          <w:szCs w:val="24"/>
        </w:rPr>
      </w:pPr>
      <w:r>
        <w:t>In onderstaande tabellen vindt u een overzicht die bedragen met hun eventuele link naar de VAPH website (</w:t>
      </w:r>
      <w:hyperlink r:id="rId9">
        <w:r>
          <w:rPr>
            <w:color w:val="1155CC"/>
            <w:u w:val="single"/>
          </w:rPr>
          <w:t>www.vaph.be</w:t>
        </w:r>
      </w:hyperlink>
      <w:r>
        <w:t>).</w:t>
      </w:r>
    </w:p>
    <w:p w:rsidR="00CC720F" w:rsidRDefault="00CC720F">
      <w:pPr>
        <w:spacing w:line="240" w:lineRule="auto"/>
        <w:rPr>
          <w:rFonts w:ascii="Times New Roman" w:eastAsia="Times New Roman" w:hAnsi="Times New Roman" w:cs="Times New Roman"/>
          <w:sz w:val="24"/>
          <w:szCs w:val="24"/>
        </w:rPr>
      </w:pPr>
    </w:p>
    <w:p w:rsidR="00CC720F" w:rsidRDefault="00CC720F">
      <w:pPr>
        <w:spacing w:line="240" w:lineRule="auto"/>
        <w:rPr>
          <w:b/>
          <w:sz w:val="34"/>
          <w:szCs w:val="34"/>
        </w:rPr>
      </w:pPr>
    </w:p>
    <w:p w:rsidR="00CC720F" w:rsidRDefault="00AC30DA">
      <w:pPr>
        <w:spacing w:line="240" w:lineRule="auto"/>
        <w:rPr>
          <w:rFonts w:ascii="Times New Roman" w:eastAsia="Times New Roman" w:hAnsi="Times New Roman" w:cs="Times New Roman"/>
          <w:b/>
          <w:sz w:val="36"/>
          <w:szCs w:val="36"/>
        </w:rPr>
      </w:pPr>
      <w:r>
        <w:rPr>
          <w:b/>
          <w:sz w:val="34"/>
          <w:szCs w:val="34"/>
        </w:rPr>
        <w:t xml:space="preserve">Geïndexeerde bedragen </w:t>
      </w:r>
      <w:r>
        <w:rPr>
          <w:b/>
          <w:sz w:val="38"/>
          <w:szCs w:val="38"/>
        </w:rPr>
        <w:t>op basis van de gezondheidsindex</w:t>
      </w:r>
    </w:p>
    <w:p w:rsidR="00CC720F" w:rsidRDefault="00CC720F">
      <w:pPr>
        <w:spacing w:line="240" w:lineRule="auto"/>
        <w:rPr>
          <w:rFonts w:ascii="Times New Roman" w:eastAsia="Times New Roman" w:hAnsi="Times New Roman" w:cs="Times New Roman"/>
          <w:sz w:val="24"/>
          <w:szCs w:val="24"/>
        </w:rPr>
      </w:pPr>
    </w:p>
    <w:p w:rsidR="00CC720F" w:rsidRDefault="00AC30DA">
      <w:pPr>
        <w:spacing w:line="240" w:lineRule="auto"/>
        <w:rPr>
          <w:b/>
        </w:rPr>
      </w:pPr>
      <w:r>
        <w:rPr>
          <w:b/>
        </w:rPr>
        <w:t>Tabel met een overzicht van de maximale persoonlijke bijdragen geïndexeerd op 1 januari 2021.</w:t>
      </w:r>
    </w:p>
    <w:p w:rsidR="00CC720F" w:rsidRDefault="00CC720F">
      <w:pPr>
        <w:spacing w:line="240" w:lineRule="auto"/>
        <w:rPr>
          <w:b/>
        </w:rPr>
      </w:pPr>
    </w:p>
    <w:tbl>
      <w:tblPr>
        <w:tblStyle w:val="a2"/>
        <w:tblW w:w="9881" w:type="dxa"/>
        <w:tblInd w:w="85" w:type="dxa"/>
        <w:tblLayout w:type="fixed"/>
        <w:tblLook w:val="0400" w:firstRow="0" w:lastRow="0" w:firstColumn="0" w:lastColumn="0" w:noHBand="0" w:noVBand="1"/>
      </w:tblPr>
      <w:tblGrid>
        <w:gridCol w:w="2288"/>
        <w:gridCol w:w="3086"/>
        <w:gridCol w:w="4507"/>
      </w:tblGrid>
      <w:tr w:rsidR="00CC720F">
        <w:trPr>
          <w:trHeight w:val="440"/>
        </w:trPr>
        <w:tc>
          <w:tcPr>
            <w:tcW w:w="53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rPr>
                <w:b/>
                <w:sz w:val="24"/>
                <w:szCs w:val="24"/>
              </w:rPr>
              <w:t>Rechtstreeks toegankelijke hul</w:t>
            </w:r>
            <w:r>
              <w:rPr>
                <w:b/>
                <w:sz w:val="28"/>
                <w:szCs w:val="28"/>
              </w:rPr>
              <w:t>p (RTH)</w:t>
            </w: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spacing w:line="240" w:lineRule="auto"/>
              <w:rPr>
                <w:rFonts w:ascii="Times New Roman" w:eastAsia="Times New Roman" w:hAnsi="Times New Roman" w:cs="Times New Roman"/>
                <w:sz w:val="24"/>
                <w:szCs w:val="24"/>
              </w:rPr>
            </w:pPr>
          </w:p>
        </w:tc>
      </w:tr>
      <w:tr w:rsidR="00CC720F">
        <w:trPr>
          <w:trHeight w:val="420"/>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rPr>
                <w:b/>
              </w:rPr>
              <w:t>Ondersteuningsfunctie</w:t>
            </w: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rPr>
                <w:b/>
              </w:rPr>
              <w:t>Maximale persoonlijke bijdrage</w:t>
            </w: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rPr>
                <w:b/>
              </w:rPr>
              <w:t>Link naar de website</w:t>
            </w:r>
          </w:p>
        </w:tc>
      </w:tr>
      <w:tr w:rsidR="00CC720F">
        <w:trPr>
          <w:trHeight w:val="420"/>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Ambulante begeleiding</w:t>
            </w: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color w:val="0000FF"/>
                <w:sz w:val="24"/>
                <w:szCs w:val="24"/>
              </w:rPr>
            </w:pPr>
            <w:r>
              <w:rPr>
                <w:color w:val="0000FF"/>
              </w:rPr>
              <w:t>5,43 euro</w:t>
            </w:r>
          </w:p>
        </w:tc>
        <w:tc>
          <w:tcPr>
            <w:tcW w:w="450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spacing w:line="240" w:lineRule="auto"/>
              <w:rPr>
                <w:rFonts w:ascii="Times New Roman" w:eastAsia="Times New Roman" w:hAnsi="Times New Roman" w:cs="Times New Roman"/>
                <w:sz w:val="24"/>
                <w:szCs w:val="24"/>
              </w:rPr>
            </w:pPr>
            <w:hyperlink r:id="rId10">
              <w:r w:rsidR="00AC30DA">
                <w:rPr>
                  <w:color w:val="1155CC"/>
                  <w:u w:val="single"/>
                </w:rPr>
                <w:t>Wat kost RTH?</w:t>
              </w:r>
            </w:hyperlink>
          </w:p>
          <w:p w:rsidR="00CC720F" w:rsidRDefault="00E85002">
            <w:pPr>
              <w:spacing w:line="240" w:lineRule="auto"/>
              <w:rPr>
                <w:rFonts w:ascii="Times New Roman" w:eastAsia="Times New Roman" w:hAnsi="Times New Roman" w:cs="Times New Roman"/>
                <w:sz w:val="24"/>
                <w:szCs w:val="24"/>
              </w:rPr>
            </w:pPr>
            <w:hyperlink r:id="rId11">
              <w:r w:rsidR="00AC30DA">
                <w:rPr>
                  <w:color w:val="1155CC"/>
                  <w:u w:val="single"/>
                </w:rPr>
                <w:t>Bijdragen per ondersteuningsvorm en per leeftijd</w:t>
              </w:r>
            </w:hyperlink>
          </w:p>
        </w:tc>
      </w:tr>
      <w:tr w:rsidR="00CC720F">
        <w:trPr>
          <w:trHeight w:val="420"/>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Mobiele begeleiding</w:t>
            </w: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color w:val="0000FF"/>
                <w:sz w:val="24"/>
                <w:szCs w:val="24"/>
              </w:rPr>
            </w:pPr>
            <w:r>
              <w:rPr>
                <w:color w:val="0000FF"/>
              </w:rPr>
              <w:t>5,43 euro</w:t>
            </w:r>
          </w:p>
        </w:tc>
        <w:tc>
          <w:tcPr>
            <w:tcW w:w="450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sz w:val="24"/>
                <w:szCs w:val="24"/>
              </w:rPr>
            </w:pPr>
          </w:p>
        </w:tc>
      </w:tr>
      <w:tr w:rsidR="00CC720F">
        <w:trPr>
          <w:trHeight w:val="420"/>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Groepsbegeleiding</w:t>
            </w: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color w:val="0000FF"/>
                <w:sz w:val="24"/>
                <w:szCs w:val="24"/>
              </w:rPr>
            </w:pPr>
            <w:r>
              <w:rPr>
                <w:color w:val="0000FF"/>
              </w:rPr>
              <w:t>5,43 euro</w:t>
            </w:r>
          </w:p>
        </w:tc>
        <w:tc>
          <w:tcPr>
            <w:tcW w:w="450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sz w:val="24"/>
                <w:szCs w:val="24"/>
              </w:rPr>
            </w:pPr>
          </w:p>
        </w:tc>
      </w:tr>
      <w:tr w:rsidR="00CC720F">
        <w:trPr>
          <w:trHeight w:val="420"/>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Dagopvang (dag)</w:t>
            </w: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color w:val="0000FF"/>
                <w:sz w:val="24"/>
                <w:szCs w:val="24"/>
              </w:rPr>
            </w:pPr>
            <w:r>
              <w:rPr>
                <w:color w:val="0000FF"/>
              </w:rPr>
              <w:t>10,31 euro</w:t>
            </w:r>
            <w:r>
              <w:rPr>
                <w:color w:val="0000FF"/>
              </w:rPr>
              <w:tab/>
            </w:r>
          </w:p>
        </w:tc>
        <w:tc>
          <w:tcPr>
            <w:tcW w:w="450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sz w:val="24"/>
                <w:szCs w:val="24"/>
              </w:rPr>
            </w:pPr>
          </w:p>
        </w:tc>
      </w:tr>
      <w:tr w:rsidR="00CC720F">
        <w:trPr>
          <w:trHeight w:val="420"/>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Verblijf (nacht)</w:t>
            </w: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color w:val="0000FF"/>
                <w:sz w:val="24"/>
                <w:szCs w:val="24"/>
              </w:rPr>
            </w:pPr>
            <w:r>
              <w:rPr>
                <w:color w:val="0000FF"/>
              </w:rPr>
              <w:t>25,94 euro</w:t>
            </w:r>
          </w:p>
        </w:tc>
        <w:tc>
          <w:tcPr>
            <w:tcW w:w="450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sz w:val="24"/>
                <w:szCs w:val="24"/>
              </w:rPr>
            </w:pPr>
          </w:p>
        </w:tc>
      </w:tr>
    </w:tbl>
    <w:p w:rsidR="00CC720F" w:rsidRDefault="00CC720F">
      <w:pPr>
        <w:spacing w:line="240" w:lineRule="auto"/>
        <w:rPr>
          <w:rFonts w:ascii="Times New Roman" w:eastAsia="Times New Roman" w:hAnsi="Times New Roman" w:cs="Times New Roman"/>
          <w:sz w:val="24"/>
          <w:szCs w:val="24"/>
        </w:rPr>
      </w:pPr>
    </w:p>
    <w:tbl>
      <w:tblPr>
        <w:tblStyle w:val="a3"/>
        <w:tblW w:w="9881" w:type="dxa"/>
        <w:tblInd w:w="85" w:type="dxa"/>
        <w:tblLayout w:type="fixed"/>
        <w:tblLook w:val="0400" w:firstRow="0" w:lastRow="0" w:firstColumn="0" w:lastColumn="0" w:noHBand="0" w:noVBand="1"/>
      </w:tblPr>
      <w:tblGrid>
        <w:gridCol w:w="2288"/>
        <w:gridCol w:w="3086"/>
        <w:gridCol w:w="4507"/>
      </w:tblGrid>
      <w:tr w:rsidR="00CC720F">
        <w:trPr>
          <w:trHeight w:val="502"/>
        </w:trPr>
        <w:tc>
          <w:tcPr>
            <w:tcW w:w="53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rPr>
                <w:b/>
                <w:sz w:val="24"/>
                <w:szCs w:val="24"/>
              </w:rPr>
              <w:t>Kortverblijf / Respijtzorg</w:t>
            </w: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spacing w:line="240" w:lineRule="auto"/>
              <w:rPr>
                <w:rFonts w:ascii="Times New Roman" w:eastAsia="Times New Roman" w:hAnsi="Times New Roman" w:cs="Times New Roman"/>
                <w:sz w:val="24"/>
                <w:szCs w:val="24"/>
              </w:rPr>
            </w:pPr>
          </w:p>
        </w:tc>
      </w:tr>
      <w:tr w:rsidR="00CC720F">
        <w:trPr>
          <w:trHeight w:val="502"/>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rPr>
                <w:b/>
              </w:rPr>
              <w:t>Ondersteuningsfunctie</w:t>
            </w: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rPr>
                <w:b/>
              </w:rPr>
              <w:t>Maximale persoonlijke bijdrage</w:t>
            </w: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rPr>
                <w:b/>
              </w:rPr>
              <w:t>Link naar de website</w:t>
            </w:r>
          </w:p>
        </w:tc>
      </w:tr>
      <w:tr w:rsidR="00CC720F">
        <w:trPr>
          <w:trHeight w:val="502"/>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Verblijf (nacht)</w:t>
            </w: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color w:val="0000FF"/>
                <w:sz w:val="24"/>
                <w:szCs w:val="24"/>
              </w:rPr>
            </w:pPr>
            <w:r>
              <w:rPr>
                <w:color w:val="0000FF"/>
              </w:rPr>
              <w:t>25,94 euro</w:t>
            </w: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spacing w:line="240" w:lineRule="auto"/>
              <w:rPr>
                <w:rFonts w:ascii="Times New Roman" w:eastAsia="Times New Roman" w:hAnsi="Times New Roman" w:cs="Times New Roman"/>
                <w:sz w:val="24"/>
                <w:szCs w:val="24"/>
              </w:rPr>
            </w:pPr>
          </w:p>
        </w:tc>
      </w:tr>
      <w:tr w:rsidR="00CC720F">
        <w:trPr>
          <w:trHeight w:val="502"/>
        </w:trPr>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verblijf en dagopvang</w:t>
            </w: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color w:val="0000FF"/>
                <w:sz w:val="24"/>
                <w:szCs w:val="24"/>
              </w:rPr>
            </w:pPr>
            <w:r>
              <w:rPr>
                <w:color w:val="0000FF"/>
              </w:rPr>
              <w:t>36,25 euro</w:t>
            </w: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sz w:val="24"/>
                <w:szCs w:val="24"/>
              </w:rPr>
            </w:pPr>
          </w:p>
        </w:tc>
      </w:tr>
    </w:tbl>
    <w:p w:rsidR="00CC720F" w:rsidRDefault="00CC720F">
      <w:pPr>
        <w:spacing w:after="240" w:line="240" w:lineRule="auto"/>
        <w:rPr>
          <w:rFonts w:ascii="Times New Roman" w:eastAsia="Times New Roman" w:hAnsi="Times New Roman" w:cs="Times New Roman"/>
          <w:sz w:val="24"/>
          <w:szCs w:val="24"/>
        </w:rPr>
      </w:pPr>
    </w:p>
    <w:p w:rsidR="00CC720F" w:rsidRDefault="00AC30DA">
      <w:pPr>
        <w:spacing w:line="240" w:lineRule="auto"/>
      </w:pPr>
      <w:r>
        <w:t xml:space="preserve">Tabel met het bedrag beheer van gelden en goederen geïndexeerd op 1 januari 2021 </w:t>
      </w:r>
    </w:p>
    <w:p w:rsidR="00CC720F" w:rsidRDefault="00AC30DA">
      <w:pPr>
        <w:spacing w:line="240" w:lineRule="auto"/>
      </w:pPr>
      <w:r>
        <w:t>De besteding van kleine sommen in het kader van dagelijkse uitgaven (zakgeld), die het maandbedrag niet overstijgen, valt buiten de toepassing van het besluit. Er dient maandelijks een gedetailleerde afrekening van deze dagelijkse uitgaven te worden gemaakt. moet maken.</w:t>
      </w:r>
    </w:p>
    <w:p w:rsidR="00CC720F" w:rsidRDefault="00CC720F">
      <w:pPr>
        <w:spacing w:line="240" w:lineRule="auto"/>
      </w:pPr>
    </w:p>
    <w:tbl>
      <w:tblPr>
        <w:tblStyle w:val="a4"/>
        <w:tblW w:w="9945" w:type="dxa"/>
        <w:tblInd w:w="60" w:type="dxa"/>
        <w:tblLayout w:type="fixed"/>
        <w:tblLook w:val="0400" w:firstRow="0" w:lastRow="0" w:firstColumn="0" w:lastColumn="0" w:noHBand="0" w:noVBand="1"/>
      </w:tblPr>
      <w:tblGrid>
        <w:gridCol w:w="3000"/>
        <w:gridCol w:w="2340"/>
        <w:gridCol w:w="4605"/>
      </w:tblGrid>
      <w:tr w:rsidR="00CC720F">
        <w:trPr>
          <w:trHeight w:val="617"/>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Beheer gelden en goederen</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color w:val="0000FF"/>
                <w:sz w:val="27"/>
                <w:szCs w:val="27"/>
              </w:rPr>
            </w:pPr>
            <w:r>
              <w:rPr>
                <w:color w:val="0000FF"/>
              </w:rPr>
              <w:t>158,71 euro per maand</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rPr>
                <w:rFonts w:ascii="Times New Roman" w:eastAsia="Times New Roman" w:hAnsi="Times New Roman" w:cs="Times New Roman"/>
                <w:sz w:val="24"/>
                <w:szCs w:val="24"/>
              </w:rPr>
            </w:pPr>
            <w:hyperlink r:id="rId12">
              <w:r w:rsidR="00AC30DA">
                <w:rPr>
                  <w:color w:val="1155CC"/>
                  <w:u w:val="single"/>
                </w:rPr>
                <w:t>Bijdragen per ondersteuningsvorm en per leeftijd</w:t>
              </w:r>
            </w:hyperlink>
          </w:p>
        </w:tc>
      </w:tr>
    </w:tbl>
    <w:p w:rsidR="00CC720F" w:rsidRDefault="00CC720F">
      <w:pPr>
        <w:spacing w:line="240" w:lineRule="auto"/>
        <w:rPr>
          <w:rFonts w:ascii="Times New Roman" w:eastAsia="Times New Roman" w:hAnsi="Times New Roman" w:cs="Times New Roman"/>
          <w:sz w:val="24"/>
          <w:szCs w:val="24"/>
        </w:rPr>
      </w:pPr>
    </w:p>
    <w:p w:rsidR="00CC720F" w:rsidRDefault="00AC30DA">
      <w:pPr>
        <w:spacing w:line="240" w:lineRule="auto"/>
      </w:pPr>
      <w:r>
        <w:t>Tabel met de omslagsleutel per punt geïndexeerd op 1 januari 2021.</w:t>
      </w:r>
    </w:p>
    <w:p w:rsidR="00CC720F" w:rsidRDefault="00AC30DA">
      <w:pPr>
        <w:spacing w:line="240" w:lineRule="auto"/>
      </w:pPr>
      <w:r>
        <w:t>Een persoonsvolgend budget wordt uitgedrukt in zorggebonden personeelspunten. De omslagsleutel om die punten te vertalen in euro’s wordt jaarlijks geïndexeerd.</w:t>
      </w:r>
    </w:p>
    <w:p w:rsidR="00CC720F" w:rsidRDefault="00CC720F">
      <w:pPr>
        <w:spacing w:line="240" w:lineRule="auto"/>
      </w:pPr>
    </w:p>
    <w:tbl>
      <w:tblPr>
        <w:tblStyle w:val="a5"/>
        <w:tblW w:w="9960" w:type="dxa"/>
        <w:tblInd w:w="45" w:type="dxa"/>
        <w:tblLayout w:type="fixed"/>
        <w:tblLook w:val="0400" w:firstRow="0" w:lastRow="0" w:firstColumn="0" w:lastColumn="0" w:noHBand="0" w:noVBand="1"/>
      </w:tblPr>
      <w:tblGrid>
        <w:gridCol w:w="3000"/>
        <w:gridCol w:w="2355"/>
        <w:gridCol w:w="4605"/>
      </w:tblGrid>
      <w:tr w:rsidR="00CC720F">
        <w:trPr>
          <w:trHeight w:val="617"/>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Omslagsleutel voucher in punten naar bedrag in euro</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color w:val="0000FF"/>
                <w:sz w:val="27"/>
                <w:szCs w:val="27"/>
              </w:rPr>
            </w:pPr>
            <w:r>
              <w:rPr>
                <w:color w:val="0000FF"/>
              </w:rPr>
              <w:t>868,83 euro per punt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rPr>
                <w:rFonts w:ascii="Times New Roman" w:eastAsia="Times New Roman" w:hAnsi="Times New Roman" w:cs="Times New Roman"/>
                <w:sz w:val="24"/>
                <w:szCs w:val="24"/>
              </w:rPr>
            </w:pPr>
          </w:p>
        </w:tc>
      </w:tr>
    </w:tbl>
    <w:p w:rsidR="00CC720F" w:rsidRDefault="00CC720F">
      <w:pPr>
        <w:spacing w:line="240" w:lineRule="auto"/>
        <w:rPr>
          <w:rFonts w:ascii="Times New Roman" w:eastAsia="Times New Roman" w:hAnsi="Times New Roman" w:cs="Times New Roman"/>
          <w:b/>
          <w:sz w:val="24"/>
          <w:szCs w:val="24"/>
        </w:rPr>
      </w:pPr>
    </w:p>
    <w:p w:rsidR="00CC720F" w:rsidRDefault="00CC720F">
      <w:pPr>
        <w:spacing w:line="240" w:lineRule="auto"/>
        <w:rPr>
          <w:b/>
        </w:rPr>
      </w:pPr>
    </w:p>
    <w:p w:rsidR="008E464F" w:rsidRDefault="008E464F">
      <w:pPr>
        <w:spacing w:line="240" w:lineRule="auto"/>
        <w:rPr>
          <w:b/>
        </w:rPr>
      </w:pPr>
    </w:p>
    <w:p w:rsidR="00CC720F" w:rsidRDefault="00AC30DA">
      <w:pPr>
        <w:spacing w:line="240" w:lineRule="auto"/>
        <w:rPr>
          <w:b/>
        </w:rPr>
      </w:pPr>
      <w:r>
        <w:rPr>
          <w:b/>
        </w:rPr>
        <w:lastRenderedPageBreak/>
        <w:t>Tabel met overzicht van de subsidiebedragen geïndexeerd op 1 januari 2021.</w:t>
      </w:r>
    </w:p>
    <w:p w:rsidR="00CC720F" w:rsidRDefault="00CC720F">
      <w:pPr>
        <w:spacing w:line="240" w:lineRule="auto"/>
        <w:rPr>
          <w:b/>
        </w:rPr>
      </w:pPr>
    </w:p>
    <w:tbl>
      <w:tblPr>
        <w:tblStyle w:val="a6"/>
        <w:tblW w:w="9981" w:type="dxa"/>
        <w:tblInd w:w="0" w:type="dxa"/>
        <w:tblLayout w:type="fixed"/>
        <w:tblLook w:val="0400" w:firstRow="0" w:lastRow="0" w:firstColumn="0" w:lastColumn="0" w:noHBand="0" w:noVBand="1"/>
      </w:tblPr>
      <w:tblGrid>
        <w:gridCol w:w="4287"/>
        <w:gridCol w:w="3146"/>
        <w:gridCol w:w="2548"/>
      </w:tblGrid>
      <w:tr w:rsidR="00CC720F">
        <w:trPr>
          <w:trHeight w:val="440"/>
        </w:trPr>
        <w:tc>
          <w:tcPr>
            <w:tcW w:w="998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rPr>
                <w:b/>
                <w:sz w:val="24"/>
                <w:szCs w:val="24"/>
              </w:rPr>
              <w:t>Vergoedingen en subsidie Vlaamse Communicatie Assistentie Bureau voor Doven vzw (CAB)</w:t>
            </w:r>
          </w:p>
        </w:tc>
      </w:tr>
      <w:tr w:rsidR="00CC720F">
        <w:trPr>
          <w:trHeight w:val="420"/>
        </w:trPr>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Tolken Vlaamse gebarentaal</w:t>
            </w:r>
          </w:p>
        </w:tc>
        <w:tc>
          <w:tcPr>
            <w:tcW w:w="3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rPr>
                <w:color w:val="0000FF"/>
              </w:rPr>
              <w:t>39,05</w:t>
            </w:r>
            <w:r>
              <w:t xml:space="preserve"> euro per gefactureerd vol of begonnen uur plus 0,25 euro per afgelegde kilometer</w:t>
            </w:r>
          </w:p>
        </w:tc>
        <w:tc>
          <w:tcPr>
            <w:tcW w:w="2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spacing w:line="240" w:lineRule="auto"/>
              <w:rPr>
                <w:rFonts w:ascii="Times New Roman" w:eastAsia="Times New Roman" w:hAnsi="Times New Roman" w:cs="Times New Roman"/>
                <w:sz w:val="24"/>
                <w:szCs w:val="24"/>
              </w:rPr>
            </w:pPr>
          </w:p>
        </w:tc>
      </w:tr>
      <w:tr w:rsidR="00CC720F">
        <w:trPr>
          <w:trHeight w:val="440"/>
        </w:trPr>
        <w:tc>
          <w:tcPr>
            <w:tcW w:w="998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rPr>
                <w:b/>
                <w:sz w:val="24"/>
                <w:szCs w:val="24"/>
              </w:rPr>
              <w:t>Subsidie gebruikersverenigingen</w:t>
            </w:r>
          </w:p>
        </w:tc>
      </w:tr>
      <w:tr w:rsidR="00CC720F">
        <w:trPr>
          <w:trHeight w:val="420"/>
        </w:trPr>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Vanaf 10.000 leden</w:t>
            </w:r>
          </w:p>
        </w:tc>
        <w:tc>
          <w:tcPr>
            <w:tcW w:w="3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color w:val="0000FF"/>
                <w:sz w:val="24"/>
                <w:szCs w:val="24"/>
              </w:rPr>
            </w:pPr>
            <w:r>
              <w:rPr>
                <w:color w:val="0000FF"/>
              </w:rPr>
              <w:t>101.209,79 euro</w:t>
            </w:r>
          </w:p>
        </w:tc>
        <w:tc>
          <w:tcPr>
            <w:tcW w:w="25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spacing w:line="240" w:lineRule="auto"/>
              <w:rPr>
                <w:rFonts w:ascii="Times New Roman" w:eastAsia="Times New Roman" w:hAnsi="Times New Roman" w:cs="Times New Roman"/>
                <w:sz w:val="24"/>
                <w:szCs w:val="24"/>
              </w:rPr>
            </w:pPr>
            <w:hyperlink r:id="rId13">
              <w:r w:rsidR="00AC30DA">
                <w:rPr>
                  <w:color w:val="1155CC"/>
                  <w:u w:val="single"/>
                </w:rPr>
                <w:t>Subsidiëring (gebruikersvereniging)</w:t>
              </w:r>
            </w:hyperlink>
          </w:p>
        </w:tc>
      </w:tr>
      <w:tr w:rsidR="00CC720F">
        <w:trPr>
          <w:trHeight w:val="420"/>
        </w:trPr>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Minder dan 10.000 leden - vereniging als penhouder  met samenwerkingsverband met andere verenigingen</w:t>
            </w:r>
          </w:p>
        </w:tc>
        <w:tc>
          <w:tcPr>
            <w:tcW w:w="3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color w:val="0000FF"/>
                <w:sz w:val="24"/>
                <w:szCs w:val="24"/>
              </w:rPr>
            </w:pPr>
            <w:r>
              <w:rPr>
                <w:color w:val="0000FF"/>
              </w:rPr>
              <w:t>151.814,69 euro</w:t>
            </w:r>
          </w:p>
        </w:tc>
        <w:tc>
          <w:tcPr>
            <w:tcW w:w="25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sz w:val="24"/>
                <w:szCs w:val="24"/>
              </w:rPr>
            </w:pPr>
          </w:p>
        </w:tc>
      </w:tr>
      <w:tr w:rsidR="00CC720F">
        <w:trPr>
          <w:trHeight w:val="420"/>
        </w:trPr>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Minstens 75 collectieve overlegorganen en bijstand</w:t>
            </w:r>
          </w:p>
        </w:tc>
        <w:tc>
          <w:tcPr>
            <w:tcW w:w="3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color w:val="0000FF"/>
                <w:sz w:val="24"/>
                <w:szCs w:val="24"/>
              </w:rPr>
            </w:pPr>
            <w:r>
              <w:rPr>
                <w:color w:val="0000FF"/>
              </w:rPr>
              <w:t>101.209,79 euro</w:t>
            </w:r>
          </w:p>
        </w:tc>
        <w:tc>
          <w:tcPr>
            <w:tcW w:w="25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sz w:val="24"/>
                <w:szCs w:val="24"/>
              </w:rPr>
            </w:pPr>
          </w:p>
        </w:tc>
      </w:tr>
      <w:tr w:rsidR="00CC720F">
        <w:trPr>
          <w:trHeight w:val="420"/>
        </w:trPr>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Minder dan 75 collectieve overlegorganen en bijstand</w:t>
            </w:r>
          </w:p>
        </w:tc>
        <w:tc>
          <w:tcPr>
            <w:tcW w:w="3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color w:val="0000FF"/>
                <w:sz w:val="24"/>
                <w:szCs w:val="24"/>
              </w:rPr>
            </w:pPr>
            <w:r>
              <w:rPr>
                <w:color w:val="0000FF"/>
              </w:rPr>
              <w:t>50.604,90 euro</w:t>
            </w:r>
          </w:p>
        </w:tc>
        <w:tc>
          <w:tcPr>
            <w:tcW w:w="25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sz w:val="24"/>
                <w:szCs w:val="24"/>
              </w:rPr>
            </w:pPr>
          </w:p>
        </w:tc>
      </w:tr>
      <w:tr w:rsidR="00CC720F">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Subsidie casemanagement</w:t>
            </w:r>
          </w:p>
        </w:tc>
        <w:tc>
          <w:tcPr>
            <w:tcW w:w="3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t xml:space="preserve">maximum </w:t>
            </w:r>
            <w:r>
              <w:rPr>
                <w:color w:val="0000FF"/>
              </w:rPr>
              <w:t>25.771,31</w:t>
            </w:r>
            <w:r>
              <w:t xml:space="preserve"> euro</w:t>
            </w:r>
          </w:p>
        </w:tc>
        <w:tc>
          <w:tcPr>
            <w:tcW w:w="2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spacing w:line="240" w:lineRule="auto"/>
              <w:rPr>
                <w:rFonts w:ascii="Times New Roman" w:eastAsia="Times New Roman" w:hAnsi="Times New Roman" w:cs="Times New Roman"/>
                <w:sz w:val="2"/>
                <w:szCs w:val="2"/>
              </w:rPr>
            </w:pPr>
          </w:p>
        </w:tc>
      </w:tr>
      <w:tr w:rsidR="00CC720F">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Subsidie consulentenwerking</w:t>
            </w:r>
          </w:p>
        </w:tc>
        <w:tc>
          <w:tcPr>
            <w:tcW w:w="3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t>30 925,57  euro</w:t>
            </w:r>
          </w:p>
        </w:tc>
        <w:tc>
          <w:tcPr>
            <w:tcW w:w="2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rPr>
                <w:rFonts w:ascii="Times New Roman" w:eastAsia="Times New Roman" w:hAnsi="Times New Roman" w:cs="Times New Roman"/>
                <w:sz w:val="24"/>
                <w:szCs w:val="24"/>
              </w:rPr>
            </w:pPr>
            <w:hyperlink r:id="rId14">
              <w:r w:rsidR="00AC30DA">
                <w:rPr>
                  <w:color w:val="1155CC"/>
                  <w:u w:val="single"/>
                </w:rPr>
                <w:t>Consulentenwerkingen</w:t>
              </w:r>
            </w:hyperlink>
          </w:p>
        </w:tc>
      </w:tr>
      <w:tr w:rsidR="00CC720F">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Subsidie digitaal platform</w:t>
            </w:r>
          </w:p>
        </w:tc>
        <w:tc>
          <w:tcPr>
            <w:tcW w:w="3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rFonts w:ascii="Arial" w:eastAsia="Arial" w:hAnsi="Arial" w:cs="Arial"/>
                <w:sz w:val="20"/>
                <w:szCs w:val="20"/>
              </w:rPr>
              <w:t>101.209,79</w:t>
            </w:r>
            <w:r>
              <w:t xml:space="preserve"> euro</w:t>
            </w:r>
          </w:p>
        </w:tc>
        <w:tc>
          <w:tcPr>
            <w:tcW w:w="2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rPr>
                <w:rFonts w:ascii="Times New Roman" w:eastAsia="Times New Roman" w:hAnsi="Times New Roman" w:cs="Times New Roman"/>
                <w:sz w:val="24"/>
                <w:szCs w:val="24"/>
              </w:rPr>
            </w:pPr>
            <w:hyperlink r:id="rId15">
              <w:r w:rsidR="00AC30DA">
                <w:rPr>
                  <w:color w:val="1155CC"/>
                  <w:u w:val="single"/>
                </w:rPr>
                <w:t>Digitaal platform met zorgaanbod</w:t>
              </w:r>
            </w:hyperlink>
          </w:p>
        </w:tc>
      </w:tr>
      <w:tr w:rsidR="00CC720F">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Subsidie dienst ondersteuningsplan (DOP)</w:t>
            </w:r>
          </w:p>
        </w:tc>
        <w:tc>
          <w:tcPr>
            <w:tcW w:w="3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t>25 euro subsidie per gepresteerde begeleiding</w:t>
            </w:r>
          </w:p>
        </w:tc>
        <w:tc>
          <w:tcPr>
            <w:tcW w:w="2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rPr>
                <w:rFonts w:ascii="Times New Roman" w:eastAsia="Times New Roman" w:hAnsi="Times New Roman" w:cs="Times New Roman"/>
                <w:sz w:val="24"/>
                <w:szCs w:val="24"/>
              </w:rPr>
            </w:pPr>
            <w:hyperlink r:id="rId16">
              <w:r w:rsidR="00AC30DA">
                <w:rPr>
                  <w:color w:val="1155CC"/>
                  <w:u w:val="single"/>
                </w:rPr>
                <w:t>Subsidiëring (dop)</w:t>
              </w:r>
            </w:hyperlink>
          </w:p>
        </w:tc>
      </w:tr>
      <w:tr w:rsidR="00CC720F">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Subsidie vrijetijdsorganisaties</w:t>
            </w:r>
          </w:p>
        </w:tc>
        <w:tc>
          <w:tcPr>
            <w:tcW w:w="3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r>
              <w:t>107.255,94  euro</w:t>
            </w:r>
          </w:p>
        </w:tc>
        <w:tc>
          <w:tcPr>
            <w:tcW w:w="2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rPr>
                <w:rFonts w:ascii="Times New Roman" w:eastAsia="Times New Roman" w:hAnsi="Times New Roman" w:cs="Times New Roman"/>
                <w:sz w:val="24"/>
                <w:szCs w:val="24"/>
              </w:rPr>
            </w:pPr>
            <w:hyperlink r:id="rId17">
              <w:r w:rsidR="00AC30DA">
                <w:rPr>
                  <w:color w:val="1155CC"/>
                  <w:u w:val="single"/>
                </w:rPr>
                <w:t>Subsidiëring VTZ</w:t>
              </w:r>
            </w:hyperlink>
          </w:p>
        </w:tc>
      </w:tr>
    </w:tbl>
    <w:p w:rsidR="00CC720F" w:rsidRDefault="00AC30DA">
      <w:pPr>
        <w:spacing w:after="240" w:line="240" w:lineRule="auto"/>
        <w:rPr>
          <w:rFonts w:ascii="Times New Roman" w:eastAsia="Times New Roman" w:hAnsi="Times New Roman" w:cs="Times New Roman"/>
          <w:b/>
          <w:sz w:val="36"/>
          <w:szCs w:val="36"/>
        </w:rPr>
      </w:pPr>
      <w:r>
        <w:rPr>
          <w:rFonts w:ascii="Times New Roman" w:eastAsia="Times New Roman" w:hAnsi="Times New Roman" w:cs="Times New Roman"/>
          <w:sz w:val="24"/>
          <w:szCs w:val="24"/>
        </w:rPr>
        <w:br/>
      </w:r>
      <w:r>
        <w:rPr>
          <w:b/>
          <w:sz w:val="34"/>
          <w:szCs w:val="34"/>
        </w:rPr>
        <w:t>Niet geïndexeerde bedragen </w:t>
      </w:r>
    </w:p>
    <w:p w:rsidR="00CC720F" w:rsidRDefault="00CC720F">
      <w:pPr>
        <w:spacing w:line="240" w:lineRule="auto"/>
        <w:rPr>
          <w:rFonts w:ascii="Times New Roman" w:eastAsia="Times New Roman" w:hAnsi="Times New Roman" w:cs="Times New Roman"/>
          <w:sz w:val="24"/>
          <w:szCs w:val="24"/>
        </w:rPr>
      </w:pPr>
    </w:p>
    <w:p w:rsidR="00CC720F" w:rsidRDefault="00AC30DA">
      <w:pPr>
        <w:spacing w:line="240" w:lineRule="auto"/>
        <w:rPr>
          <w:b/>
          <w:sz w:val="24"/>
          <w:szCs w:val="24"/>
        </w:rPr>
      </w:pPr>
      <w:r>
        <w:rPr>
          <w:b/>
          <w:sz w:val="24"/>
          <w:szCs w:val="24"/>
        </w:rPr>
        <w:t>Tabel met overzicht van de niet geïndexeerde bedragen </w:t>
      </w:r>
    </w:p>
    <w:p w:rsidR="00CC720F" w:rsidRDefault="00CC720F">
      <w:pPr>
        <w:spacing w:line="240" w:lineRule="auto"/>
        <w:rPr>
          <w:b/>
          <w:sz w:val="24"/>
          <w:szCs w:val="24"/>
        </w:rPr>
      </w:pPr>
    </w:p>
    <w:tbl>
      <w:tblPr>
        <w:tblStyle w:val="a7"/>
        <w:tblW w:w="9881" w:type="dxa"/>
        <w:tblInd w:w="85" w:type="dxa"/>
        <w:tblLayout w:type="fixed"/>
        <w:tblLook w:val="0400" w:firstRow="0" w:lastRow="0" w:firstColumn="0" w:lastColumn="0" w:noHBand="0" w:noVBand="1"/>
      </w:tblPr>
      <w:tblGrid>
        <w:gridCol w:w="2845"/>
        <w:gridCol w:w="4477"/>
        <w:gridCol w:w="2559"/>
      </w:tblGrid>
      <w:tr w:rsidR="00CC720F">
        <w:trPr>
          <w:trHeight w:val="440"/>
        </w:trPr>
        <w:tc>
          <w:tcPr>
            <w:tcW w:w="988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rPr>
                <w:b/>
                <w:sz w:val="24"/>
                <w:szCs w:val="24"/>
              </w:rPr>
              <w:t>Subsisie bijstandsorganistaties</w:t>
            </w:r>
          </w:p>
        </w:tc>
      </w:tr>
      <w:tr w:rsidR="00CC720F">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Maximale basisbedrag</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90.216,00 euro als het aantal leden &gt; of = 500</w:t>
            </w:r>
          </w:p>
        </w:tc>
        <w:tc>
          <w:tcPr>
            <w:tcW w:w="255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spacing w:line="240" w:lineRule="auto"/>
              <w:rPr>
                <w:rFonts w:ascii="Times New Roman" w:eastAsia="Times New Roman" w:hAnsi="Times New Roman" w:cs="Times New Roman"/>
                <w:sz w:val="24"/>
                <w:szCs w:val="24"/>
              </w:rPr>
            </w:pPr>
            <w:hyperlink r:id="rId18">
              <w:r w:rsidR="00AC30DA">
                <w:rPr>
                  <w:color w:val="1155CC"/>
                  <w:u w:val="single"/>
                </w:rPr>
                <w:t>Bijstandsorganisaties</w:t>
              </w:r>
            </w:hyperlink>
          </w:p>
        </w:tc>
      </w:tr>
      <w:tr w:rsidR="00CC720F">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Minimale basisbedrag</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bookmarkStart w:id="1" w:name="_gjdgxs" w:colFirst="0" w:colLast="0"/>
            <w:bookmarkEnd w:id="1"/>
            <w:r>
              <w:t xml:space="preserve">40.096,00 euro als het aantal leden minder is dan 500 leden en indien de formule aantal leden / 500 X 90.216,00 euro lager uitkomt dan </w:t>
            </w:r>
            <w:r>
              <w:lastRenderedPageBreak/>
              <w:t>40.096,00 euro</w:t>
            </w:r>
          </w:p>
        </w:tc>
        <w:tc>
          <w:tcPr>
            <w:tcW w:w="255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sz w:val="24"/>
                <w:szCs w:val="24"/>
              </w:rPr>
            </w:pPr>
          </w:p>
        </w:tc>
      </w:tr>
      <w:tr w:rsidR="00CC720F">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lastRenderedPageBreak/>
              <w:t>Ledenbedrag </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sz w:val="24"/>
                <w:szCs w:val="24"/>
              </w:rPr>
            </w:pPr>
            <w:r>
              <w:t>170,41 euro per lid</w:t>
            </w:r>
          </w:p>
        </w:tc>
        <w:tc>
          <w:tcPr>
            <w:tcW w:w="255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sz w:val="24"/>
                <w:szCs w:val="24"/>
              </w:rPr>
            </w:pPr>
          </w:p>
        </w:tc>
      </w:tr>
      <w:tr w:rsidR="00CC720F">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Omzetting personeelspunten naar werking voor</w:t>
            </w:r>
            <w:r>
              <w:rPr>
                <w:rFonts w:ascii="Arial" w:eastAsia="Arial" w:hAnsi="Arial" w:cs="Arial"/>
                <w:b/>
                <w:color w:val="222222"/>
                <w:highlight w:val="white"/>
              </w:rPr>
              <w:t xml:space="preserve"> MFC, DOP, RTH, ODB-unit, NAH, geïnterneerden dagcentrum en tehuis</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t>834,00 euro</w:t>
            </w:r>
          </w:p>
        </w:tc>
        <w:tc>
          <w:tcPr>
            <w:tcW w:w="2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rPr>
                <w:rFonts w:ascii="Times New Roman" w:eastAsia="Times New Roman" w:hAnsi="Times New Roman" w:cs="Times New Roman"/>
                <w:sz w:val="24"/>
                <w:szCs w:val="24"/>
              </w:rPr>
            </w:pPr>
            <w:hyperlink r:id="rId19">
              <w:r w:rsidR="00AC30DA">
                <w:rPr>
                  <w:color w:val="1155CC"/>
                  <w:u w:val="single"/>
                </w:rPr>
                <w:t>INF/19/27 Richtlijnen reservevorming - Richtlijnen voucherregistratie en omzetten personeelspunten</w:t>
              </w:r>
            </w:hyperlink>
          </w:p>
        </w:tc>
      </w:tr>
      <w:tr w:rsidR="00CC720F">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Werkingsmiddelen Rechtstreeks toegankelijke hulp (RTH)</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t>89,00 euro</w:t>
            </w:r>
          </w:p>
        </w:tc>
        <w:tc>
          <w:tcPr>
            <w:tcW w:w="2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rPr>
                <w:rFonts w:ascii="Times New Roman" w:eastAsia="Times New Roman" w:hAnsi="Times New Roman" w:cs="Times New Roman"/>
                <w:sz w:val="24"/>
                <w:szCs w:val="24"/>
              </w:rPr>
            </w:pPr>
            <w:hyperlink r:id="rId20">
              <w:r w:rsidR="00AC30DA">
                <w:rPr>
                  <w:color w:val="1155CC"/>
                  <w:u w:val="single"/>
                </w:rPr>
                <w:t>Wat subsidieert het VAPH?</w:t>
              </w:r>
            </w:hyperlink>
          </w:p>
        </w:tc>
      </w:tr>
      <w:tr w:rsidR="00CC720F">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Omzetten organisatiegebonden punten Vergunde zorgaanbieders (VZA) naar werkingsmiddelen</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t>864,00 euro</w:t>
            </w:r>
          </w:p>
        </w:tc>
        <w:tc>
          <w:tcPr>
            <w:tcW w:w="2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rPr>
                <w:rFonts w:ascii="Times New Roman" w:eastAsia="Times New Roman" w:hAnsi="Times New Roman" w:cs="Times New Roman"/>
                <w:sz w:val="24"/>
                <w:szCs w:val="24"/>
              </w:rPr>
            </w:pPr>
            <w:hyperlink r:id="rId21">
              <w:r w:rsidR="00AC30DA">
                <w:rPr>
                  <w:color w:val="1155CC"/>
                  <w:u w:val="single"/>
                </w:rPr>
                <w:t>INF/19/27 Richtlijnen reservevorming - Richtlijnen voucherregistratie en omzetten personeelspunten</w:t>
              </w:r>
            </w:hyperlink>
          </w:p>
        </w:tc>
      </w:tr>
      <w:tr w:rsidR="00CC720F">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Subsidie cel assistentiehonden</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t>Het Vlaams Agentschap voor Personen met een Handicap verleent, voor de oprichting en de werking van de cel, aan KATHO een forfaitaire subsidie van 25.851,29 euro op jaarbasis.</w:t>
            </w:r>
          </w:p>
        </w:tc>
        <w:tc>
          <w:tcPr>
            <w:tcW w:w="2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spacing w:line="240" w:lineRule="auto"/>
              <w:rPr>
                <w:rFonts w:ascii="Times New Roman" w:eastAsia="Times New Roman" w:hAnsi="Times New Roman" w:cs="Times New Roman"/>
                <w:sz w:val="2"/>
                <w:szCs w:val="2"/>
              </w:rPr>
            </w:pPr>
          </w:p>
        </w:tc>
      </w:tr>
      <w:tr w:rsidR="00CC720F">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Werkingsmiddelen directe financiering NAH</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t>6.481 euro per gebruiker</w:t>
            </w:r>
          </w:p>
        </w:tc>
        <w:tc>
          <w:tcPr>
            <w:tcW w:w="2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spacing w:line="240" w:lineRule="auto"/>
              <w:rPr>
                <w:rFonts w:ascii="Times New Roman" w:eastAsia="Times New Roman" w:hAnsi="Times New Roman" w:cs="Times New Roman"/>
                <w:sz w:val="2"/>
                <w:szCs w:val="2"/>
              </w:rPr>
            </w:pPr>
          </w:p>
        </w:tc>
      </w:tr>
      <w:tr w:rsidR="00CC720F">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b/>
                <w:sz w:val="24"/>
                <w:szCs w:val="24"/>
              </w:rPr>
            </w:pPr>
            <w:r>
              <w:rPr>
                <w:b/>
                <w:sz w:val="24"/>
                <w:szCs w:val="24"/>
              </w:rPr>
              <w:t>Werkingsmiddelen Units voor geïnterneerden en persoon met handicap in de gevangenis</w:t>
            </w:r>
          </w:p>
          <w:p w:rsidR="00CC720F" w:rsidRDefault="00CC720F">
            <w:pPr>
              <w:rPr>
                <w:rFonts w:ascii="Times New Roman" w:eastAsia="Times New Roman" w:hAnsi="Times New Roman" w:cs="Times New Roman"/>
                <w:b/>
                <w:sz w:val="27"/>
                <w:szCs w:val="27"/>
              </w:rPr>
            </w:pP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t>89 euro per personeelspunt waarvoor de voorziening is erkend</w:t>
            </w:r>
          </w:p>
        </w:tc>
        <w:tc>
          <w:tcPr>
            <w:tcW w:w="2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rPr>
                <w:rFonts w:ascii="Times New Roman" w:eastAsia="Times New Roman" w:hAnsi="Times New Roman" w:cs="Times New Roman"/>
                <w:sz w:val="24"/>
                <w:szCs w:val="24"/>
              </w:rPr>
            </w:pPr>
            <w:hyperlink r:id="rId22">
              <w:r w:rsidR="00AC30DA">
                <w:rPr>
                  <w:color w:val="1155CC"/>
                  <w:u w:val="single"/>
                </w:rPr>
                <w:t>Subsidiëring Forensische VAPH-units</w:t>
              </w:r>
            </w:hyperlink>
          </w:p>
        </w:tc>
      </w:tr>
      <w:tr w:rsidR="00CC720F">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Werkingsmiddelen Units voor geïnterneerden</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t>6.481 euro per erkende plaats</w:t>
            </w:r>
          </w:p>
        </w:tc>
        <w:tc>
          <w:tcPr>
            <w:tcW w:w="2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rPr>
                <w:rFonts w:ascii="Times New Roman" w:eastAsia="Times New Roman" w:hAnsi="Times New Roman" w:cs="Times New Roman"/>
                <w:sz w:val="24"/>
                <w:szCs w:val="24"/>
              </w:rPr>
            </w:pPr>
            <w:hyperlink r:id="rId23">
              <w:r w:rsidR="00AC30DA">
                <w:rPr>
                  <w:color w:val="1155CC"/>
                  <w:u w:val="single"/>
                </w:rPr>
                <w:t>Subsidiëring Forensische VAPH-units</w:t>
              </w:r>
            </w:hyperlink>
          </w:p>
        </w:tc>
      </w:tr>
      <w:tr w:rsidR="00CC720F">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Werkingsmiddelen Zorg en ondersteuning voor geïnterneerde personen</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t>Werkingsmiddelen worden per module van ondersteuning vastgelegd</w:t>
            </w:r>
          </w:p>
        </w:tc>
        <w:tc>
          <w:tcPr>
            <w:tcW w:w="2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rPr>
                <w:rFonts w:ascii="Times New Roman" w:eastAsia="Times New Roman" w:hAnsi="Times New Roman" w:cs="Times New Roman"/>
                <w:sz w:val="24"/>
                <w:szCs w:val="24"/>
              </w:rPr>
            </w:pPr>
            <w:hyperlink r:id="rId24">
              <w:r w:rsidR="00AC30DA">
                <w:rPr>
                  <w:color w:val="1155CC"/>
                  <w:u w:val="single"/>
                </w:rPr>
                <w:t>Forensische VAPH-units</w:t>
              </w:r>
            </w:hyperlink>
          </w:p>
        </w:tc>
      </w:tr>
      <w:tr w:rsidR="00CC720F">
        <w:trPr>
          <w:trHeight w:val="440"/>
        </w:trPr>
        <w:tc>
          <w:tcPr>
            <w:tcW w:w="988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rPr>
                <w:b/>
                <w:sz w:val="24"/>
                <w:szCs w:val="24"/>
              </w:rPr>
              <w:t>Directe financiering geïnterneerden</w:t>
            </w:r>
          </w:p>
        </w:tc>
      </w:tr>
      <w:tr w:rsidR="00CC720F">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spacing w:line="240" w:lineRule="auto"/>
              <w:rPr>
                <w:rFonts w:ascii="Times New Roman" w:eastAsia="Times New Roman" w:hAnsi="Times New Roman" w:cs="Times New Roman"/>
                <w:sz w:val="2"/>
                <w:szCs w:val="2"/>
              </w:rPr>
            </w:pP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b/>
              </w:rPr>
            </w:pPr>
            <w:r>
              <w:rPr>
                <w:b/>
              </w:rPr>
              <w:t>personeelspunten/werkingsmiddelen per plaats</w:t>
            </w:r>
          </w:p>
        </w:tc>
        <w:tc>
          <w:tcPr>
            <w:tcW w:w="2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spacing w:line="240" w:lineRule="auto"/>
              <w:rPr>
                <w:rFonts w:ascii="Times New Roman" w:eastAsia="Times New Roman" w:hAnsi="Times New Roman" w:cs="Times New Roman"/>
                <w:sz w:val="2"/>
                <w:szCs w:val="2"/>
              </w:rPr>
            </w:pPr>
          </w:p>
        </w:tc>
      </w:tr>
      <w:tr w:rsidR="00CC720F">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t>Individuele ondersteuning</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t>19,2504 / 1.434,04</w:t>
            </w:r>
          </w:p>
        </w:tc>
        <w:tc>
          <w:tcPr>
            <w:tcW w:w="255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spacing w:line="240" w:lineRule="auto"/>
              <w:rPr>
                <w:rFonts w:ascii="Times New Roman" w:eastAsia="Times New Roman" w:hAnsi="Times New Roman" w:cs="Times New Roman"/>
                <w:sz w:val="24"/>
                <w:szCs w:val="24"/>
              </w:rPr>
            </w:pPr>
            <w:hyperlink r:id="rId25">
              <w:r w:rsidR="00AC30DA">
                <w:rPr>
                  <w:color w:val="1155CC"/>
                  <w:u w:val="single"/>
                </w:rPr>
                <w:t>Subsidiëring Geregistreerde vergunde zorgaanbieders voor geïnterneerden</w:t>
              </w:r>
            </w:hyperlink>
          </w:p>
        </w:tc>
      </w:tr>
      <w:tr w:rsidR="00CC720F">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t>dagondersteuning</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t>37,8132 / 2.816,87</w:t>
            </w:r>
          </w:p>
          <w:p w:rsidR="00CC720F" w:rsidRDefault="00CC720F">
            <w:pPr>
              <w:spacing w:line="240" w:lineRule="auto"/>
              <w:rPr>
                <w:rFonts w:ascii="Times New Roman" w:eastAsia="Times New Roman" w:hAnsi="Times New Roman" w:cs="Times New Roman"/>
                <w:sz w:val="24"/>
                <w:szCs w:val="24"/>
              </w:rPr>
            </w:pPr>
          </w:p>
        </w:tc>
        <w:tc>
          <w:tcPr>
            <w:tcW w:w="255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sz w:val="24"/>
                <w:szCs w:val="24"/>
              </w:rPr>
            </w:pPr>
          </w:p>
        </w:tc>
      </w:tr>
      <w:tr w:rsidR="00CC720F">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t>woonondersteuning</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t>48,1260 / 3.585,11</w:t>
            </w:r>
          </w:p>
        </w:tc>
        <w:tc>
          <w:tcPr>
            <w:tcW w:w="255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b/>
                <w:sz w:val="27"/>
                <w:szCs w:val="27"/>
              </w:rPr>
            </w:pPr>
          </w:p>
        </w:tc>
      </w:tr>
      <w:tr w:rsidR="00CC720F">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t>dag- en woonondersteuning</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t>61,8762 / 4.609,42</w:t>
            </w:r>
          </w:p>
        </w:tc>
        <w:tc>
          <w:tcPr>
            <w:tcW w:w="255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b/>
                <w:sz w:val="27"/>
                <w:szCs w:val="27"/>
              </w:rPr>
            </w:pPr>
          </w:p>
        </w:tc>
      </w:tr>
      <w:tr w:rsidR="00CC720F">
        <w:trPr>
          <w:trHeight w:val="420"/>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t>dag- en woonondersteuning +</w:t>
            </w:r>
          </w:p>
        </w:tc>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line="240" w:lineRule="auto"/>
              <w:rPr>
                <w:rFonts w:ascii="Times New Roman" w:eastAsia="Times New Roman" w:hAnsi="Times New Roman" w:cs="Times New Roman"/>
                <w:b/>
                <w:sz w:val="27"/>
                <w:szCs w:val="27"/>
              </w:rPr>
            </w:pPr>
            <w:r>
              <w:t>79,7516 / 5.941,04</w:t>
            </w:r>
          </w:p>
        </w:tc>
        <w:tc>
          <w:tcPr>
            <w:tcW w:w="255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CC720F">
            <w:pPr>
              <w:widowControl w:val="0"/>
              <w:rPr>
                <w:rFonts w:ascii="Times New Roman" w:eastAsia="Times New Roman" w:hAnsi="Times New Roman" w:cs="Times New Roman"/>
                <w:b/>
                <w:sz w:val="27"/>
                <w:szCs w:val="27"/>
              </w:rPr>
            </w:pPr>
          </w:p>
        </w:tc>
      </w:tr>
    </w:tbl>
    <w:p w:rsidR="00CC720F" w:rsidRDefault="00CC720F">
      <w:pPr>
        <w:spacing w:line="240" w:lineRule="auto"/>
        <w:rPr>
          <w:rFonts w:ascii="Times New Roman" w:eastAsia="Times New Roman" w:hAnsi="Times New Roman" w:cs="Times New Roman"/>
          <w:sz w:val="24"/>
          <w:szCs w:val="24"/>
        </w:rPr>
      </w:pPr>
    </w:p>
    <w:p w:rsidR="00CC720F" w:rsidRDefault="00AC30DA">
      <w:pPr>
        <w:spacing w:line="240" w:lineRule="auto"/>
        <w:rPr>
          <w:b/>
          <w:sz w:val="24"/>
          <w:szCs w:val="24"/>
        </w:rPr>
      </w:pPr>
      <w:r>
        <w:rPr>
          <w:b/>
          <w:sz w:val="24"/>
          <w:szCs w:val="24"/>
        </w:rPr>
        <w:t>Tabel met overzicht van de bedragen op basis van de spilindex</w:t>
      </w:r>
    </w:p>
    <w:p w:rsidR="00CC720F" w:rsidRDefault="00CC720F">
      <w:pPr>
        <w:spacing w:line="240" w:lineRule="auto"/>
        <w:rPr>
          <w:b/>
          <w:sz w:val="24"/>
          <w:szCs w:val="24"/>
        </w:rPr>
      </w:pPr>
    </w:p>
    <w:tbl>
      <w:tblPr>
        <w:tblStyle w:val="a8"/>
        <w:tblW w:w="9923" w:type="dxa"/>
        <w:tblInd w:w="85" w:type="dxa"/>
        <w:tblLayout w:type="fixed"/>
        <w:tblLook w:val="0400" w:firstRow="0" w:lastRow="0" w:firstColumn="0" w:lastColumn="0" w:noHBand="0" w:noVBand="1"/>
      </w:tblPr>
      <w:tblGrid>
        <w:gridCol w:w="3722"/>
        <w:gridCol w:w="6201"/>
      </w:tblGrid>
      <w:tr w:rsidR="00CC720F">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Multi Functionele Centra (MFC)</w:t>
            </w:r>
          </w:p>
        </w:tc>
        <w:tc>
          <w:tcPr>
            <w:tcW w:w="6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numPr>
                <w:ilvl w:val="0"/>
                <w:numId w:val="1"/>
              </w:numPr>
              <w:spacing w:line="240" w:lineRule="auto"/>
            </w:pPr>
            <w:hyperlink r:id="rId26">
              <w:r w:rsidR="00AC30DA">
                <w:rPr>
                  <w:color w:val="1155CC"/>
                  <w:u w:val="single"/>
                </w:rPr>
                <w:t>Bijdragen per ondersteuningsvorm en per leeftijd</w:t>
              </w:r>
            </w:hyperlink>
          </w:p>
          <w:p w:rsidR="00CC720F" w:rsidRDefault="00E85002">
            <w:pPr>
              <w:numPr>
                <w:ilvl w:val="0"/>
                <w:numId w:val="1"/>
              </w:numPr>
              <w:spacing w:line="240" w:lineRule="auto"/>
            </w:pPr>
            <w:hyperlink r:id="rId27">
              <w:r w:rsidR="00AC30DA">
                <w:rPr>
                  <w:color w:val="1155CC"/>
                  <w:u w:val="single"/>
                </w:rPr>
                <w:t>Aftopping bijdrage (inclusief bijdrage voor begeleiding)</w:t>
              </w:r>
            </w:hyperlink>
          </w:p>
          <w:p w:rsidR="00CC720F" w:rsidRDefault="00E85002">
            <w:pPr>
              <w:numPr>
                <w:ilvl w:val="0"/>
                <w:numId w:val="1"/>
              </w:numPr>
            </w:pPr>
            <w:hyperlink r:id="rId28">
              <w:r w:rsidR="00AC30DA">
                <w:rPr>
                  <w:color w:val="1155CC"/>
                  <w:u w:val="single"/>
                </w:rPr>
                <w:t>Geïndexeerde bedragen, kinderbijslag, zakgeld jongeren en toelage gezinslast</w:t>
              </w:r>
            </w:hyperlink>
          </w:p>
        </w:tc>
      </w:tr>
      <w:tr w:rsidR="00CC720F">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Zakgeld jongeren / inkomsten jongeren voor geplaatsten</w:t>
            </w:r>
          </w:p>
        </w:tc>
        <w:tc>
          <w:tcPr>
            <w:tcW w:w="6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spacing w:after="80"/>
              <w:rPr>
                <w:rFonts w:ascii="Times New Roman" w:eastAsia="Times New Roman" w:hAnsi="Times New Roman" w:cs="Times New Roman"/>
                <w:sz w:val="24"/>
                <w:szCs w:val="24"/>
              </w:rPr>
            </w:pPr>
            <w:hyperlink r:id="rId29">
              <w:r w:rsidR="00AC30DA">
                <w:rPr>
                  <w:color w:val="1155CC"/>
                  <w:u w:val="single"/>
                </w:rPr>
                <w:t>Zakgeld jongeren/Loongrens voor zakgeld</w:t>
              </w:r>
            </w:hyperlink>
          </w:p>
        </w:tc>
      </w:tr>
      <w:tr w:rsidR="00CC720F">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Socio-culturele toelage +21 gebruikers in MFC</w:t>
            </w:r>
          </w:p>
        </w:tc>
        <w:tc>
          <w:tcPr>
            <w:tcW w:w="6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after="80" w:line="240" w:lineRule="auto"/>
              <w:rPr>
                <w:rFonts w:ascii="Times New Roman" w:eastAsia="Times New Roman" w:hAnsi="Times New Roman" w:cs="Times New Roman"/>
                <w:sz w:val="24"/>
                <w:szCs w:val="24"/>
              </w:rPr>
            </w:pPr>
            <w:r>
              <w:t>Het toegepaste bedrag is dit van 2012. Sindsdien werd geen indexering toegepast door besparingsmaatregelen. </w:t>
            </w:r>
          </w:p>
          <w:p w:rsidR="00CC720F" w:rsidRDefault="00E85002">
            <w:pPr>
              <w:spacing w:after="80"/>
              <w:rPr>
                <w:rFonts w:ascii="Times New Roman" w:eastAsia="Times New Roman" w:hAnsi="Times New Roman" w:cs="Times New Roman"/>
                <w:sz w:val="24"/>
                <w:szCs w:val="24"/>
              </w:rPr>
            </w:pPr>
            <w:hyperlink r:id="rId30">
              <w:r w:rsidR="00AC30DA">
                <w:rPr>
                  <w:color w:val="1155CC"/>
                  <w:u w:val="single"/>
                </w:rPr>
                <w:t>Socioculturele toelage</w:t>
              </w:r>
            </w:hyperlink>
          </w:p>
        </w:tc>
      </w:tr>
      <w:tr w:rsidR="00CC720F">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Toelage Gezinslast bijdrageregeling +21 jarige PVB - MFC</w:t>
            </w:r>
          </w:p>
        </w:tc>
        <w:tc>
          <w:tcPr>
            <w:tcW w:w="6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spacing w:after="80"/>
              <w:rPr>
                <w:rFonts w:ascii="Times New Roman" w:eastAsia="Times New Roman" w:hAnsi="Times New Roman" w:cs="Times New Roman"/>
                <w:sz w:val="24"/>
                <w:szCs w:val="24"/>
              </w:rPr>
            </w:pPr>
            <w:hyperlink r:id="rId31">
              <w:r w:rsidR="00AC30DA">
                <w:rPr>
                  <w:color w:val="1155CC"/>
                  <w:u w:val="single"/>
                </w:rPr>
                <w:t>Toelage tot gezinslast voor +21-jarigen</w:t>
              </w:r>
            </w:hyperlink>
          </w:p>
        </w:tc>
      </w:tr>
      <w:tr w:rsidR="00CC720F">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Groeipakket</w:t>
            </w:r>
          </w:p>
        </w:tc>
        <w:tc>
          <w:tcPr>
            <w:tcW w:w="6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E85002">
            <w:pPr>
              <w:spacing w:after="80"/>
              <w:rPr>
                <w:rFonts w:ascii="Times New Roman" w:eastAsia="Times New Roman" w:hAnsi="Times New Roman" w:cs="Times New Roman"/>
                <w:sz w:val="24"/>
                <w:szCs w:val="24"/>
              </w:rPr>
            </w:pPr>
            <w:hyperlink r:id="rId32">
              <w:r w:rsidR="00AC30DA">
                <w:rPr>
                  <w:color w:val="1155CC"/>
                  <w:u w:val="single"/>
                </w:rPr>
                <w:t>Website groeipakket</w:t>
              </w:r>
            </w:hyperlink>
          </w:p>
        </w:tc>
      </w:tr>
      <w:tr w:rsidR="00CC720F">
        <w:tc>
          <w:tcPr>
            <w:tcW w:w="3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rPr>
                <w:rFonts w:ascii="Times New Roman" w:eastAsia="Times New Roman" w:hAnsi="Times New Roman" w:cs="Times New Roman"/>
                <w:b/>
                <w:sz w:val="27"/>
                <w:szCs w:val="27"/>
              </w:rPr>
            </w:pPr>
            <w:r>
              <w:rPr>
                <w:b/>
                <w:sz w:val="24"/>
                <w:szCs w:val="24"/>
              </w:rPr>
              <w:t>Onderhoudstoelage revalidatiecentra</w:t>
            </w:r>
          </w:p>
        </w:tc>
        <w:tc>
          <w:tcPr>
            <w:tcW w:w="6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0F" w:rsidRDefault="00AC30DA">
            <w:pPr>
              <w:spacing w:after="80"/>
              <w:rPr>
                <w:rFonts w:ascii="Times New Roman" w:eastAsia="Times New Roman" w:hAnsi="Times New Roman" w:cs="Times New Roman"/>
                <w:sz w:val="24"/>
                <w:szCs w:val="24"/>
              </w:rPr>
            </w:pPr>
            <w:r>
              <w:t>0,356570 euro per punt</w:t>
            </w:r>
          </w:p>
        </w:tc>
      </w:tr>
    </w:tbl>
    <w:p w:rsidR="00CC720F" w:rsidRDefault="00CC720F">
      <w:pPr>
        <w:spacing w:after="240" w:line="240" w:lineRule="auto"/>
        <w:rPr>
          <w:rFonts w:ascii="Times New Roman" w:eastAsia="Times New Roman" w:hAnsi="Times New Roman" w:cs="Times New Roman"/>
          <w:sz w:val="24"/>
          <w:szCs w:val="24"/>
        </w:rPr>
      </w:pPr>
    </w:p>
    <w:p w:rsidR="00CC720F" w:rsidRDefault="00CC720F">
      <w:pPr>
        <w:spacing w:line="240" w:lineRule="auto"/>
        <w:rPr>
          <w:b/>
          <w:sz w:val="38"/>
          <w:szCs w:val="38"/>
        </w:rPr>
      </w:pPr>
    </w:p>
    <w:p w:rsidR="00CC720F" w:rsidRDefault="00AC30DA">
      <w:pPr>
        <w:spacing w:line="240" w:lineRule="auto"/>
        <w:rPr>
          <w:b/>
          <w:sz w:val="38"/>
          <w:szCs w:val="38"/>
        </w:rPr>
      </w:pPr>
      <w:r>
        <w:rPr>
          <w:b/>
          <w:sz w:val="38"/>
          <w:szCs w:val="38"/>
        </w:rPr>
        <w:t>Tegemoetkomingen voor Individuele Materiële Bijstand en het opmaken van verslagen</w:t>
      </w:r>
    </w:p>
    <w:p w:rsidR="00CC720F" w:rsidRDefault="00CC720F">
      <w:pPr>
        <w:spacing w:line="240" w:lineRule="auto"/>
        <w:rPr>
          <w:rFonts w:ascii="Times New Roman" w:eastAsia="Times New Roman" w:hAnsi="Times New Roman" w:cs="Times New Roman"/>
          <w:sz w:val="24"/>
          <w:szCs w:val="24"/>
        </w:rPr>
      </w:pPr>
    </w:p>
    <w:p w:rsidR="00CC720F" w:rsidRDefault="00AC30DA">
      <w:pPr>
        <w:spacing w:line="240" w:lineRule="auto"/>
        <w:rPr>
          <w:rFonts w:ascii="Times New Roman" w:eastAsia="Times New Roman" w:hAnsi="Times New Roman" w:cs="Times New Roman"/>
          <w:sz w:val="24"/>
          <w:szCs w:val="24"/>
        </w:rPr>
      </w:pPr>
      <w:r>
        <w:t xml:space="preserve">Gelet op het programmadecreet van de Vlaamse overheid met betrekking tot de begroting van 2020 kan er ook in 2021 geen indexering plaatsvinden van de vergoedingen die voorzien worden voor het aanleveren van </w:t>
      </w:r>
      <w:r>
        <w:lastRenderedPageBreak/>
        <w:t>de diverse verslagen (modules A, B, C en D en een expertverslag IMB) aan het agentschap en van de tegemoetkomingen voor Individuele Materiële Bijstand die voorzien worden in het BVR van 13 juli 2001. Ook de tegemoetkoming in vervoers- en verblijfskosten in het gewoon onderwijs wordt hierdoor niet geïndexeerd.</w:t>
      </w:r>
    </w:p>
    <w:p w:rsidR="00CC720F" w:rsidRDefault="00AC30DA">
      <w:pPr>
        <w:spacing w:after="240" w:line="240" w:lineRule="auto"/>
      </w:pPr>
      <w:r>
        <w:rPr>
          <w:rFonts w:ascii="Times New Roman" w:eastAsia="Times New Roman" w:hAnsi="Times New Roman" w:cs="Times New Roman"/>
          <w:sz w:val="24"/>
          <w:szCs w:val="24"/>
        </w:rPr>
        <w:br/>
      </w:r>
    </w:p>
    <w:p w:rsidR="00CC720F" w:rsidRDefault="00CC720F">
      <w:pPr>
        <w:widowControl w:val="0"/>
        <w:pBdr>
          <w:top w:val="nil"/>
          <w:left w:val="nil"/>
          <w:bottom w:val="nil"/>
          <w:right w:val="nil"/>
          <w:between w:val="nil"/>
        </w:pBdr>
      </w:pPr>
    </w:p>
    <w:p w:rsidR="00CC720F" w:rsidRDefault="00CC720F">
      <w:pPr>
        <w:widowControl w:val="0"/>
        <w:pBdr>
          <w:top w:val="nil"/>
          <w:left w:val="nil"/>
          <w:bottom w:val="nil"/>
          <w:right w:val="nil"/>
          <w:between w:val="nil"/>
        </w:pBdr>
      </w:pPr>
    </w:p>
    <w:p w:rsidR="00CC720F" w:rsidRDefault="00CC720F">
      <w:pPr>
        <w:widowControl w:val="0"/>
        <w:pBdr>
          <w:top w:val="nil"/>
          <w:left w:val="nil"/>
          <w:bottom w:val="nil"/>
          <w:right w:val="nil"/>
          <w:between w:val="nil"/>
        </w:pBdr>
      </w:pPr>
    </w:p>
    <w:p w:rsidR="00CC720F" w:rsidRDefault="00CC720F">
      <w:pPr>
        <w:widowControl w:val="0"/>
        <w:pBdr>
          <w:top w:val="nil"/>
          <w:left w:val="nil"/>
          <w:bottom w:val="nil"/>
          <w:right w:val="nil"/>
          <w:between w:val="nil"/>
        </w:pBdr>
      </w:pPr>
    </w:p>
    <w:p w:rsidR="00CC720F" w:rsidRDefault="00AC30DA">
      <w:pPr>
        <w:widowControl w:val="0"/>
        <w:pBdr>
          <w:top w:val="nil"/>
          <w:left w:val="nil"/>
          <w:bottom w:val="nil"/>
          <w:right w:val="nil"/>
          <w:between w:val="nil"/>
        </w:pBdr>
      </w:pPr>
      <w:r>
        <w:t>James Van Casteren</w:t>
      </w:r>
    </w:p>
    <w:p w:rsidR="00CC720F" w:rsidRDefault="00AC30DA">
      <w:pPr>
        <w:widowControl w:val="0"/>
        <w:pBdr>
          <w:top w:val="nil"/>
          <w:left w:val="nil"/>
          <w:bottom w:val="nil"/>
          <w:right w:val="nil"/>
          <w:between w:val="nil"/>
        </w:pBdr>
        <w:rPr>
          <w:i/>
        </w:rPr>
      </w:pPr>
      <w:r>
        <w:t>Administrateur-generaal</w:t>
      </w:r>
    </w:p>
    <w:sectPr w:rsidR="00CC720F">
      <w:footerReference w:type="default" r:id="rId33"/>
      <w:headerReference w:type="first" r:id="rId34"/>
      <w:footerReference w:type="first" r:id="rId35"/>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02" w:rsidRDefault="00E85002">
      <w:pPr>
        <w:spacing w:line="240" w:lineRule="auto"/>
      </w:pPr>
      <w:r>
        <w:separator/>
      </w:r>
    </w:p>
  </w:endnote>
  <w:endnote w:type="continuationSeparator" w:id="0">
    <w:p w:rsidR="00E85002" w:rsidRDefault="00E85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0F" w:rsidRDefault="00AC30DA">
    <w:pPr>
      <w:jc w:val="right"/>
    </w:pPr>
    <w:r>
      <w:fldChar w:fldCharType="begin"/>
    </w:r>
    <w:r>
      <w:instrText>PAGE</w:instrText>
    </w:r>
    <w:r>
      <w:fldChar w:fldCharType="separate"/>
    </w:r>
    <w:r w:rsidR="00D71903">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0F" w:rsidRDefault="00CC720F">
    <w:pPr>
      <w:pBdr>
        <w:top w:val="nil"/>
        <w:left w:val="nil"/>
        <w:bottom w:val="nil"/>
        <w:right w:val="nil"/>
        <w:between w:val="nil"/>
      </w:pBdr>
    </w:pPr>
  </w:p>
  <w:p w:rsidR="00CC720F" w:rsidRDefault="00AC30DA">
    <w:pPr>
      <w:pBdr>
        <w:top w:val="nil"/>
        <w:left w:val="nil"/>
        <w:bottom w:val="nil"/>
        <w:right w:val="nil"/>
        <w:between w:val="nil"/>
      </w:pBdr>
    </w:pPr>
    <w:r>
      <w:rPr>
        <w:noProof/>
        <w:lang w:val="nl-BE"/>
      </w:rPr>
      <w:drawing>
        <wp:inline distT="114300" distB="114300" distL="114300" distR="114300" wp14:anchorId="1B5B2D24" wp14:editId="13DF8497">
          <wp:extent cx="1364840" cy="56673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fldChar w:fldCharType="separate"/>
    </w:r>
    <w:r w:rsidR="00D71903">
      <w:rPr>
        <w:noProof/>
      </w:rPr>
      <w:t>0</w:t>
    </w:r>
    <w:r>
      <w:fldChar w:fldCharType="end"/>
    </w:r>
    <w:r>
      <w:t xml:space="preserve"> van </w:t>
    </w:r>
    <w:r>
      <w:fldChar w:fldCharType="begin"/>
    </w:r>
    <w:r>
      <w:instrText>NUMPAGES</w:instrText>
    </w:r>
    <w:r>
      <w:fldChar w:fldCharType="separate"/>
    </w:r>
    <w:r w:rsidR="00D7190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02" w:rsidRDefault="00E85002">
      <w:pPr>
        <w:spacing w:line="240" w:lineRule="auto"/>
      </w:pPr>
      <w:r>
        <w:separator/>
      </w:r>
    </w:p>
  </w:footnote>
  <w:footnote w:type="continuationSeparator" w:id="0">
    <w:p w:rsidR="00E85002" w:rsidRDefault="00E850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0F" w:rsidRDefault="00CC720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78F"/>
    <w:multiLevelType w:val="multilevel"/>
    <w:tmpl w:val="00889B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C720F"/>
    <w:rsid w:val="004A3580"/>
    <w:rsid w:val="00685119"/>
    <w:rsid w:val="008E464F"/>
    <w:rsid w:val="00AC30DA"/>
    <w:rsid w:val="00CC720F"/>
    <w:rsid w:val="00D71903"/>
    <w:rsid w:val="00E850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paragraph" w:styleId="Ballontekst">
    <w:name w:val="Balloon Text"/>
    <w:basedOn w:val="Standaard"/>
    <w:link w:val="BallontekstChar"/>
    <w:uiPriority w:val="99"/>
    <w:semiHidden/>
    <w:unhideWhenUsed/>
    <w:rsid w:val="008E464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64F"/>
    <w:rPr>
      <w:rFonts w:ascii="Tahoma" w:hAnsi="Tahoma" w:cs="Tahoma"/>
      <w:sz w:val="16"/>
      <w:szCs w:val="16"/>
    </w:rPr>
  </w:style>
  <w:style w:type="paragraph" w:styleId="Koptekst">
    <w:name w:val="header"/>
    <w:basedOn w:val="Standaard"/>
    <w:link w:val="KoptekstChar"/>
    <w:uiPriority w:val="99"/>
    <w:unhideWhenUsed/>
    <w:rsid w:val="008E464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E464F"/>
  </w:style>
  <w:style w:type="paragraph" w:styleId="Voettekst">
    <w:name w:val="footer"/>
    <w:basedOn w:val="Standaard"/>
    <w:link w:val="VoettekstChar"/>
    <w:uiPriority w:val="99"/>
    <w:unhideWhenUsed/>
    <w:rsid w:val="008E464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E4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paragraph" w:styleId="Ballontekst">
    <w:name w:val="Balloon Text"/>
    <w:basedOn w:val="Standaard"/>
    <w:link w:val="BallontekstChar"/>
    <w:uiPriority w:val="99"/>
    <w:semiHidden/>
    <w:unhideWhenUsed/>
    <w:rsid w:val="008E464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64F"/>
    <w:rPr>
      <w:rFonts w:ascii="Tahoma" w:hAnsi="Tahoma" w:cs="Tahoma"/>
      <w:sz w:val="16"/>
      <w:szCs w:val="16"/>
    </w:rPr>
  </w:style>
  <w:style w:type="paragraph" w:styleId="Koptekst">
    <w:name w:val="header"/>
    <w:basedOn w:val="Standaard"/>
    <w:link w:val="KoptekstChar"/>
    <w:uiPriority w:val="99"/>
    <w:unhideWhenUsed/>
    <w:rsid w:val="008E464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E464F"/>
  </w:style>
  <w:style w:type="paragraph" w:styleId="Voettekst">
    <w:name w:val="footer"/>
    <w:basedOn w:val="Standaard"/>
    <w:link w:val="VoettekstChar"/>
    <w:uiPriority w:val="99"/>
    <w:unhideWhenUsed/>
    <w:rsid w:val="008E464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E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ph.be/professionelen/gebruikersverenigingen-met-informatieloket/subsidiering" TargetMode="External"/><Relationship Id="rId18" Type="http://schemas.openxmlformats.org/officeDocument/2006/relationships/hyperlink" Target="https://www.vaph.be/professionelen/bijstandsorganisaties/subsidiering" TargetMode="External"/><Relationship Id="rId26" Type="http://schemas.openxmlformats.org/officeDocument/2006/relationships/hyperlink" Target="https://www.vaph.be/professionelen/mfc/subsidiering/bijdragen/ondersteuningsvorm-leeftijd" TargetMode="External"/><Relationship Id="rId3" Type="http://schemas.microsoft.com/office/2007/relationships/stylesWithEffects" Target="stylesWithEffects.xml"/><Relationship Id="rId21" Type="http://schemas.openxmlformats.org/officeDocument/2006/relationships/hyperlink" Target="https://www.vaph.be/documenten/inf1927-richtlijnen-reservevorming-richtlijnen-voucherregistratie-en-omzette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vaph.be/professionelen/mfc/subsidiering/bijdragen/ondersteuningsvorm-leeftijd" TargetMode="External"/><Relationship Id="rId17" Type="http://schemas.openxmlformats.org/officeDocument/2006/relationships/hyperlink" Target="https://www.vaph.be/professionelen/vrijetijdszorg/subsidiering" TargetMode="External"/><Relationship Id="rId25" Type="http://schemas.openxmlformats.org/officeDocument/2006/relationships/hyperlink" Target="https://www.vaph.be/professionelen/vza-geinterneerden/subsidierin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vaph.be/professionelen/dop/subsidiering" TargetMode="External"/><Relationship Id="rId20" Type="http://schemas.openxmlformats.org/officeDocument/2006/relationships/hyperlink" Target="https://www.vaph.be/professionelen/rth/subsidiering" TargetMode="External"/><Relationship Id="rId29" Type="http://schemas.openxmlformats.org/officeDocument/2006/relationships/hyperlink" Target="https://www.vaph.be/professionelen/mfc/subsidiering/supplement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aph.be/professionelen/mfc/subsidiering/bijdragen/ondersteuningsvorm-leeftijd" TargetMode="External"/><Relationship Id="rId24" Type="http://schemas.openxmlformats.org/officeDocument/2006/relationships/hyperlink" Target="https://www.vaph.be/professionelen/forensische-vaph-units/subsidiering" TargetMode="External"/><Relationship Id="rId32" Type="http://schemas.openxmlformats.org/officeDocument/2006/relationships/hyperlink" Target="https://www.groeipakket.be/nl/bedrag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aph.be/digitaal-platform-met-zorgaanbod" TargetMode="External"/><Relationship Id="rId23" Type="http://schemas.openxmlformats.org/officeDocument/2006/relationships/hyperlink" Target="https://www.vaph.be/professionelen/forensische-vaph-units/subsidiering" TargetMode="External"/><Relationship Id="rId28" Type="http://schemas.openxmlformats.org/officeDocument/2006/relationships/hyperlink" Target="https://www.vaph.be/documenten/ge%C3%AFndexeerde-bedragen-kinderbijslag-zakgeld-jongeren-en-toelage-gezinslast" TargetMode="External"/><Relationship Id="rId36" Type="http://schemas.openxmlformats.org/officeDocument/2006/relationships/fontTable" Target="fontTable.xml"/><Relationship Id="rId10" Type="http://schemas.openxmlformats.org/officeDocument/2006/relationships/hyperlink" Target="https://www.vaph.be/organisaties/rth/punten-bijdragen" TargetMode="External"/><Relationship Id="rId19" Type="http://schemas.openxmlformats.org/officeDocument/2006/relationships/hyperlink" Target="https://www.vaph.be/documenten/inf1927-richtlijnen-reservevorming-richtlijnen-voucherregistratie-en-omzetten" TargetMode="External"/><Relationship Id="rId31" Type="http://schemas.openxmlformats.org/officeDocument/2006/relationships/hyperlink" Target="https://www.vaph.be/professionelen/mfc/subsidiering/bijdragen/ondersteuningsvorm-leeftijd" TargetMode="External"/><Relationship Id="rId4" Type="http://schemas.openxmlformats.org/officeDocument/2006/relationships/settings" Target="settings.xml"/><Relationship Id="rId9" Type="http://schemas.openxmlformats.org/officeDocument/2006/relationships/hyperlink" Target="http://www.vaph.be" TargetMode="External"/><Relationship Id="rId14" Type="http://schemas.openxmlformats.org/officeDocument/2006/relationships/hyperlink" Target="https://www.vaph.be/organisaties/consulentenwerkingen" TargetMode="External"/><Relationship Id="rId22" Type="http://schemas.openxmlformats.org/officeDocument/2006/relationships/hyperlink" Target="https://www.vaph.be/professionelen/forensische-vaph-units/subsidiering" TargetMode="External"/><Relationship Id="rId27" Type="http://schemas.openxmlformats.org/officeDocument/2006/relationships/hyperlink" Target="https://www.vaph.be/professionelen/mfc/subsidiering/bijdragen/aftopping" TargetMode="External"/><Relationship Id="rId30" Type="http://schemas.openxmlformats.org/officeDocument/2006/relationships/hyperlink" Target="https://www.vaph.be/professionelen/mfc/subsidiering/supplementen"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1397</Words>
  <Characters>7684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Allemant</dc:creator>
  <cp:lastModifiedBy>Ann Allemant</cp:lastModifiedBy>
  <cp:revision>7</cp:revision>
  <cp:lastPrinted>2021-02-10T15:00:00Z</cp:lastPrinted>
  <dcterms:created xsi:type="dcterms:W3CDTF">2021-02-10T14:54:00Z</dcterms:created>
  <dcterms:modified xsi:type="dcterms:W3CDTF">2021-02-10T15:00:00Z</dcterms:modified>
</cp:coreProperties>
</file>