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A4" w:rsidRDefault="00034CA4">
      <w:pPr>
        <w:widowControl w:val="0"/>
        <w:spacing w:line="240" w:lineRule="auto"/>
        <w:rPr>
          <w:rFonts w:ascii="Calibri" w:eastAsia="Calibri" w:hAnsi="Calibri" w:cs="Calibri"/>
          <w:sz w:val="12"/>
          <w:szCs w:val="12"/>
        </w:rPr>
      </w:pPr>
      <w:bookmarkStart w:id="0" w:name="_GoBack"/>
      <w:bookmarkEnd w:id="0"/>
    </w:p>
    <w:tbl>
      <w:tblPr>
        <w:tblStyle w:val="a"/>
        <w:tblW w:w="8880" w:type="dxa"/>
        <w:tblInd w:w="100" w:type="dxa"/>
        <w:tblLayout w:type="fixed"/>
        <w:tblLook w:val="0600" w:firstRow="0" w:lastRow="0" w:firstColumn="0" w:lastColumn="0" w:noHBand="1" w:noVBand="1"/>
      </w:tblPr>
      <w:tblGrid>
        <w:gridCol w:w="2490"/>
        <w:gridCol w:w="6390"/>
      </w:tblGrid>
      <w:tr w:rsidR="00034CA4">
        <w:tc>
          <w:tcPr>
            <w:tcW w:w="2490" w:type="dxa"/>
            <w:vMerge w:val="restart"/>
            <w:shd w:val="clear" w:color="auto" w:fill="auto"/>
            <w:tcMar>
              <w:top w:w="60" w:type="dxa"/>
              <w:left w:w="100" w:type="dxa"/>
              <w:bottom w:w="60" w:type="dxa"/>
              <w:right w:w="100" w:type="dxa"/>
            </w:tcMar>
          </w:tcPr>
          <w:p w:rsidR="00034CA4" w:rsidRDefault="00AC0F63">
            <w:pPr>
              <w:widowControl w:val="0"/>
              <w:spacing w:line="240" w:lineRule="auto"/>
              <w:rPr>
                <w:rFonts w:ascii="Calibri" w:eastAsia="Calibri" w:hAnsi="Calibri" w:cs="Calibri"/>
              </w:rPr>
            </w:pPr>
            <w:r>
              <w:rPr>
                <w:rFonts w:ascii="Calibri" w:eastAsia="Calibri" w:hAnsi="Calibri" w:cs="Calibri"/>
                <w:noProof/>
                <w:lang w:val="nl-BE"/>
              </w:rPr>
              <w:drawing>
                <wp:inline distT="114300" distB="114300" distL="114300" distR="114300">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5"/>
                          <a:srcRect/>
                          <a:stretch>
                            <a:fillRect/>
                          </a:stretch>
                        </pic:blipFill>
                        <pic:spPr>
                          <a:xfrm>
                            <a:off x="0" y="0"/>
                            <a:ext cx="1405278" cy="642938"/>
                          </a:xfrm>
                          <a:prstGeom prst="rect">
                            <a:avLst/>
                          </a:prstGeom>
                          <a:ln/>
                        </pic:spPr>
                      </pic:pic>
                    </a:graphicData>
                  </a:graphic>
                </wp:inline>
              </w:drawing>
            </w:r>
          </w:p>
          <w:p w:rsidR="00034CA4" w:rsidRDefault="00034CA4">
            <w:pPr>
              <w:widowControl w:val="0"/>
              <w:spacing w:line="240" w:lineRule="auto"/>
              <w:rPr>
                <w:rFonts w:ascii="Calibri" w:eastAsia="Calibri" w:hAnsi="Calibri" w:cs="Calibri"/>
              </w:rPr>
            </w:pPr>
          </w:p>
          <w:p w:rsidR="00034CA4" w:rsidRDefault="00AC0F63">
            <w:pPr>
              <w:widowControl w:val="0"/>
              <w:spacing w:line="240" w:lineRule="auto"/>
              <w:rPr>
                <w:rFonts w:ascii="Calibri" w:eastAsia="Calibri" w:hAnsi="Calibri" w:cs="Calibri"/>
                <w:color w:val="666666"/>
              </w:rPr>
            </w:pPr>
            <w:r>
              <w:rPr>
                <w:rFonts w:ascii="Calibri" w:eastAsia="Calibri" w:hAnsi="Calibri" w:cs="Calibri"/>
                <w:color w:val="666666"/>
              </w:rPr>
              <w:t>Zenithgebouw</w:t>
            </w:r>
          </w:p>
          <w:p w:rsidR="00034CA4" w:rsidRDefault="00AC0F63">
            <w:pPr>
              <w:widowControl w:val="0"/>
              <w:spacing w:line="240" w:lineRule="auto"/>
              <w:rPr>
                <w:rFonts w:ascii="Calibri" w:eastAsia="Calibri" w:hAnsi="Calibri" w:cs="Calibri"/>
                <w:color w:val="666666"/>
              </w:rPr>
            </w:pPr>
            <w:r>
              <w:rPr>
                <w:rFonts w:ascii="Calibri" w:eastAsia="Calibri" w:hAnsi="Calibri" w:cs="Calibri"/>
                <w:color w:val="666666"/>
              </w:rPr>
              <w:t>Koning Albert II-laan 37</w:t>
            </w:r>
            <w:r>
              <w:rPr>
                <w:rFonts w:ascii="Calibri" w:eastAsia="Calibri" w:hAnsi="Calibri" w:cs="Calibri"/>
                <w:color w:val="666666"/>
              </w:rPr>
              <w:br/>
              <w:t>1030 BRUSSEL</w:t>
            </w:r>
          </w:p>
          <w:p w:rsidR="00034CA4" w:rsidRDefault="00AC0F63">
            <w:pPr>
              <w:widowControl w:val="0"/>
              <w:spacing w:line="240" w:lineRule="auto"/>
              <w:rPr>
                <w:rFonts w:ascii="Calibri" w:eastAsia="Calibri" w:hAnsi="Calibri" w:cs="Calibri"/>
              </w:rPr>
            </w:pPr>
            <w:r>
              <w:rPr>
                <w:rFonts w:ascii="Calibri" w:eastAsia="Calibri" w:hAnsi="Calibri" w:cs="Calibri"/>
              </w:rPr>
              <w:t>www.vaph.be</w:t>
            </w:r>
          </w:p>
        </w:tc>
        <w:tc>
          <w:tcPr>
            <w:tcW w:w="6390" w:type="dxa"/>
            <w:shd w:val="clear" w:color="auto" w:fill="auto"/>
            <w:tcMar>
              <w:top w:w="60" w:type="dxa"/>
              <w:left w:w="100" w:type="dxa"/>
              <w:bottom w:w="60" w:type="dxa"/>
              <w:right w:w="100" w:type="dxa"/>
            </w:tcMar>
          </w:tcPr>
          <w:p w:rsidR="00034CA4" w:rsidRDefault="00034CA4">
            <w:pPr>
              <w:widowControl w:val="0"/>
              <w:jc w:val="right"/>
              <w:rPr>
                <w:rFonts w:ascii="Calibri" w:eastAsia="Calibri" w:hAnsi="Calibri" w:cs="Calibri"/>
                <w:b/>
                <w:sz w:val="36"/>
                <w:szCs w:val="36"/>
              </w:rPr>
            </w:pPr>
          </w:p>
          <w:p w:rsidR="00034CA4" w:rsidRDefault="00034CA4">
            <w:pPr>
              <w:widowControl w:val="0"/>
              <w:jc w:val="right"/>
              <w:rPr>
                <w:rFonts w:ascii="Calibri" w:eastAsia="Calibri" w:hAnsi="Calibri" w:cs="Calibri"/>
                <w:b/>
                <w:sz w:val="36"/>
                <w:szCs w:val="36"/>
              </w:rPr>
            </w:pPr>
          </w:p>
          <w:p w:rsidR="00034CA4" w:rsidRDefault="00AC0F63">
            <w:pPr>
              <w:widowControl w:val="0"/>
              <w:jc w:val="right"/>
              <w:rPr>
                <w:rFonts w:ascii="Calibri" w:eastAsia="Calibri" w:hAnsi="Calibri" w:cs="Calibri"/>
                <w:b/>
                <w:sz w:val="36"/>
                <w:szCs w:val="36"/>
              </w:rPr>
            </w:pPr>
            <w:r>
              <w:rPr>
                <w:rFonts w:ascii="Calibri" w:eastAsia="Calibri" w:hAnsi="Calibri" w:cs="Calibri"/>
                <w:b/>
                <w:sz w:val="36"/>
                <w:szCs w:val="36"/>
              </w:rPr>
              <w:t>INFONOTA</w:t>
            </w:r>
          </w:p>
        </w:tc>
      </w:tr>
      <w:tr w:rsidR="00034CA4">
        <w:tc>
          <w:tcPr>
            <w:tcW w:w="2490" w:type="dxa"/>
            <w:vMerge/>
            <w:shd w:val="clear" w:color="auto" w:fill="auto"/>
            <w:tcMar>
              <w:top w:w="100" w:type="dxa"/>
              <w:left w:w="100" w:type="dxa"/>
              <w:bottom w:w="100" w:type="dxa"/>
              <w:right w:w="100" w:type="dxa"/>
            </w:tcMar>
          </w:tcPr>
          <w:p w:rsidR="00034CA4" w:rsidRDefault="00034CA4">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rsidR="00034CA4" w:rsidRDefault="00AC0F63">
            <w:pPr>
              <w:widowControl w:val="0"/>
              <w:jc w:val="right"/>
              <w:rPr>
                <w:rFonts w:ascii="Calibri" w:eastAsia="Calibri" w:hAnsi="Calibri" w:cs="Calibri"/>
                <w:b/>
                <w:sz w:val="26"/>
                <w:szCs w:val="26"/>
              </w:rPr>
            </w:pPr>
            <w:r>
              <w:rPr>
                <w:rFonts w:ascii="Calibri" w:eastAsia="Calibri" w:hAnsi="Calibri" w:cs="Calibri"/>
                <w:sz w:val="26"/>
                <w:szCs w:val="26"/>
              </w:rPr>
              <w:t>Aan: aanbieders van rechtstreeks toegankelijke hulp (RTH-diensten)</w:t>
            </w:r>
          </w:p>
        </w:tc>
      </w:tr>
      <w:tr w:rsidR="00034CA4">
        <w:tc>
          <w:tcPr>
            <w:tcW w:w="2490" w:type="dxa"/>
            <w:vMerge/>
            <w:shd w:val="clear" w:color="auto" w:fill="auto"/>
            <w:tcMar>
              <w:top w:w="100" w:type="dxa"/>
              <w:left w:w="100" w:type="dxa"/>
              <w:bottom w:w="100" w:type="dxa"/>
              <w:right w:w="100" w:type="dxa"/>
            </w:tcMar>
          </w:tcPr>
          <w:p w:rsidR="00034CA4" w:rsidRDefault="00034CA4">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rsidR="00034CA4" w:rsidRDefault="00AC0F63">
            <w:pPr>
              <w:widowControl w:val="0"/>
              <w:jc w:val="right"/>
              <w:rPr>
                <w:rFonts w:ascii="Calibri" w:eastAsia="Calibri" w:hAnsi="Calibri" w:cs="Calibri"/>
                <w:color w:val="666666"/>
              </w:rPr>
            </w:pPr>
            <w:r>
              <w:rPr>
                <w:rFonts w:ascii="Calibri" w:eastAsia="Calibri" w:hAnsi="Calibri" w:cs="Calibri"/>
                <w:color w:val="666666"/>
              </w:rPr>
              <w:t>20/07/2022</w:t>
            </w:r>
          </w:p>
        </w:tc>
      </w:tr>
      <w:tr w:rsidR="00034CA4">
        <w:tc>
          <w:tcPr>
            <w:tcW w:w="2490" w:type="dxa"/>
            <w:vMerge/>
            <w:shd w:val="clear" w:color="auto" w:fill="auto"/>
            <w:tcMar>
              <w:top w:w="100" w:type="dxa"/>
              <w:left w:w="100" w:type="dxa"/>
              <w:bottom w:w="100" w:type="dxa"/>
              <w:right w:w="100" w:type="dxa"/>
            </w:tcMar>
          </w:tcPr>
          <w:p w:rsidR="00034CA4" w:rsidRDefault="00034CA4">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rsidR="00034CA4" w:rsidRDefault="00AC0F63">
            <w:pPr>
              <w:widowControl w:val="0"/>
              <w:jc w:val="right"/>
              <w:rPr>
                <w:rFonts w:ascii="Calibri" w:eastAsia="Calibri" w:hAnsi="Calibri" w:cs="Calibri"/>
                <w:color w:val="666666"/>
              </w:rPr>
            </w:pPr>
            <w:r>
              <w:rPr>
                <w:rFonts w:ascii="Calibri" w:eastAsia="Calibri" w:hAnsi="Calibri" w:cs="Calibri"/>
                <w:color w:val="666666"/>
              </w:rPr>
              <w:t>INF/22/36</w:t>
            </w:r>
          </w:p>
        </w:tc>
      </w:tr>
      <w:tr w:rsidR="00034CA4">
        <w:tc>
          <w:tcPr>
            <w:tcW w:w="2490" w:type="dxa"/>
            <w:shd w:val="clear" w:color="auto" w:fill="auto"/>
            <w:tcMar>
              <w:top w:w="20" w:type="dxa"/>
              <w:left w:w="100" w:type="dxa"/>
              <w:bottom w:w="20" w:type="dxa"/>
              <w:right w:w="100" w:type="dxa"/>
            </w:tcMar>
          </w:tcPr>
          <w:p w:rsidR="00034CA4" w:rsidRDefault="00AC0F63">
            <w:pPr>
              <w:widowControl w:val="0"/>
              <w:jc w:val="right"/>
              <w:rPr>
                <w:rFonts w:ascii="Calibri" w:eastAsia="Calibri" w:hAnsi="Calibri" w:cs="Calibri"/>
                <w:b/>
                <w:sz w:val="20"/>
                <w:szCs w:val="20"/>
              </w:rPr>
            </w:pPr>
            <w:r>
              <w:rPr>
                <w:rFonts w:ascii="Calibri" w:eastAsia="Calibri" w:hAnsi="Calibri" w:cs="Calibri"/>
                <w:b/>
                <w:sz w:val="20"/>
                <w:szCs w:val="20"/>
              </w:rPr>
              <w:t>Contactpersoon</w:t>
            </w:r>
          </w:p>
        </w:tc>
        <w:tc>
          <w:tcPr>
            <w:tcW w:w="6390" w:type="dxa"/>
            <w:shd w:val="clear" w:color="auto" w:fill="auto"/>
            <w:tcMar>
              <w:top w:w="20" w:type="dxa"/>
              <w:left w:w="100" w:type="dxa"/>
              <w:bottom w:w="20" w:type="dxa"/>
              <w:right w:w="100" w:type="dxa"/>
            </w:tcMar>
            <w:vAlign w:val="bottom"/>
          </w:tcPr>
          <w:p w:rsidR="00034CA4" w:rsidRDefault="00AC0F63">
            <w:pPr>
              <w:widowControl w:val="0"/>
              <w:rPr>
                <w:rFonts w:ascii="Calibri" w:eastAsia="Calibri" w:hAnsi="Calibri" w:cs="Calibri"/>
              </w:rPr>
            </w:pPr>
            <w:r>
              <w:rPr>
                <w:rFonts w:ascii="Calibri" w:eastAsia="Calibri" w:hAnsi="Calibri" w:cs="Calibri"/>
              </w:rPr>
              <w:t>Anne Buelens - Lander Huygens</w:t>
            </w:r>
          </w:p>
        </w:tc>
      </w:tr>
      <w:tr w:rsidR="00034CA4">
        <w:tc>
          <w:tcPr>
            <w:tcW w:w="2490" w:type="dxa"/>
            <w:shd w:val="clear" w:color="auto" w:fill="auto"/>
            <w:tcMar>
              <w:top w:w="20" w:type="dxa"/>
              <w:left w:w="100" w:type="dxa"/>
              <w:bottom w:w="20" w:type="dxa"/>
              <w:right w:w="100" w:type="dxa"/>
            </w:tcMar>
          </w:tcPr>
          <w:p w:rsidR="00034CA4" w:rsidRDefault="00AC0F63">
            <w:pPr>
              <w:widowControl w:val="0"/>
              <w:jc w:val="right"/>
              <w:rPr>
                <w:rFonts w:ascii="Calibri" w:eastAsia="Calibri" w:hAnsi="Calibri" w:cs="Calibri"/>
                <w:b/>
                <w:sz w:val="20"/>
                <w:szCs w:val="20"/>
              </w:rPr>
            </w:pPr>
            <w:r>
              <w:rPr>
                <w:rFonts w:ascii="Calibri" w:eastAsia="Calibri" w:hAnsi="Calibri" w:cs="Calibri"/>
                <w:b/>
                <w:sz w:val="20"/>
                <w:szCs w:val="20"/>
              </w:rPr>
              <w:t>E-mail</w:t>
            </w:r>
          </w:p>
        </w:tc>
        <w:tc>
          <w:tcPr>
            <w:tcW w:w="6390" w:type="dxa"/>
            <w:shd w:val="clear" w:color="auto" w:fill="auto"/>
            <w:tcMar>
              <w:top w:w="20" w:type="dxa"/>
              <w:left w:w="100" w:type="dxa"/>
              <w:bottom w:w="20" w:type="dxa"/>
              <w:right w:w="100" w:type="dxa"/>
            </w:tcMar>
            <w:vAlign w:val="bottom"/>
          </w:tcPr>
          <w:p w:rsidR="00034CA4" w:rsidRDefault="00AC0F63">
            <w:pPr>
              <w:widowControl w:val="0"/>
              <w:rPr>
                <w:rFonts w:ascii="Calibri" w:eastAsia="Calibri" w:hAnsi="Calibri" w:cs="Calibri"/>
                <w:sz w:val="20"/>
                <w:szCs w:val="20"/>
              </w:rPr>
            </w:pPr>
            <w:r>
              <w:rPr>
                <w:rFonts w:ascii="Calibri" w:eastAsia="Calibri" w:hAnsi="Calibri" w:cs="Calibri"/>
                <w:sz w:val="20"/>
                <w:szCs w:val="20"/>
              </w:rPr>
              <w:t>avf@vaph.be</w:t>
            </w:r>
          </w:p>
        </w:tc>
      </w:tr>
      <w:tr w:rsidR="00034CA4">
        <w:tc>
          <w:tcPr>
            <w:tcW w:w="2490" w:type="dxa"/>
            <w:shd w:val="clear" w:color="auto" w:fill="auto"/>
            <w:tcMar>
              <w:top w:w="20" w:type="dxa"/>
              <w:left w:w="100" w:type="dxa"/>
              <w:bottom w:w="20" w:type="dxa"/>
              <w:right w:w="100" w:type="dxa"/>
            </w:tcMar>
          </w:tcPr>
          <w:p w:rsidR="00034CA4" w:rsidRDefault="00AC0F63">
            <w:pPr>
              <w:widowControl w:val="0"/>
              <w:jc w:val="right"/>
              <w:rPr>
                <w:rFonts w:ascii="Calibri" w:eastAsia="Calibri" w:hAnsi="Calibri" w:cs="Calibri"/>
                <w:b/>
                <w:sz w:val="20"/>
                <w:szCs w:val="20"/>
              </w:rPr>
            </w:pPr>
            <w:r>
              <w:rPr>
                <w:rFonts w:ascii="Calibri" w:eastAsia="Calibri" w:hAnsi="Calibri" w:cs="Calibri"/>
                <w:b/>
                <w:sz w:val="20"/>
                <w:szCs w:val="20"/>
              </w:rPr>
              <w:t>Telefoon</w:t>
            </w:r>
          </w:p>
        </w:tc>
        <w:tc>
          <w:tcPr>
            <w:tcW w:w="6390" w:type="dxa"/>
            <w:shd w:val="clear" w:color="auto" w:fill="auto"/>
            <w:tcMar>
              <w:top w:w="20" w:type="dxa"/>
              <w:left w:w="100" w:type="dxa"/>
              <w:bottom w:w="20" w:type="dxa"/>
              <w:right w:w="100" w:type="dxa"/>
            </w:tcMar>
            <w:vAlign w:val="bottom"/>
          </w:tcPr>
          <w:p w:rsidR="00034CA4" w:rsidRDefault="00AC0F63">
            <w:pPr>
              <w:widowControl w:val="0"/>
              <w:rPr>
                <w:rFonts w:ascii="Calibri" w:eastAsia="Calibri" w:hAnsi="Calibri" w:cs="Calibri"/>
                <w:sz w:val="20"/>
                <w:szCs w:val="20"/>
              </w:rPr>
            </w:pPr>
            <w:r>
              <w:rPr>
                <w:rFonts w:ascii="Calibri" w:eastAsia="Calibri" w:hAnsi="Calibri" w:cs="Calibri"/>
                <w:sz w:val="20"/>
                <w:szCs w:val="20"/>
              </w:rPr>
              <w:t>02 249 36 66</w:t>
            </w:r>
          </w:p>
        </w:tc>
      </w:tr>
      <w:tr w:rsidR="00034CA4">
        <w:tc>
          <w:tcPr>
            <w:tcW w:w="2490" w:type="dxa"/>
            <w:shd w:val="clear" w:color="auto" w:fill="auto"/>
            <w:tcMar>
              <w:top w:w="20" w:type="dxa"/>
              <w:left w:w="100" w:type="dxa"/>
              <w:bottom w:w="20" w:type="dxa"/>
              <w:right w:w="100" w:type="dxa"/>
            </w:tcMar>
          </w:tcPr>
          <w:p w:rsidR="00034CA4" w:rsidRDefault="00AC0F63">
            <w:pPr>
              <w:widowControl w:val="0"/>
              <w:jc w:val="right"/>
              <w:rPr>
                <w:rFonts w:ascii="Calibri" w:eastAsia="Calibri" w:hAnsi="Calibri" w:cs="Calibri"/>
                <w:b/>
                <w:sz w:val="20"/>
                <w:szCs w:val="20"/>
              </w:rPr>
            </w:pPr>
            <w:r>
              <w:rPr>
                <w:rFonts w:ascii="Calibri" w:eastAsia="Calibri" w:hAnsi="Calibri" w:cs="Calibri"/>
                <w:b/>
                <w:sz w:val="20"/>
                <w:szCs w:val="20"/>
              </w:rPr>
              <w:t>Bijlagen</w:t>
            </w:r>
          </w:p>
        </w:tc>
        <w:tc>
          <w:tcPr>
            <w:tcW w:w="6390" w:type="dxa"/>
            <w:shd w:val="clear" w:color="auto" w:fill="auto"/>
            <w:tcMar>
              <w:top w:w="20" w:type="dxa"/>
              <w:left w:w="100" w:type="dxa"/>
              <w:bottom w:w="20" w:type="dxa"/>
              <w:right w:w="100" w:type="dxa"/>
            </w:tcMar>
            <w:vAlign w:val="bottom"/>
          </w:tcPr>
          <w:p w:rsidR="00034CA4" w:rsidRDefault="00AC0F63">
            <w:pPr>
              <w:widowControl w:val="0"/>
              <w:rPr>
                <w:rFonts w:ascii="Calibri" w:eastAsia="Calibri" w:hAnsi="Calibri" w:cs="Calibri"/>
                <w:sz w:val="20"/>
                <w:szCs w:val="20"/>
              </w:rPr>
            </w:pPr>
            <w:r>
              <w:rPr>
                <w:rFonts w:ascii="Calibri" w:eastAsia="Calibri" w:hAnsi="Calibri" w:cs="Calibri"/>
                <w:sz w:val="20"/>
                <w:szCs w:val="20"/>
              </w:rPr>
              <w:t>/</w:t>
            </w:r>
          </w:p>
        </w:tc>
      </w:tr>
      <w:tr w:rsidR="00034CA4">
        <w:tc>
          <w:tcPr>
            <w:tcW w:w="8880" w:type="dxa"/>
            <w:gridSpan w:val="2"/>
            <w:shd w:val="clear" w:color="auto" w:fill="auto"/>
            <w:tcMar>
              <w:top w:w="60" w:type="dxa"/>
              <w:left w:w="100" w:type="dxa"/>
              <w:bottom w:w="60" w:type="dxa"/>
              <w:right w:w="100" w:type="dxa"/>
            </w:tcMar>
          </w:tcPr>
          <w:p w:rsidR="00034CA4" w:rsidRDefault="00034CA4">
            <w:pPr>
              <w:widowControl w:val="0"/>
              <w:rPr>
                <w:rFonts w:ascii="Calibri" w:eastAsia="Calibri" w:hAnsi="Calibri" w:cs="Calibri"/>
                <w:sz w:val="34"/>
                <w:szCs w:val="34"/>
              </w:rPr>
            </w:pPr>
          </w:p>
        </w:tc>
      </w:tr>
      <w:tr w:rsidR="00034CA4">
        <w:tc>
          <w:tcPr>
            <w:tcW w:w="8880" w:type="dxa"/>
            <w:gridSpan w:val="2"/>
            <w:shd w:val="clear" w:color="auto" w:fill="auto"/>
            <w:tcMar>
              <w:top w:w="60" w:type="dxa"/>
              <w:left w:w="100" w:type="dxa"/>
              <w:bottom w:w="60" w:type="dxa"/>
              <w:right w:w="100" w:type="dxa"/>
            </w:tcMar>
          </w:tcPr>
          <w:p w:rsidR="00034CA4" w:rsidRDefault="00AC0F63">
            <w:pPr>
              <w:widowControl w:val="0"/>
              <w:rPr>
                <w:rFonts w:ascii="Calibri" w:eastAsia="Calibri" w:hAnsi="Calibri" w:cs="Calibri"/>
                <w:sz w:val="34"/>
                <w:szCs w:val="34"/>
              </w:rPr>
            </w:pPr>
            <w:r>
              <w:rPr>
                <w:rFonts w:ascii="Calibri" w:eastAsia="Calibri" w:hAnsi="Calibri" w:cs="Calibri"/>
                <w:sz w:val="34"/>
                <w:szCs w:val="34"/>
              </w:rPr>
              <w:t>Verlenging projectmatige opvolgfase GIO</w:t>
            </w:r>
          </w:p>
        </w:tc>
      </w:tr>
      <w:tr w:rsidR="00034CA4">
        <w:tc>
          <w:tcPr>
            <w:tcW w:w="8880" w:type="dxa"/>
            <w:gridSpan w:val="2"/>
            <w:shd w:val="clear" w:color="auto" w:fill="auto"/>
            <w:tcMar>
              <w:top w:w="60" w:type="dxa"/>
              <w:left w:w="100" w:type="dxa"/>
              <w:bottom w:w="60" w:type="dxa"/>
              <w:right w:w="100" w:type="dxa"/>
            </w:tcMar>
          </w:tcPr>
          <w:p w:rsidR="00034CA4" w:rsidRDefault="00AC0F63">
            <w:pPr>
              <w:widowControl w:val="0"/>
              <w:jc w:val="right"/>
              <w:rPr>
                <w:rFonts w:ascii="Calibri" w:eastAsia="Calibri" w:hAnsi="Calibri" w:cs="Calibri"/>
                <w:sz w:val="20"/>
                <w:szCs w:val="20"/>
              </w:rPr>
            </w:pPr>
            <w:r>
              <w:rPr>
                <w:rFonts w:ascii="Calibri" w:eastAsia="Calibri" w:hAnsi="Calibri" w:cs="Calibri"/>
                <w:sz w:val="20"/>
                <w:szCs w:val="20"/>
              </w:rPr>
              <w:t xml:space="preserve"> </w:t>
            </w:r>
          </w:p>
        </w:tc>
      </w:tr>
    </w:tbl>
    <w:p w:rsidR="00034CA4" w:rsidRDefault="00AC0F63">
      <w:pPr>
        <w:shd w:val="clear" w:color="auto" w:fill="FFFFFF"/>
        <w:spacing w:line="360" w:lineRule="auto"/>
        <w:rPr>
          <w:rFonts w:ascii="Calibri" w:eastAsia="Calibri" w:hAnsi="Calibri" w:cs="Calibri"/>
          <w:color w:val="202124"/>
          <w:sz w:val="20"/>
          <w:szCs w:val="20"/>
        </w:rPr>
      </w:pPr>
      <w:r>
        <w:rPr>
          <w:rFonts w:ascii="Calibri" w:eastAsia="Calibri" w:hAnsi="Calibri" w:cs="Calibri"/>
          <w:color w:val="202124"/>
          <w:sz w:val="20"/>
          <w:szCs w:val="20"/>
        </w:rPr>
        <w:t>Omwille van de COVID-19 pandemie en de genomen maatregelen in de sectoren van Welzijn en Onderwijs kende het aanbod van globale individuele ondersteuning (GIO) binnen de rechtstreeks toegankelijke hulp een moeizame start. De specifieke opdracht rond samenw</w:t>
      </w:r>
      <w:r>
        <w:rPr>
          <w:rFonts w:ascii="Calibri" w:eastAsia="Calibri" w:hAnsi="Calibri" w:cs="Calibri"/>
          <w:color w:val="202124"/>
          <w:sz w:val="20"/>
          <w:szCs w:val="20"/>
        </w:rPr>
        <w:t>erken tussen de sectoren en dat in de intersectorale context van scholen en kinderopvang kende door de genomen maatregelen bijkomende hindernissen.</w:t>
      </w:r>
    </w:p>
    <w:p w:rsidR="00034CA4" w:rsidRDefault="00034CA4">
      <w:pPr>
        <w:shd w:val="clear" w:color="auto" w:fill="FFFFFF"/>
        <w:spacing w:line="360" w:lineRule="auto"/>
        <w:rPr>
          <w:rFonts w:ascii="Calibri" w:eastAsia="Calibri" w:hAnsi="Calibri" w:cs="Calibri"/>
          <w:color w:val="202124"/>
          <w:sz w:val="20"/>
          <w:szCs w:val="20"/>
        </w:rPr>
      </w:pPr>
    </w:p>
    <w:p w:rsidR="00034CA4" w:rsidRDefault="00AC0F63">
      <w:pPr>
        <w:shd w:val="clear" w:color="auto" w:fill="FFFFFF"/>
        <w:spacing w:line="360" w:lineRule="auto"/>
        <w:rPr>
          <w:rFonts w:ascii="Calibri" w:eastAsia="Calibri" w:hAnsi="Calibri" w:cs="Calibri"/>
          <w:color w:val="202124"/>
          <w:sz w:val="20"/>
          <w:szCs w:val="20"/>
        </w:rPr>
      </w:pPr>
      <w:r>
        <w:rPr>
          <w:rFonts w:ascii="Calibri" w:eastAsia="Calibri" w:hAnsi="Calibri" w:cs="Calibri"/>
          <w:color w:val="202124"/>
          <w:sz w:val="20"/>
          <w:szCs w:val="20"/>
        </w:rPr>
        <w:t xml:space="preserve">Een volwaardig evaluatie uitvoeren in juli 2022 is dan ook nog niet mogelijk. De huidige manier van werken </w:t>
      </w:r>
      <w:r>
        <w:rPr>
          <w:rFonts w:ascii="Calibri" w:eastAsia="Calibri" w:hAnsi="Calibri" w:cs="Calibri"/>
          <w:color w:val="202124"/>
          <w:sz w:val="20"/>
          <w:szCs w:val="20"/>
        </w:rPr>
        <w:t xml:space="preserve">van GIO wordt daarom verder gezet tot eind 2023. De intersectorale adviesgroep zal GIO en de wijze waarop deze ondersteuning georganiseerd wordt verder mee opvolgen. De tot nu verzamelde gegevens, zullen de basis zijn van een tussentijdse evaluatie om GIO </w:t>
      </w:r>
      <w:r>
        <w:rPr>
          <w:rFonts w:ascii="Calibri" w:eastAsia="Calibri" w:hAnsi="Calibri" w:cs="Calibri"/>
          <w:color w:val="202124"/>
          <w:sz w:val="20"/>
          <w:szCs w:val="20"/>
        </w:rPr>
        <w:t xml:space="preserve">nog verder te ontwikkelen en uit te werken. </w:t>
      </w:r>
    </w:p>
    <w:p w:rsidR="00034CA4" w:rsidRDefault="00034CA4">
      <w:pPr>
        <w:spacing w:line="360" w:lineRule="auto"/>
        <w:ind w:left="1200"/>
        <w:rPr>
          <w:rFonts w:ascii="Calibri" w:eastAsia="Calibri" w:hAnsi="Calibri" w:cs="Calibri"/>
          <w:color w:val="202124"/>
          <w:sz w:val="20"/>
          <w:szCs w:val="20"/>
          <w:highlight w:val="white"/>
        </w:rPr>
      </w:pPr>
    </w:p>
    <w:p w:rsidR="00034CA4" w:rsidRDefault="00AC0F63">
      <w:pPr>
        <w:spacing w:line="360" w:lineRule="auto"/>
        <w:rPr>
          <w:rFonts w:ascii="Calibri" w:eastAsia="Calibri" w:hAnsi="Calibri" w:cs="Calibri"/>
          <w:color w:val="202124"/>
          <w:sz w:val="20"/>
          <w:szCs w:val="20"/>
          <w:highlight w:val="white"/>
        </w:rPr>
      </w:pPr>
      <w:r>
        <w:rPr>
          <w:rFonts w:ascii="Calibri" w:eastAsia="Calibri" w:hAnsi="Calibri" w:cs="Calibri"/>
          <w:color w:val="202124"/>
          <w:sz w:val="20"/>
          <w:szCs w:val="20"/>
          <w:highlight w:val="white"/>
        </w:rPr>
        <w:t xml:space="preserve">Dit biedt eveneens de mogelijkheid om de definitieve evaluatie van GIO en de eventuele aanpassingen die nodig zijn aan de regelgeving gelijk te laten lopen met én af te stemmen op de evaluatie van de </w:t>
      </w:r>
      <w:hyperlink r:id="rId6">
        <w:r>
          <w:rPr>
            <w:rFonts w:ascii="Calibri" w:eastAsia="Calibri" w:hAnsi="Calibri" w:cs="Calibri"/>
            <w:color w:val="1155CC"/>
            <w:sz w:val="20"/>
            <w:szCs w:val="20"/>
            <w:highlight w:val="white"/>
            <w:u w:val="single"/>
          </w:rPr>
          <w:t>pilootfase nieuw beleid RTH</w:t>
        </w:r>
      </w:hyperlink>
      <w:r>
        <w:rPr>
          <w:rFonts w:ascii="Calibri" w:eastAsia="Calibri" w:hAnsi="Calibri" w:cs="Calibri"/>
          <w:color w:val="202124"/>
          <w:sz w:val="20"/>
          <w:szCs w:val="20"/>
          <w:highlight w:val="white"/>
        </w:rPr>
        <w:t>, die na evaluatie in 2023 moet resulteren in een definitieve aanpassing van het besluit van de Vlaamse Regering van 22 februar</w:t>
      </w:r>
      <w:r>
        <w:rPr>
          <w:rFonts w:ascii="Calibri" w:eastAsia="Calibri" w:hAnsi="Calibri" w:cs="Calibri"/>
          <w:color w:val="202124"/>
          <w:sz w:val="20"/>
          <w:szCs w:val="20"/>
          <w:highlight w:val="white"/>
        </w:rPr>
        <w:t>i 2013 betreffende rechtstreeks toegankelijke hulp voor personen met een handicap</w:t>
      </w:r>
    </w:p>
    <w:p w:rsidR="00034CA4" w:rsidRDefault="00AC0F63">
      <w:pPr>
        <w:shd w:val="clear" w:color="auto" w:fill="FFFFFF"/>
        <w:spacing w:line="360" w:lineRule="auto"/>
        <w:rPr>
          <w:rFonts w:ascii="Calibri" w:eastAsia="Calibri" w:hAnsi="Calibri" w:cs="Calibri"/>
          <w:color w:val="202124"/>
          <w:sz w:val="20"/>
          <w:szCs w:val="20"/>
        </w:rPr>
      </w:pPr>
      <w:r>
        <w:br w:type="page"/>
      </w:r>
    </w:p>
    <w:p w:rsidR="00034CA4" w:rsidRDefault="00AC0F63">
      <w:pPr>
        <w:shd w:val="clear" w:color="auto" w:fill="FFFFFF"/>
        <w:spacing w:line="360" w:lineRule="auto"/>
        <w:rPr>
          <w:rFonts w:ascii="Calibri" w:eastAsia="Calibri" w:hAnsi="Calibri" w:cs="Calibri"/>
          <w:color w:val="222222"/>
          <w:sz w:val="20"/>
          <w:szCs w:val="20"/>
          <w:highlight w:val="white"/>
        </w:rPr>
      </w:pPr>
      <w:r>
        <w:rPr>
          <w:rFonts w:ascii="Calibri" w:eastAsia="Calibri" w:hAnsi="Calibri" w:cs="Calibri"/>
          <w:color w:val="202124"/>
          <w:sz w:val="20"/>
          <w:szCs w:val="20"/>
        </w:rPr>
        <w:lastRenderedPageBreak/>
        <w:t xml:space="preserve">Dit vraagt van de aanbieders een verlenging van de huidige manier van werken, maar gezien de pilootfase van nieuw beleid RTH is het wenselijk deze twee evaluaties niet los </w:t>
      </w:r>
      <w:r>
        <w:rPr>
          <w:rFonts w:ascii="Calibri" w:eastAsia="Calibri" w:hAnsi="Calibri" w:cs="Calibri"/>
          <w:color w:val="202124"/>
          <w:sz w:val="20"/>
          <w:szCs w:val="20"/>
        </w:rPr>
        <w:t xml:space="preserve">van elkaar te bekijken. </w:t>
      </w:r>
      <w:r>
        <w:rPr>
          <w:rFonts w:ascii="Calibri" w:eastAsia="Calibri" w:hAnsi="Calibri" w:cs="Calibri"/>
          <w:color w:val="222222"/>
          <w:sz w:val="20"/>
          <w:szCs w:val="20"/>
          <w:highlight w:val="white"/>
        </w:rPr>
        <w:t xml:space="preserve"> </w:t>
      </w:r>
    </w:p>
    <w:p w:rsidR="00034CA4" w:rsidRDefault="00034CA4">
      <w:pPr>
        <w:shd w:val="clear" w:color="auto" w:fill="FFFFFF"/>
        <w:spacing w:line="360" w:lineRule="auto"/>
        <w:rPr>
          <w:rFonts w:ascii="Calibri" w:eastAsia="Calibri" w:hAnsi="Calibri" w:cs="Calibri"/>
          <w:color w:val="202124"/>
          <w:sz w:val="20"/>
          <w:szCs w:val="20"/>
        </w:rPr>
      </w:pPr>
    </w:p>
    <w:p w:rsidR="00034CA4" w:rsidRDefault="00AC0F63">
      <w:pPr>
        <w:shd w:val="clear" w:color="auto" w:fill="FFFFFF"/>
        <w:spacing w:line="360" w:lineRule="auto"/>
        <w:rPr>
          <w:rFonts w:ascii="Calibri" w:eastAsia="Calibri" w:hAnsi="Calibri" w:cs="Calibri"/>
          <w:color w:val="202124"/>
          <w:sz w:val="20"/>
          <w:szCs w:val="20"/>
        </w:rPr>
      </w:pPr>
      <w:r>
        <w:rPr>
          <w:rFonts w:ascii="Calibri" w:eastAsia="Calibri" w:hAnsi="Calibri" w:cs="Calibri"/>
          <w:color w:val="202124"/>
          <w:sz w:val="20"/>
          <w:szCs w:val="20"/>
        </w:rPr>
        <w:t>Dit geeft ons ook de kans om GIO nog verder te laten ontwikkelen en vervolgens te bekijken binnen het bredere verhaal van RTH.</w:t>
      </w:r>
    </w:p>
    <w:p w:rsidR="00034CA4" w:rsidRDefault="00034CA4">
      <w:pPr>
        <w:widowControl w:val="0"/>
        <w:rPr>
          <w:rFonts w:ascii="Calibri" w:eastAsia="Calibri" w:hAnsi="Calibri" w:cs="Calibri"/>
        </w:rPr>
      </w:pPr>
    </w:p>
    <w:p w:rsidR="00034CA4" w:rsidRDefault="00034CA4">
      <w:pPr>
        <w:widowControl w:val="0"/>
        <w:rPr>
          <w:rFonts w:ascii="Calibri" w:eastAsia="Calibri" w:hAnsi="Calibri" w:cs="Calibri"/>
          <w:sz w:val="20"/>
          <w:szCs w:val="20"/>
        </w:rPr>
      </w:pPr>
    </w:p>
    <w:p w:rsidR="00034CA4" w:rsidRDefault="00034CA4">
      <w:pPr>
        <w:widowControl w:val="0"/>
        <w:rPr>
          <w:rFonts w:ascii="Calibri" w:eastAsia="Calibri" w:hAnsi="Calibri" w:cs="Calibri"/>
          <w:sz w:val="20"/>
          <w:szCs w:val="20"/>
        </w:rPr>
      </w:pPr>
    </w:p>
    <w:p w:rsidR="00034CA4" w:rsidRDefault="00034CA4">
      <w:pPr>
        <w:widowControl w:val="0"/>
        <w:rPr>
          <w:rFonts w:ascii="Calibri" w:eastAsia="Calibri" w:hAnsi="Calibri" w:cs="Calibri"/>
          <w:sz w:val="20"/>
          <w:szCs w:val="20"/>
        </w:rPr>
      </w:pPr>
    </w:p>
    <w:p w:rsidR="00034CA4" w:rsidRDefault="00034CA4">
      <w:pPr>
        <w:widowControl w:val="0"/>
        <w:rPr>
          <w:rFonts w:ascii="Calibri" w:eastAsia="Calibri" w:hAnsi="Calibri" w:cs="Calibri"/>
          <w:sz w:val="20"/>
          <w:szCs w:val="20"/>
        </w:rPr>
      </w:pPr>
    </w:p>
    <w:p w:rsidR="00034CA4" w:rsidRDefault="00034CA4">
      <w:pPr>
        <w:widowControl w:val="0"/>
        <w:rPr>
          <w:rFonts w:ascii="Calibri" w:eastAsia="Calibri" w:hAnsi="Calibri" w:cs="Calibri"/>
          <w:sz w:val="20"/>
          <w:szCs w:val="20"/>
        </w:rPr>
      </w:pPr>
    </w:p>
    <w:p w:rsidR="00034CA4" w:rsidRDefault="00AC0F63">
      <w:pPr>
        <w:widowControl w:val="0"/>
        <w:rPr>
          <w:rFonts w:ascii="Calibri" w:eastAsia="Calibri" w:hAnsi="Calibri" w:cs="Calibri"/>
          <w:sz w:val="20"/>
          <w:szCs w:val="20"/>
        </w:rPr>
      </w:pPr>
      <w:r>
        <w:rPr>
          <w:rFonts w:ascii="Calibri" w:eastAsia="Calibri" w:hAnsi="Calibri" w:cs="Calibri"/>
          <w:sz w:val="20"/>
          <w:szCs w:val="20"/>
        </w:rPr>
        <w:t>James Van Casteren</w:t>
      </w:r>
    </w:p>
    <w:p w:rsidR="00034CA4" w:rsidRDefault="00AC0F63">
      <w:pPr>
        <w:widowControl w:val="0"/>
      </w:pPr>
      <w:r>
        <w:rPr>
          <w:rFonts w:ascii="Calibri" w:eastAsia="Calibri" w:hAnsi="Calibri" w:cs="Calibri"/>
          <w:sz w:val="20"/>
          <w:szCs w:val="20"/>
        </w:rPr>
        <w:t>Administrateur-generaal</w:t>
      </w:r>
    </w:p>
    <w:sectPr w:rsidR="00034CA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034CA4"/>
    <w:rsid w:val="00034CA4"/>
    <w:rsid w:val="00AC0F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AC0F6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AC0F6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aph.be/pilootfase-nieuw-beleid-rechtstreeks-toegankelijke-vaph-hulp-rt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2022-07-20T06:18:00Z</dcterms:created>
  <dcterms:modified xsi:type="dcterms:W3CDTF">2022-07-20T06:18:00Z</dcterms:modified>
</cp:coreProperties>
</file>