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0BD2" w:rsidRDefault="00D20BD2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20BD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613213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20BD2" w:rsidRDefault="00D20BD2">
            <w:pPr>
              <w:widowControl w:val="0"/>
              <w:spacing w:line="240" w:lineRule="auto"/>
            </w:pPr>
          </w:p>
          <w:p w:rsidR="00D20BD2" w:rsidRDefault="0061321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20BD2" w:rsidRDefault="0061321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20BD2" w:rsidRDefault="00613213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D20BD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D20BD2" w:rsidRDefault="00D20BD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D20BD2" w:rsidRDefault="00613213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20BD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BD2" w:rsidRDefault="00D20BD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  <w:p w:rsidR="00D20BD2" w:rsidRDefault="00613213">
            <w:pPr>
              <w:widowControl w:val="0"/>
              <w:jc w:val="right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 xml:space="preserve">diagnose- </w:t>
            </w: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en</w:t>
            </w:r>
            <w:proofErr w:type="spellEnd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behandeling</w:t>
            </w:r>
            <w:proofErr w:type="spellEnd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 xml:space="preserve"> units (ODB), </w:t>
            </w: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verg</w:t>
            </w: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unde</w:t>
            </w:r>
            <w:proofErr w:type="spellEnd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 xml:space="preserve"> </w:t>
            </w:r>
          </w:p>
          <w:p w:rsidR="00D20BD2" w:rsidRDefault="00613213">
            <w:pPr>
              <w:widowControl w:val="0"/>
              <w:jc w:val="right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zorgaanbieders</w:t>
            </w:r>
            <w:proofErr w:type="spellEnd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 xml:space="preserve"> (VZA)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vrijetijdsorganisaties</w:t>
            </w:r>
            <w:proofErr w:type="spellEnd"/>
          </w:p>
        </w:tc>
      </w:tr>
      <w:tr w:rsidR="00D20BD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BD2" w:rsidRDefault="00D20BD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15 </w:t>
            </w:r>
            <w:proofErr w:type="spellStart"/>
            <w:r>
              <w:rPr>
                <w:color w:val="666666"/>
              </w:rPr>
              <w:t>december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D20BD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BD2" w:rsidRDefault="00D20BD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INF/22/53</w:t>
            </w:r>
          </w:p>
        </w:tc>
      </w:tr>
      <w:tr w:rsidR="00D20BD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0BD2" w:rsidRDefault="00613213">
            <w:pPr>
              <w:widowControl w:val="0"/>
            </w:pPr>
            <w:r>
              <w:t xml:space="preserve">Team </w:t>
            </w:r>
            <w:proofErr w:type="spellStart"/>
            <w:r>
              <w:t>Afrekeningen</w:t>
            </w:r>
            <w:proofErr w:type="spellEnd"/>
          </w:p>
        </w:tc>
      </w:tr>
      <w:tr w:rsidR="00D20BD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0BD2" w:rsidRDefault="006132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afrekeningen@vaph.be</w:t>
            </w:r>
          </w:p>
        </w:tc>
      </w:tr>
      <w:tr w:rsidR="00D20BD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0BD2" w:rsidRDefault="006132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02 249 33 35</w:t>
            </w:r>
          </w:p>
        </w:tc>
      </w:tr>
      <w:tr w:rsidR="00D20BD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0BD2" w:rsidRDefault="006132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BD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D20BD2">
            <w:pPr>
              <w:widowControl w:val="0"/>
              <w:rPr>
                <w:sz w:val="34"/>
                <w:szCs w:val="34"/>
              </w:rPr>
            </w:pPr>
          </w:p>
        </w:tc>
      </w:tr>
      <w:tr w:rsidR="00D20BD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613213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Infonota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zesde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Vlaams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Intersectoraal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Akkoord</w:t>
            </w:r>
            <w:proofErr w:type="spellEnd"/>
            <w:r>
              <w:rPr>
                <w:sz w:val="34"/>
                <w:szCs w:val="34"/>
              </w:rPr>
              <w:t xml:space="preserve"> (PC 319.01 - </w:t>
            </w:r>
            <w:proofErr w:type="spellStart"/>
            <w:r>
              <w:rPr>
                <w:sz w:val="34"/>
                <w:szCs w:val="34"/>
              </w:rPr>
              <w:t>deelsector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PmH</w:t>
            </w:r>
            <w:proofErr w:type="spellEnd"/>
            <w:r>
              <w:rPr>
                <w:sz w:val="34"/>
                <w:szCs w:val="34"/>
              </w:rPr>
              <w:t>)</w:t>
            </w:r>
          </w:p>
        </w:tc>
      </w:tr>
      <w:tr w:rsidR="00D20BD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0BD2" w:rsidRDefault="0061321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20BD2" w:rsidRDefault="00D20BD2">
      <w:pPr>
        <w:widowControl w:val="0"/>
        <w:spacing w:line="360" w:lineRule="auto"/>
      </w:pPr>
    </w:p>
    <w:p w:rsidR="00D20BD2" w:rsidRDefault="00613213">
      <w:pPr>
        <w:widowControl w:val="0"/>
        <w:spacing w:line="360" w:lineRule="auto"/>
      </w:pPr>
      <w:proofErr w:type="spellStart"/>
      <w:r>
        <w:t>Geachte</w:t>
      </w:r>
      <w:proofErr w:type="spellEnd"/>
      <w:r>
        <w:t>,</w:t>
      </w:r>
    </w:p>
    <w:p w:rsidR="00D20BD2" w:rsidRDefault="00D20BD2">
      <w:pPr>
        <w:widowControl w:val="0"/>
        <w:spacing w:line="360" w:lineRule="auto"/>
      </w:pPr>
    </w:p>
    <w:p w:rsidR="00D20BD2" w:rsidRDefault="00D20BD2">
      <w:pPr>
        <w:widowControl w:val="0"/>
        <w:spacing w:line="360" w:lineRule="auto"/>
      </w:pPr>
    </w:p>
    <w:p w:rsidR="00D20BD2" w:rsidRDefault="00613213">
      <w:pPr>
        <w:widowControl w:val="0"/>
        <w:spacing w:line="360" w:lineRule="auto"/>
      </w:pPr>
      <w:proofErr w:type="spellStart"/>
      <w:r>
        <w:t>Tussen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partners </w:t>
      </w:r>
      <w:proofErr w:type="spellStart"/>
      <w:r>
        <w:t>binnen</w:t>
      </w:r>
      <w:proofErr w:type="spellEnd"/>
      <w:r>
        <w:t xml:space="preserve"> diverse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sectoren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Intersectoraal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VIA 6 </w:t>
      </w:r>
      <w:proofErr w:type="spellStart"/>
      <w:r>
        <w:t>afgesloten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</w:t>
      </w:r>
      <w:proofErr w:type="spellStart"/>
      <w:r>
        <w:t>structurele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om </w:t>
      </w:r>
      <w:proofErr w:type="spellStart"/>
      <w:r>
        <w:t>enerzijds</w:t>
      </w:r>
      <w:proofErr w:type="spellEnd"/>
      <w:r>
        <w:t xml:space="preserve"> de </w:t>
      </w:r>
      <w:proofErr w:type="spellStart"/>
      <w:r>
        <w:t>koopkracht</w:t>
      </w:r>
      <w:proofErr w:type="spellEnd"/>
      <w:r>
        <w:t xml:space="preserve"> van het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verhogen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anderzijds</w:t>
      </w:r>
      <w:proofErr w:type="spellEnd"/>
      <w:r>
        <w:t xml:space="preserve"> de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verlagen</w:t>
      </w:r>
      <w:proofErr w:type="spellEnd"/>
      <w:r>
        <w:t xml:space="preserve">. De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barema-stijging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sector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bedraagt</w:t>
      </w:r>
      <w:proofErr w:type="spellEnd"/>
      <w:r>
        <w:t xml:space="preserve"> 3,9%.</w:t>
      </w:r>
    </w:p>
    <w:p w:rsidR="00D20BD2" w:rsidRDefault="00D20BD2">
      <w:pPr>
        <w:widowControl w:val="0"/>
        <w:spacing w:line="360" w:lineRule="auto"/>
      </w:pPr>
    </w:p>
    <w:p w:rsidR="00D20BD2" w:rsidRDefault="00D20BD2">
      <w:pPr>
        <w:widowControl w:val="0"/>
        <w:spacing w:line="360" w:lineRule="auto"/>
      </w:pPr>
    </w:p>
    <w:p w:rsidR="00D20BD2" w:rsidRDefault="00613213">
      <w:pPr>
        <w:widowControl w:val="0"/>
        <w:spacing w:line="360" w:lineRule="auto"/>
      </w:pPr>
      <w:r>
        <w:t xml:space="preserve">In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tot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besluiten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</w:t>
      </w:r>
      <w:r>
        <w:t>ing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 van het </w:t>
      </w:r>
      <w:proofErr w:type="spellStart"/>
      <w:r>
        <w:t>zesde</w:t>
      </w:r>
      <w:proofErr w:type="spellEnd"/>
      <w:r>
        <w:t xml:space="preserve"> 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Intersectoraal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van 20 </w:t>
      </w:r>
      <w:proofErr w:type="spellStart"/>
      <w:r>
        <w:t>maart</w:t>
      </w:r>
      <w:proofErr w:type="spellEnd"/>
      <w:r>
        <w:t xml:space="preserve"> 2021 </w:t>
      </w:r>
      <w:proofErr w:type="spellStart"/>
      <w:r>
        <w:t>voor</w:t>
      </w:r>
      <w:proofErr w:type="spellEnd"/>
      <w:r>
        <w:t xml:space="preserve"> de social-/non-</w:t>
      </w:r>
      <w:proofErr w:type="spellStart"/>
      <w:r>
        <w:t>profitsectoren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2021-2025 </w:t>
      </w:r>
      <w:proofErr w:type="spellStart"/>
      <w:r>
        <w:t>voor</w:t>
      </w:r>
      <w:proofErr w:type="spellEnd"/>
      <w:r>
        <w:t xml:space="preserve"> de sector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lastRenderedPageBreak/>
        <w:t>infonota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we 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PC 319.01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rijtje</w:t>
      </w:r>
      <w:proofErr w:type="spellEnd"/>
      <w:r>
        <w:t>:</w:t>
      </w:r>
    </w:p>
    <w:p w:rsidR="00D20BD2" w:rsidRDefault="00D20BD2">
      <w:pPr>
        <w:widowControl w:val="0"/>
        <w:spacing w:line="360" w:lineRule="auto"/>
      </w:pPr>
    </w:p>
    <w:p w:rsidR="00D20BD2" w:rsidRDefault="00D20BD2">
      <w:pPr>
        <w:widowControl w:val="0"/>
        <w:spacing w:line="360" w:lineRule="auto"/>
      </w:pPr>
    </w:p>
    <w:p w:rsidR="00D20BD2" w:rsidRDefault="00613213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  <w:u w:val="single"/>
        </w:rPr>
        <w:t>Verhoging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gesubsidieerde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barema’s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hoofdstuk</w:t>
      </w:r>
      <w:proofErr w:type="spellEnd"/>
      <w:r>
        <w:rPr>
          <w:b/>
          <w:u w:val="single"/>
        </w:rPr>
        <w:t xml:space="preserve"> 1)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Aanpassing</w:t>
      </w:r>
      <w:proofErr w:type="spellEnd"/>
      <w:r>
        <w:t xml:space="preserve"> van de </w:t>
      </w:r>
      <w:proofErr w:type="spellStart"/>
      <w:r>
        <w:t>subsidieerbare</w:t>
      </w:r>
      <w:proofErr w:type="spellEnd"/>
      <w:r>
        <w:t xml:space="preserve"> </w:t>
      </w:r>
      <w:proofErr w:type="spellStart"/>
      <w:r>
        <w:t>barema’s</w:t>
      </w:r>
      <w:proofErr w:type="spellEnd"/>
      <w:r>
        <w:t xml:space="preserve"> die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subsidiëringsmethodiek</w:t>
      </w:r>
      <w:proofErr w:type="spellEnd"/>
      <w:r>
        <w:t xml:space="preserve"> van </w:t>
      </w:r>
      <w:proofErr w:type="spellStart"/>
      <w:r>
        <w:t>personeelspunten</w:t>
      </w:r>
      <w:proofErr w:type="spellEnd"/>
      <w:r>
        <w:t xml:space="preserve">, </w:t>
      </w:r>
      <w:proofErr w:type="spellStart"/>
      <w:r>
        <w:t>geregeld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12 </w:t>
      </w:r>
      <w:proofErr w:type="spellStart"/>
      <w:r>
        <w:t>mei</w:t>
      </w:r>
      <w:proofErr w:type="spellEnd"/>
      <w:r>
        <w:t xml:space="preserve"> 2017.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Hoofdstuk</w:t>
      </w:r>
      <w:proofErr w:type="spellEnd"/>
      <w:r>
        <w:t xml:space="preserve"> 1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a</w:t>
      </w:r>
      <w:r>
        <w:t>rtikel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dewelke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oplijsting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van de </w:t>
      </w:r>
      <w:proofErr w:type="spellStart"/>
      <w:r>
        <w:t>baremaverhogingen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met </w:t>
      </w:r>
      <w:proofErr w:type="spellStart"/>
      <w:r>
        <w:t>ingang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respectievelijk</w:t>
      </w:r>
      <w:proofErr w:type="spellEnd"/>
      <w:r>
        <w:t xml:space="preserve"> 1 </w:t>
      </w:r>
      <w:proofErr w:type="spellStart"/>
      <w:r>
        <w:t>maart</w:t>
      </w:r>
      <w:proofErr w:type="spellEnd"/>
      <w:r>
        <w:t xml:space="preserve"> 2021 </w:t>
      </w:r>
      <w:proofErr w:type="spellStart"/>
      <w:r>
        <w:t>en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2022. </w:t>
      </w:r>
    </w:p>
    <w:p w:rsidR="00D20BD2" w:rsidRDefault="00D20BD2">
      <w:pPr>
        <w:widowControl w:val="0"/>
        <w:spacing w:line="360" w:lineRule="auto"/>
        <w:ind w:left="720"/>
      </w:pPr>
    </w:p>
    <w:p w:rsidR="00D20BD2" w:rsidRDefault="00613213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  <w:u w:val="single"/>
        </w:rPr>
        <w:t>Vrijetijdsorganisaties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artikel</w:t>
      </w:r>
      <w:proofErr w:type="spellEnd"/>
      <w:r>
        <w:rPr>
          <w:b/>
          <w:u w:val="single"/>
        </w:rPr>
        <w:t xml:space="preserve"> 4)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Voor</w:t>
      </w:r>
      <w:proofErr w:type="spellEnd"/>
      <w:r>
        <w:t xml:space="preserve"> </w:t>
      </w:r>
      <w:proofErr w:type="spellStart"/>
      <w:r>
        <w:t>vrijetijdsorganisaties</w:t>
      </w:r>
      <w:proofErr w:type="spellEnd"/>
      <w:r>
        <w:t xml:space="preserve">,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</w:t>
      </w:r>
      <w:r>
        <w:t>egering</w:t>
      </w:r>
      <w:proofErr w:type="spellEnd"/>
      <w:r>
        <w:t xml:space="preserve"> van 19 </w:t>
      </w:r>
      <w:proofErr w:type="spellStart"/>
      <w:r>
        <w:t>juli</w:t>
      </w:r>
      <w:proofErr w:type="spellEnd"/>
      <w:r>
        <w:t xml:space="preserve"> 2007 tot </w:t>
      </w:r>
      <w:proofErr w:type="spellStart"/>
      <w:r>
        <w:t>vaststelling</w:t>
      </w:r>
      <w:proofErr w:type="spellEnd"/>
      <w:r>
        <w:t xml:space="preserve"> van de </w:t>
      </w:r>
      <w:proofErr w:type="spellStart"/>
      <w:r>
        <w:t>bepalingen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van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vrijetijdszorg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</w:t>
      </w:r>
      <w:proofErr w:type="spellStart"/>
      <w:r>
        <w:t>stijgt</w:t>
      </w:r>
      <w:proofErr w:type="spellEnd"/>
      <w:r>
        <w:t xml:space="preserve"> het </w:t>
      </w:r>
      <w:proofErr w:type="spellStart"/>
      <w:r>
        <w:t>subsidiebedrag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79.415,48 euro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compensatie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barema</w:t>
      </w:r>
      <w:proofErr w:type="spellEnd"/>
      <w:r>
        <w:t xml:space="preserve"> </w:t>
      </w:r>
      <w:proofErr w:type="spellStart"/>
      <w:r>
        <w:t>sti</w:t>
      </w:r>
      <w:r>
        <w:t>jging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PC 319.01.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Dit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uitwerking</w:t>
      </w:r>
      <w:proofErr w:type="spellEnd"/>
      <w:r>
        <w:t xml:space="preserve"> met </w:t>
      </w:r>
      <w:proofErr w:type="spellStart"/>
      <w:r>
        <w:t>ingang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maart</w:t>
      </w:r>
      <w:proofErr w:type="spellEnd"/>
      <w:r>
        <w:t xml:space="preserve"> 2021.</w:t>
      </w:r>
    </w:p>
    <w:p w:rsidR="00D20BD2" w:rsidRDefault="00D20BD2">
      <w:pPr>
        <w:widowControl w:val="0"/>
        <w:spacing w:line="360" w:lineRule="auto"/>
        <w:ind w:left="720"/>
      </w:pPr>
    </w:p>
    <w:p w:rsidR="00D20BD2" w:rsidRDefault="00613213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  <w:u w:val="single"/>
        </w:rPr>
        <w:t>Besteding</w:t>
      </w:r>
      <w:proofErr w:type="spellEnd"/>
      <w:r>
        <w:rPr>
          <w:b/>
          <w:u w:val="single"/>
        </w:rPr>
        <w:t xml:space="preserve"> van cash </w:t>
      </w:r>
      <w:proofErr w:type="spellStart"/>
      <w:r>
        <w:rPr>
          <w:b/>
          <w:u w:val="single"/>
        </w:rPr>
        <w:t>bij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een</w:t>
      </w:r>
      <w:proofErr w:type="spellEnd"/>
      <w:r>
        <w:rPr>
          <w:b/>
          <w:u w:val="single"/>
        </w:rPr>
        <w:t xml:space="preserve"> VZA (</w:t>
      </w:r>
      <w:proofErr w:type="spellStart"/>
      <w:r>
        <w:rPr>
          <w:b/>
          <w:u w:val="single"/>
        </w:rPr>
        <w:t>artikel</w:t>
      </w:r>
      <w:proofErr w:type="spellEnd"/>
      <w:r>
        <w:rPr>
          <w:b/>
          <w:u w:val="single"/>
        </w:rPr>
        <w:t xml:space="preserve"> 7 &amp; 10)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om (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van) </w:t>
      </w:r>
      <w:proofErr w:type="spellStart"/>
      <w:r>
        <w:t>zijn</w:t>
      </w:r>
      <w:proofErr w:type="spellEnd"/>
      <w:r>
        <w:t xml:space="preserve"> budget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cashbudget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</w:t>
      </w:r>
      <w:r>
        <w:t>er</w:t>
      </w:r>
      <w:proofErr w:type="spellEnd"/>
      <w:r>
        <w:t xml:space="preserve">,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organisatiegebonden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.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vergoeding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personeel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met 3,9%.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Ook</w:t>
      </w:r>
      <w:proofErr w:type="spellEnd"/>
      <w:r>
        <w:t xml:space="preserve"> op het </w:t>
      </w:r>
      <w:proofErr w:type="spellStart"/>
      <w:r>
        <w:t>totaal</w:t>
      </w:r>
      <w:proofErr w:type="spellEnd"/>
      <w:r>
        <w:t xml:space="preserve"> van de </w:t>
      </w:r>
      <w:proofErr w:type="spellStart"/>
      <w:r>
        <w:t>ingezette</w:t>
      </w:r>
      <w:proofErr w:type="spellEnd"/>
      <w:r>
        <w:t xml:space="preserve"> cash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bijpassi</w:t>
      </w:r>
      <w:r>
        <w:t>ng</w:t>
      </w:r>
      <w:proofErr w:type="spellEnd"/>
      <w:r>
        <w:t xml:space="preserve"> van 3,9% </w:t>
      </w:r>
      <w:proofErr w:type="spellStart"/>
      <w:r>
        <w:t>gegeven</w:t>
      </w:r>
      <w:proofErr w:type="spellEnd"/>
      <w:r>
        <w:t>.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Voor</w:t>
      </w:r>
      <w:proofErr w:type="spellEnd"/>
      <w:r>
        <w:t xml:space="preserve"> 2021 is </w:t>
      </w:r>
      <w:proofErr w:type="spellStart"/>
      <w:r>
        <w:t>dit</w:t>
      </w:r>
      <w:proofErr w:type="spellEnd"/>
      <w:r>
        <w:t xml:space="preserve"> pro rata de </w:t>
      </w:r>
      <w:proofErr w:type="spellStart"/>
      <w:r>
        <w:t>inwerkingtredingsdatum</w:t>
      </w:r>
      <w:proofErr w:type="spellEnd"/>
      <w:r>
        <w:t xml:space="preserve"> van 1 </w:t>
      </w:r>
      <w:proofErr w:type="spellStart"/>
      <w:r>
        <w:t>maart</w:t>
      </w:r>
      <w:proofErr w:type="spellEnd"/>
      <w:r>
        <w:t xml:space="preserve"> 2021.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Deze</w:t>
      </w:r>
      <w:proofErr w:type="spellEnd"/>
      <w:r>
        <w:t xml:space="preserve"> surplus </w:t>
      </w:r>
      <w:proofErr w:type="spellStart"/>
      <w:r>
        <w:t>zal</w:t>
      </w:r>
      <w:proofErr w:type="spellEnd"/>
      <w:r>
        <w:t xml:space="preserve"> met de </w:t>
      </w:r>
      <w:proofErr w:type="spellStart"/>
      <w:r>
        <w:t>jaarlijkse</w:t>
      </w:r>
      <w:proofErr w:type="spellEnd"/>
      <w:r>
        <w:t xml:space="preserve"> </w:t>
      </w:r>
      <w:proofErr w:type="spellStart"/>
      <w:r>
        <w:t>afrekening</w:t>
      </w:r>
      <w:proofErr w:type="spellEnd"/>
      <w:r>
        <w:t xml:space="preserve"> van de SE </w:t>
      </w:r>
      <w:proofErr w:type="spellStart"/>
      <w:r>
        <w:t>verrekend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D20BD2" w:rsidRDefault="00D20BD2">
      <w:pPr>
        <w:widowControl w:val="0"/>
        <w:spacing w:line="360" w:lineRule="auto"/>
      </w:pPr>
    </w:p>
    <w:p w:rsidR="00D20BD2" w:rsidRDefault="00613213">
      <w:pPr>
        <w:widowControl w:val="0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  <w:u w:val="single"/>
        </w:rPr>
        <w:t>Bijstandsorganisaties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artikel</w:t>
      </w:r>
      <w:proofErr w:type="spellEnd"/>
      <w:r>
        <w:rPr>
          <w:b/>
          <w:u w:val="single"/>
        </w:rPr>
        <w:t xml:space="preserve"> 5, 6 &amp; 9)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bijstandsorganisaties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</w:t>
      </w:r>
      <w:r>
        <w:t xml:space="preserve">021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subsidieregeling</w:t>
      </w:r>
      <w:proofErr w:type="spellEnd"/>
      <w:r>
        <w:t xml:space="preserve"> </w:t>
      </w:r>
      <w:proofErr w:type="spellStart"/>
      <w:r>
        <w:t>stijgt</w:t>
      </w:r>
      <w:proofErr w:type="spellEnd"/>
      <w:r>
        <w:t xml:space="preserve"> de </w:t>
      </w:r>
      <w:proofErr w:type="spellStart"/>
      <w:r>
        <w:t>basissubsidie</w:t>
      </w:r>
      <w:proofErr w:type="spellEnd"/>
      <w:r>
        <w:t xml:space="preserve"> van 40.096 euro </w:t>
      </w:r>
      <w:proofErr w:type="spellStart"/>
      <w:r>
        <w:t>naar</w:t>
      </w:r>
      <w:proofErr w:type="spellEnd"/>
      <w:r>
        <w:t xml:space="preserve"> 41.238 euro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met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500 </w:t>
      </w:r>
      <w:proofErr w:type="spellStart"/>
      <w:r>
        <w:t>leden</w:t>
      </w:r>
      <w:proofErr w:type="spellEnd"/>
      <w:r>
        <w:t xml:space="preserve"> van 90.216 euro </w:t>
      </w:r>
      <w:proofErr w:type="spellStart"/>
      <w:r>
        <w:t>naar</w:t>
      </w:r>
      <w:proofErr w:type="spellEnd"/>
      <w:r>
        <w:t xml:space="preserve"> 92.787 euro. De </w:t>
      </w:r>
      <w:proofErr w:type="spellStart"/>
      <w:r>
        <w:t>bijdrage</w:t>
      </w:r>
      <w:proofErr w:type="spellEnd"/>
      <w:r>
        <w:t xml:space="preserve"> per lid </w:t>
      </w:r>
      <w:proofErr w:type="spellStart"/>
      <w:r>
        <w:t>stijgt</w:t>
      </w:r>
      <w:proofErr w:type="spellEnd"/>
      <w:r>
        <w:t xml:space="preserve"> van 170,41 euro </w:t>
      </w:r>
      <w:proofErr w:type="spellStart"/>
      <w:r>
        <w:t>naar</w:t>
      </w:r>
      <w:proofErr w:type="spellEnd"/>
      <w:r>
        <w:t xml:space="preserve"> 175,27</w:t>
      </w:r>
      <w:r>
        <w:t xml:space="preserve"> euro.</w:t>
      </w:r>
    </w:p>
    <w:p w:rsidR="00D20BD2" w:rsidRDefault="00613213">
      <w:pPr>
        <w:widowControl w:val="0"/>
        <w:spacing w:line="360" w:lineRule="auto"/>
        <w:ind w:left="720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bijstandsorganisaties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2021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subsidieregeling</w:t>
      </w:r>
      <w:proofErr w:type="spellEnd"/>
      <w:r>
        <w:t xml:space="preserve"> </w:t>
      </w:r>
      <w:proofErr w:type="spellStart"/>
      <w:r>
        <w:t>stijgt</w:t>
      </w:r>
      <w:proofErr w:type="spellEnd"/>
      <w:r>
        <w:t xml:space="preserve"> de </w:t>
      </w:r>
      <w:proofErr w:type="spellStart"/>
      <w:r>
        <w:t>bijdrage</w:t>
      </w:r>
      <w:proofErr w:type="spellEnd"/>
      <w:r>
        <w:t xml:space="preserve"> per lid van 236 euro </w:t>
      </w:r>
      <w:proofErr w:type="spellStart"/>
      <w:r>
        <w:t>naar</w:t>
      </w:r>
      <w:proofErr w:type="spellEnd"/>
      <w:r>
        <w:t xml:space="preserve"> 242,73 euro.</w:t>
      </w:r>
    </w:p>
    <w:p w:rsidR="00D20BD2" w:rsidRDefault="00D20BD2">
      <w:pPr>
        <w:widowControl w:val="0"/>
        <w:spacing w:line="360" w:lineRule="auto"/>
        <w:ind w:left="720"/>
      </w:pPr>
    </w:p>
    <w:p w:rsidR="00D20BD2" w:rsidRDefault="00613213">
      <w:pPr>
        <w:widowControl w:val="0"/>
        <w:spacing w:line="360" w:lineRule="auto"/>
        <w:ind w:left="720"/>
      </w:pPr>
      <w:r>
        <w:t xml:space="preserve">Op de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hoogdrempelige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 xml:space="preserve"> van 3,8% </w:t>
      </w:r>
      <w:proofErr w:type="spellStart"/>
      <w:r>
        <w:t>gegeven</w:t>
      </w:r>
      <w:proofErr w:type="spellEnd"/>
      <w:r>
        <w:t xml:space="preserve">. </w:t>
      </w:r>
      <w:proofErr w:type="spellStart"/>
      <w:r>
        <w:lastRenderedPageBreak/>
        <w:t>Deze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2021 pro rata (10/12) </w:t>
      </w:r>
      <w:proofErr w:type="spellStart"/>
      <w:r>
        <w:t>gesubsidieerd</w:t>
      </w:r>
      <w:proofErr w:type="spellEnd"/>
      <w:r>
        <w:t>.</w:t>
      </w:r>
    </w:p>
    <w:p w:rsidR="00D20BD2" w:rsidRDefault="00D20BD2">
      <w:pPr>
        <w:widowControl w:val="0"/>
        <w:spacing w:line="360" w:lineRule="auto"/>
        <w:ind w:left="720"/>
      </w:pPr>
    </w:p>
    <w:p w:rsidR="00D20BD2" w:rsidRDefault="00613213">
      <w:pPr>
        <w:widowControl w:val="0"/>
        <w:spacing w:line="360" w:lineRule="auto"/>
        <w:ind w:left="720"/>
      </w:pPr>
      <w:r>
        <w:t xml:space="preserve">De </w:t>
      </w:r>
      <w:proofErr w:type="spellStart"/>
      <w:r>
        <w:t>hierboven</w:t>
      </w:r>
      <w:proofErr w:type="spellEnd"/>
      <w:r>
        <w:t xml:space="preserve"> </w:t>
      </w:r>
      <w:proofErr w:type="spellStart"/>
      <w:r>
        <w:t>vernoemde</w:t>
      </w:r>
      <w:proofErr w:type="spellEnd"/>
      <w:r>
        <w:t xml:space="preserve"> </w:t>
      </w:r>
      <w:proofErr w:type="spellStart"/>
      <w:r>
        <w:t>stijgingen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om de </w:t>
      </w:r>
      <w:proofErr w:type="spellStart"/>
      <w:r>
        <w:t>barema-verhoging</w:t>
      </w:r>
      <w:proofErr w:type="spellEnd"/>
      <w:r>
        <w:t xml:space="preserve"> door VIA 6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compenseren</w:t>
      </w:r>
      <w:proofErr w:type="spellEnd"/>
      <w:r>
        <w:t>.</w:t>
      </w:r>
    </w:p>
    <w:p w:rsidR="00D20BD2" w:rsidRDefault="00D20BD2">
      <w:pPr>
        <w:widowControl w:val="0"/>
      </w:pPr>
    </w:p>
    <w:p w:rsidR="00D20BD2" w:rsidRDefault="00D20BD2">
      <w:pPr>
        <w:widowControl w:val="0"/>
      </w:pPr>
    </w:p>
    <w:p w:rsidR="00D20BD2" w:rsidRDefault="00D20BD2">
      <w:pPr>
        <w:widowControl w:val="0"/>
      </w:pPr>
    </w:p>
    <w:p w:rsidR="00D20BD2" w:rsidRDefault="00D20BD2">
      <w:pPr>
        <w:widowControl w:val="0"/>
      </w:pPr>
    </w:p>
    <w:p w:rsidR="00D20BD2" w:rsidRDefault="00D20BD2">
      <w:pPr>
        <w:widowControl w:val="0"/>
      </w:pPr>
    </w:p>
    <w:p w:rsidR="00D20BD2" w:rsidRDefault="00D20BD2">
      <w:pPr>
        <w:widowControl w:val="0"/>
      </w:pPr>
    </w:p>
    <w:p w:rsidR="00D20BD2" w:rsidRDefault="00613213">
      <w:pPr>
        <w:widowControl w:val="0"/>
      </w:pPr>
      <w:r>
        <w:t xml:space="preserve">James Van </w:t>
      </w:r>
      <w:proofErr w:type="spellStart"/>
      <w:r>
        <w:t>Casteren</w:t>
      </w:r>
      <w:proofErr w:type="spellEnd"/>
    </w:p>
    <w:p w:rsidR="00D20BD2" w:rsidRDefault="00613213">
      <w:pPr>
        <w:widowControl w:val="0"/>
        <w:rPr>
          <w:i/>
        </w:rPr>
      </w:pPr>
      <w:proofErr w:type="spellStart"/>
      <w:r>
        <w:t>Administrateur-generaal</w:t>
      </w:r>
      <w:proofErr w:type="spellEnd"/>
    </w:p>
    <w:sectPr w:rsidR="00D20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13" w:rsidRDefault="00613213">
      <w:pPr>
        <w:spacing w:line="240" w:lineRule="auto"/>
      </w:pPr>
      <w:r>
        <w:separator/>
      </w:r>
    </w:p>
  </w:endnote>
  <w:endnote w:type="continuationSeparator" w:id="0">
    <w:p w:rsidR="00613213" w:rsidRDefault="0061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2" w:rsidRDefault="00D20BD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2" w:rsidRDefault="00D20BD2">
    <w:pPr>
      <w:pBdr>
        <w:top w:val="nil"/>
        <w:left w:val="nil"/>
        <w:bottom w:val="nil"/>
        <w:right w:val="nil"/>
        <w:between w:val="nil"/>
      </w:pBdr>
    </w:pPr>
  </w:p>
  <w:p w:rsidR="00D20BD2" w:rsidRDefault="0061321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13" w:rsidRDefault="00613213">
      <w:pPr>
        <w:spacing w:line="240" w:lineRule="auto"/>
      </w:pPr>
      <w:r>
        <w:separator/>
      </w:r>
    </w:p>
  </w:footnote>
  <w:footnote w:type="continuationSeparator" w:id="0">
    <w:p w:rsidR="00613213" w:rsidRDefault="0061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2" w:rsidRDefault="00D20B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2" w:rsidRDefault="00D20BD2">
    <w:pPr>
      <w:jc w:val="center"/>
    </w:pPr>
  </w:p>
  <w:p w:rsidR="00D20BD2" w:rsidRDefault="00D20BD2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098"/>
    <w:multiLevelType w:val="multilevel"/>
    <w:tmpl w:val="D8889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0BD2"/>
    <w:rsid w:val="00613213"/>
    <w:rsid w:val="00AE7AAF"/>
    <w:rsid w:val="00D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2022-12-20T14:40:00Z</dcterms:created>
  <dcterms:modified xsi:type="dcterms:W3CDTF">2022-12-20T14:40:00Z</dcterms:modified>
</cp:coreProperties>
</file>