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b w:val="1"/>
          <w:sz w:val="12"/>
          <w:szCs w:val="1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-200.0" w:type="dxa"/>
        <w:tblLayout w:type="fixed"/>
        <w:tblLook w:val="0600"/>
      </w:tblPr>
      <w:tblGrid>
        <w:gridCol w:w="2490"/>
        <w:gridCol w:w="6390"/>
        <w:tblGridChange w:id="0">
          <w:tblGrid>
            <w:gridCol w:w="2490"/>
            <w:gridCol w:w="6390"/>
          </w:tblGrid>
        </w:tblGridChange>
      </w:tblGrid>
      <w:tr>
        <w:trPr>
          <w:cantSplit w:val="0"/>
          <w:tblHeader w:val="0"/>
        </w:trPr>
        <w:tc>
          <w:tcPr>
            <w:vMerge w:val="restart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405278" cy="642938"/>
                  <wp:effectExtent b="0" l="0" r="0" t="0"/>
                  <wp:docPr descr="logo_vaph_word_300dpi.png" id="5" name="image1.png"/>
                  <a:graphic>
                    <a:graphicData uri="http://schemas.openxmlformats.org/drawingml/2006/picture">
                      <pic:pic>
                        <pic:nvPicPr>
                          <pic:cNvPr descr="logo_vaph_word_300dpi.png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Zenithgebouw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Koning Albert II-laan 37</w:t>
              <w:br w:type="textWrapping"/>
              <w:t xml:space="preserve">1030 BRUSSEL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www.vaph.be</w:t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jc w:val="righ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INFONOTA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jc w:val="righ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sz w:val="26"/>
                <w:szCs w:val="26"/>
                <w:rtl w:val="0"/>
              </w:rPr>
              <w:t xml:space="preserve">Aan: aanbieders van rechtstreeks toegankelijke hulp (RTH-diensten), diensten ondersteuningsplan (DOP), multifunctionele centra (MFC), vergunde zorgaanbieders (VZA)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jc w:val="righ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20 december 2022</w:t>
            </w:r>
          </w:p>
        </w:tc>
      </w:tr>
      <w:tr>
        <w:trPr>
          <w:cantSplit w:val="0"/>
          <w:tblHeader w:val="0"/>
        </w:trPr>
        <w:tc>
          <w:tcPr>
            <w:vMerge w:val="continue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66666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jc w:val="right"/>
              <w:rPr>
                <w:color w:val="666666"/>
              </w:rPr>
            </w:pPr>
            <w:r w:rsidDel="00000000" w:rsidR="00000000" w:rsidRPr="00000000">
              <w:rPr>
                <w:color w:val="666666"/>
                <w:rtl w:val="0"/>
              </w:rPr>
              <w:t xml:space="preserve">INF/22/56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Contactpersoon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Helpdesk personeelsregistratie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personeelsregistratie@vaph.be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Telefoon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02 249 33 44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jc w:val="righ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Bijlagen</w:t>
            </w:r>
          </w:p>
        </w:tc>
        <w:tc>
          <w:tcPr>
            <w:shd w:fill="auto" w:val="clear"/>
            <w:tcMar>
              <w:top w:w="20.0" w:type="dxa"/>
              <w:left w:w="100.0" w:type="dxa"/>
              <w:bottom w:w="2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Geen 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sz w:val="34"/>
                <w:szCs w:val="3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rPr>
                <w:sz w:val="34"/>
                <w:szCs w:val="34"/>
              </w:rPr>
            </w:pPr>
            <w:r w:rsidDel="00000000" w:rsidR="00000000" w:rsidRPr="00000000">
              <w:rPr>
                <w:sz w:val="34"/>
                <w:szCs w:val="34"/>
                <w:rtl w:val="0"/>
              </w:rPr>
              <w:t xml:space="preserve">Wijzigingen voorschotcyclus 2023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auto" w:val="clear"/>
            <w:tcMar>
              <w:top w:w="60.0" w:type="dxa"/>
              <w:left w:w="100.0" w:type="dxa"/>
              <w:bottom w:w="6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Vanaf januari 2023 wijzigt de voorschotcyclus voor subsidie-eenheden. De belangrijkste wijzigingen zijn: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De uitbetaling van het maandelijks voorschot wordt uitgesplitst in een bedrag per cliënt/voucher en een saldo (= het berekend voorschot in Isis – bedragen per cliënt).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Het voorschot van januari wordt later uitbetaald, maar wel voor 15 januari. </w:t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In november werden twee webinars gegeven waar de aanpassingen uitgebreid aan bod kwamen. Op onze website kunt u de opname van de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webinar</w:t>
        </w:r>
      </w:hyperlink>
      <w:r w:rsidDel="00000000" w:rsidR="00000000" w:rsidRPr="00000000">
        <w:rPr>
          <w:rtl w:val="0"/>
        </w:rPr>
        <w:t xml:space="preserve"> bekijken. U vindt er ook de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antwoorden op enkele veelgestelde vragen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Om overbelasting van de helpdesk te vermijden, vragen we u om rekening te houden met het volgende: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Als u vragen hebt, (her)bekijk dan eerst de opname van het webinar en neem het document met de veelgestelde vragen door.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Als het totale voorschotbedrag (som van bedragen per cliënt en saldo) overeenstemt met het in Isis berekende voorschot, zal de helpdesk geen vragen over de aparte bedragen per cliënt beantwoorden.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Stel uw vragen bij voorkeur via mail (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personeelsregistratie@vaph.be</w:t>
        </w:r>
      </w:hyperlink>
      <w:r w:rsidDel="00000000" w:rsidR="00000000" w:rsidRPr="00000000">
        <w:rPr>
          <w:rtl w:val="0"/>
        </w:rPr>
        <w:t xml:space="preserve">), vermeld telkens het subsidie-eenheidnummer in het onderwerp.</w:t>
      </w:r>
    </w:p>
    <w:p w:rsidR="00000000" w:rsidDel="00000000" w:rsidP="00000000" w:rsidRDefault="00000000" w:rsidRPr="00000000" w14:paraId="0000002C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James Van Casteren</w:t>
      </w:r>
    </w:p>
    <w:p w:rsidR="00000000" w:rsidDel="00000000" w:rsidP="00000000" w:rsidRDefault="00000000" w:rsidRPr="00000000" w14:paraId="0000003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i w:val="1"/>
        </w:rPr>
      </w:pPr>
      <w:r w:rsidDel="00000000" w:rsidR="00000000" w:rsidRPr="00000000">
        <w:rPr>
          <w:rtl w:val="0"/>
        </w:rPr>
        <w:t xml:space="preserve">Administrateur-generaal</w:t>
      </w:r>
      <w:r w:rsidDel="00000000" w:rsidR="00000000" w:rsidRPr="00000000">
        <w:rPr>
          <w:rtl w:val="0"/>
        </w:rPr>
      </w:r>
    </w:p>
    <w:sectPr>
      <w:headerReference r:id="rId11" w:type="default"/>
      <w:headerReference r:id="rId12" w:type="first"/>
      <w:footerReference r:id="rId13" w:type="default"/>
      <w:footerReference r:id="rId14" w:type="first"/>
      <w:pgSz w:h="16838" w:w="11906" w:orient="portrait"/>
      <w:pgMar w:bottom="1870" w:top="425" w:left="992" w:right="1133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/>
    </w:pPr>
    <w:r w:rsidDel="00000000" w:rsidR="00000000" w:rsidRPr="00000000">
      <w:rPr/>
      <w:drawing>
        <wp:inline distB="114300" distT="114300" distL="114300" distR="114300">
          <wp:extent cx="1364840" cy="566738"/>
          <wp:effectExtent b="0" l="0" r="0" t="0"/>
          <wp:docPr descr="logo_vlaanderen-is-welzijn_word_300dpi.png" id="6" name="image2.png"/>
          <a:graphic>
            <a:graphicData uri="http://schemas.openxmlformats.org/drawingml/2006/picture">
              <pic:pic>
                <pic:nvPicPr>
                  <pic:cNvPr descr="logo_vlaanderen-is-welzijn_word_300dpi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ab/>
      <w:tab/>
      <w:tab/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i w:val="1"/>
        <w:sz w:val="2"/>
        <w:szCs w:val="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8"/>
      <w:szCs w:val="3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color w:val="9d1a53"/>
      <w:sz w:val="52"/>
      <w:szCs w:val="52"/>
    </w:rPr>
  </w:style>
  <w:style w:type="paragraph" w:styleId="Standaard" w:default="1">
    <w:name w:val="Normal"/>
  </w:style>
  <w:style w:type="paragraph" w:styleId="Kop1">
    <w:name w:val="heading 1"/>
    <w:basedOn w:val="Standaard"/>
    <w:next w:val="Standaard"/>
    <w:pPr>
      <w:keepNext w:val="1"/>
      <w:keepLines w:val="1"/>
      <w:outlineLvl w:val="0"/>
    </w:pPr>
    <w:rPr>
      <w:b w:val="1"/>
      <w:sz w:val="38"/>
      <w:szCs w:val="38"/>
    </w:rPr>
  </w:style>
  <w:style w:type="paragraph" w:styleId="Kop2">
    <w:name w:val="heading 2"/>
    <w:basedOn w:val="Standaard"/>
    <w:next w:val="Standaard"/>
    <w:pPr>
      <w:keepNext w:val="1"/>
      <w:keepLines w:val="1"/>
      <w:outlineLvl w:val="1"/>
    </w:pPr>
    <w:rPr>
      <w:b w:val="1"/>
      <w:sz w:val="34"/>
      <w:szCs w:val="34"/>
    </w:rPr>
  </w:style>
  <w:style w:type="paragraph" w:styleId="Kop3">
    <w:name w:val="heading 3"/>
    <w:basedOn w:val="Standaard"/>
    <w:next w:val="Standaard"/>
    <w:pPr>
      <w:keepNext w:val="1"/>
      <w:keepLines w:val="1"/>
      <w:outlineLvl w:val="2"/>
    </w:pPr>
    <w:rPr>
      <w:b w:val="1"/>
      <w:sz w:val="28"/>
      <w:szCs w:val="28"/>
    </w:rPr>
  </w:style>
  <w:style w:type="paragraph" w:styleId="Kop4">
    <w:name w:val="heading 4"/>
    <w:basedOn w:val="Standaard"/>
    <w:next w:val="Standaar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el">
    <w:name w:val="Title"/>
    <w:basedOn w:val="Standaard"/>
    <w:next w:val="Standaard"/>
    <w:pPr>
      <w:keepNext w:val="1"/>
      <w:keepLines w:val="1"/>
    </w:pPr>
    <w:rPr>
      <w:color w:val="9d1a53"/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ndertitel">
    <w:name w:val="Subtitle"/>
    <w:basedOn w:val="Standaard"/>
    <w:next w:val="Standaard"/>
    <w:pPr>
      <w:keepNext w:val="1"/>
      <w:keepLines w:val="1"/>
    </w:pPr>
    <w:rPr>
      <w:color w:val="9d1a53"/>
      <w:sz w:val="28"/>
      <w:szCs w:val="28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Ballontekst">
    <w:name w:val="Balloon Text"/>
    <w:basedOn w:val="Standaard"/>
    <w:link w:val="BallontekstChar"/>
    <w:uiPriority w:val="99"/>
    <w:semiHidden w:val="1"/>
    <w:unhideWhenUsed w:val="1"/>
    <w:rsid w:val="00520A8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 w:val="1"/>
    <w:rsid w:val="00520A84"/>
    <w:rPr>
      <w:rFonts w:ascii="Tahoma" w:cs="Tahoma" w:hAnsi="Tahoma"/>
      <w:sz w:val="16"/>
      <w:szCs w:val="16"/>
    </w:r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9d1a53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yperlink" Target="mailto:personeelsregistratie@vaph.be" TargetMode="Externa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vaph.be/documenten/faq-aanpassingen-voorschotcyclus-vergunde-zorgaanbieders" TargetMode="Externa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www.vaph.be/video/video-webinar-aanpassingen-voorschotcyclus-voor-vergunde-zorgaanbieders-november-2022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I0MhG3xh0QqZi5BJrhTF4w6h+Q==">AMUW2mVqlJ3TzQz3u52naVOLVpb6K5AeTgEtWNhmiEFubeUpaffynpHH5hkjyLiEk2NL1cL2Yg0CUcxSto3Kg1KIJMTbAhKSgTji1Tgl+qQR0vFhURLnlwmanS5Zhhc7CfjUm7WyZnix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2022-12-19T14:46:00Z</dcterms:created>
  <dc:creator>Sarah De Prins</dc:creator>
</cp:coreProperties>
</file>