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61D4A5" w14:textId="77777777" w:rsidR="000C0239" w:rsidRDefault="000C0239"/>
    <w:p w14:paraId="1B27A532" w14:textId="77777777" w:rsidR="000C0239" w:rsidRDefault="000C0239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0C0239" w14:paraId="6C267AA2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AF92E2D" w14:textId="77777777" w:rsidR="000C0239" w:rsidRDefault="00D86B26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B107551" wp14:editId="01717BF2">
                  <wp:extent cx="1405278" cy="642938"/>
                  <wp:effectExtent l="0" t="0" r="0" b="0"/>
                  <wp:docPr id="1" name="image1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46D6B56" w14:textId="77777777" w:rsidR="000C0239" w:rsidRDefault="000C0239">
            <w:pPr>
              <w:widowControl w:val="0"/>
              <w:spacing w:line="240" w:lineRule="auto"/>
            </w:pPr>
          </w:p>
          <w:p w14:paraId="14BB86CE" w14:textId="77777777" w:rsidR="000C0239" w:rsidRDefault="00D86B26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792F4807" w14:textId="77777777" w:rsidR="000C0239" w:rsidRDefault="00D86B26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25EB216A" w14:textId="77777777" w:rsidR="000C0239" w:rsidRDefault="00D86B26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86DB680" w14:textId="77777777" w:rsidR="000C0239" w:rsidRDefault="000C0239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33FF21EB" w14:textId="77777777" w:rsidR="000C0239" w:rsidRDefault="000C0239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5DC510E8" w14:textId="77777777" w:rsidR="000C0239" w:rsidRDefault="00D86B26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0C0239" w14:paraId="574DCBF0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B7757" w14:textId="77777777" w:rsidR="000C0239" w:rsidRDefault="000C0239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35DFA07" w14:textId="77777777" w:rsidR="000C0239" w:rsidRDefault="00D86B26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centra (MFC)</w:t>
            </w:r>
          </w:p>
        </w:tc>
      </w:tr>
      <w:tr w:rsidR="000C0239" w14:paraId="30522A70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9785" w14:textId="77777777" w:rsidR="000C0239" w:rsidRDefault="000C0239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BE2A149" w14:textId="77777777" w:rsidR="000C0239" w:rsidRDefault="00D86B26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2 </w:t>
            </w:r>
            <w:proofErr w:type="spellStart"/>
            <w:r>
              <w:rPr>
                <w:color w:val="666666"/>
              </w:rPr>
              <w:t>maart</w:t>
            </w:r>
            <w:proofErr w:type="spellEnd"/>
            <w:r>
              <w:rPr>
                <w:color w:val="666666"/>
              </w:rPr>
              <w:t xml:space="preserve"> 2023</w:t>
            </w:r>
          </w:p>
        </w:tc>
      </w:tr>
      <w:tr w:rsidR="000C0239" w14:paraId="374B9221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D803" w14:textId="77777777" w:rsidR="000C0239" w:rsidRDefault="000C0239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895D650" w14:textId="77777777" w:rsidR="000C0239" w:rsidRDefault="00D86B26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INF/23/06</w:t>
            </w:r>
          </w:p>
        </w:tc>
      </w:tr>
      <w:tr w:rsidR="000C0239" w14:paraId="0B59049D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931D85F" w14:textId="77777777" w:rsidR="000C0239" w:rsidRDefault="00D86B26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3846B34B" w14:textId="77777777" w:rsidR="000C0239" w:rsidRDefault="00D86B26">
            <w:pPr>
              <w:widowControl w:val="0"/>
            </w:pPr>
            <w:r>
              <w:t>Lander Huygens</w:t>
            </w:r>
          </w:p>
        </w:tc>
      </w:tr>
      <w:tr w:rsidR="000C0239" w14:paraId="21337D2B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112AFA2" w14:textId="77777777" w:rsidR="000C0239" w:rsidRDefault="00D86B26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74E8C752" w14:textId="77777777" w:rsidR="000C0239" w:rsidRDefault="00D86B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0C0239" w14:paraId="536A5DF9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F558F25" w14:textId="77777777" w:rsidR="000C0239" w:rsidRDefault="00D86B26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206164F2" w14:textId="77777777" w:rsidR="000C0239" w:rsidRDefault="00D86B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02 249 36 66</w:t>
            </w:r>
          </w:p>
        </w:tc>
      </w:tr>
      <w:tr w:rsidR="000C0239" w14:paraId="078086D8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2A3ECEE" w14:textId="77777777" w:rsidR="000C0239" w:rsidRDefault="00D86B26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55C52746" w14:textId="77777777" w:rsidR="000C0239" w:rsidRDefault="000C0239">
            <w:pPr>
              <w:widowControl w:val="0"/>
              <w:rPr>
                <w:sz w:val="20"/>
                <w:szCs w:val="20"/>
              </w:rPr>
            </w:pPr>
          </w:p>
        </w:tc>
      </w:tr>
      <w:tr w:rsidR="000C0239" w14:paraId="6B2A0161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8C1BAD9" w14:textId="77777777" w:rsidR="000C0239" w:rsidRDefault="000C0239">
            <w:pPr>
              <w:widowControl w:val="0"/>
              <w:rPr>
                <w:sz w:val="34"/>
                <w:szCs w:val="34"/>
              </w:rPr>
            </w:pPr>
          </w:p>
        </w:tc>
      </w:tr>
      <w:tr w:rsidR="000C0239" w14:paraId="6C1BBD9C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583CB51" w14:textId="77777777" w:rsidR="000C0239" w:rsidRDefault="00D86B26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Richtlijnen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herberekening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bijdrage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multifunctioneel</w:t>
            </w:r>
            <w:proofErr w:type="spellEnd"/>
            <w:r>
              <w:rPr>
                <w:sz w:val="34"/>
                <w:szCs w:val="34"/>
              </w:rPr>
              <w:t xml:space="preserve"> centrum</w:t>
            </w:r>
          </w:p>
        </w:tc>
      </w:tr>
      <w:tr w:rsidR="000C0239" w14:paraId="3D49044C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F460C0B" w14:textId="77777777" w:rsidR="000C0239" w:rsidRDefault="00D86B2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536ACA7" w14:textId="77777777" w:rsidR="000C0239" w:rsidRDefault="00D86B26">
      <w:pPr>
        <w:widowControl w:val="0"/>
        <w:spacing w:line="360" w:lineRule="auto"/>
      </w:pPr>
      <w:r>
        <w:t xml:space="preserve">De </w:t>
      </w:r>
      <w:proofErr w:type="spellStart"/>
      <w:r>
        <w:t>financiële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 (MFC)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aanrekenen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gebruikers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geregeld</w:t>
      </w:r>
      <w:proofErr w:type="spellEnd"/>
      <w:r>
        <w:t xml:space="preserve"> in het </w:t>
      </w:r>
      <w:proofErr w:type="spellStart"/>
      <w:r>
        <w:t>besluit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van 26 </w:t>
      </w:r>
      <w:proofErr w:type="spellStart"/>
      <w:r>
        <w:t>februari</w:t>
      </w:r>
      <w:proofErr w:type="spellEnd"/>
      <w:r>
        <w:t xml:space="preserve"> 2016 </w:t>
      </w:r>
      <w:proofErr w:type="spellStart"/>
      <w:r>
        <w:t>houdende</w:t>
      </w:r>
      <w:proofErr w:type="spellEnd"/>
      <w:r>
        <w:t xml:space="preserve"> </w:t>
      </w:r>
      <w:proofErr w:type="spellStart"/>
      <w:r>
        <w:t>erkenning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subsidiëring</w:t>
      </w:r>
      <w:proofErr w:type="spellEnd"/>
      <w:r>
        <w:t xml:space="preserve"> van </w:t>
      </w:r>
      <w:proofErr w:type="spellStart"/>
      <w:r>
        <w:t>multifunctionele</w:t>
      </w:r>
      <w:proofErr w:type="spellEnd"/>
      <w:r>
        <w:t xml:space="preserve"> centra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minderjarige</w:t>
      </w:r>
      <w:proofErr w:type="spellEnd"/>
      <w:r>
        <w:t xml:space="preserve"> </w:t>
      </w:r>
      <w:proofErr w:type="spellStart"/>
      <w:r>
        <w:t>pe</w:t>
      </w:r>
      <w:r>
        <w:t>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handicap. Het MFC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in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correcte</w:t>
      </w:r>
      <w:proofErr w:type="spellEnd"/>
      <w:r>
        <w:t xml:space="preserve"> </w:t>
      </w:r>
      <w:proofErr w:type="spellStart"/>
      <w:r>
        <w:t>berekening</w:t>
      </w:r>
      <w:proofErr w:type="spellEnd"/>
      <w:r>
        <w:t xml:space="preserve"> van de </w:t>
      </w:r>
      <w:proofErr w:type="spellStart"/>
      <w:r>
        <w:t>bijdrage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facturering</w:t>
      </w:r>
      <w:proofErr w:type="spellEnd"/>
      <w:r>
        <w:t xml:space="preserve">. De </w:t>
      </w:r>
      <w:proofErr w:type="spellStart"/>
      <w:r>
        <w:t>gebruiker</w:t>
      </w:r>
      <w:proofErr w:type="spellEnd"/>
      <w:r>
        <w:t xml:space="preserve"> </w:t>
      </w:r>
      <w:proofErr w:type="spellStart"/>
      <w:r>
        <w:t>betaalt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</w:t>
      </w:r>
      <w:proofErr w:type="spellStart"/>
      <w:r>
        <w:t>afhankelijk</w:t>
      </w:r>
      <w:proofErr w:type="spellEnd"/>
      <w:r>
        <w:t xml:space="preserve"> van de </w:t>
      </w:r>
      <w:proofErr w:type="spellStart"/>
      <w:r>
        <w:t>ondersteuningsfunctie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frequentie</w:t>
      </w:r>
      <w:proofErr w:type="spellEnd"/>
      <w:r>
        <w:t>.</w:t>
      </w:r>
    </w:p>
    <w:p w14:paraId="0D8A62BB" w14:textId="77777777" w:rsidR="000C0239" w:rsidRDefault="000C0239">
      <w:pPr>
        <w:widowControl w:val="0"/>
        <w:spacing w:line="360" w:lineRule="auto"/>
      </w:pPr>
    </w:p>
    <w:p w14:paraId="10FA4E2B" w14:textId="77777777" w:rsidR="000C0239" w:rsidRDefault="00D86B26">
      <w:pPr>
        <w:widowControl w:val="0"/>
        <w:spacing w:line="360" w:lineRule="auto"/>
      </w:pPr>
      <w:r>
        <w:t xml:space="preserve">De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innen</w:t>
      </w:r>
      <w:proofErr w:type="spellEnd"/>
      <w:r>
        <w:t xml:space="preserve"> </w:t>
      </w:r>
      <w:proofErr w:type="spellStart"/>
      <w:r>
        <w:t>bijdragen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jaarlijks</w:t>
      </w:r>
      <w:proofErr w:type="spellEnd"/>
      <w:r>
        <w:t xml:space="preserve"> </w:t>
      </w:r>
      <w:proofErr w:type="spellStart"/>
      <w:r>
        <w:t>doorgegeven</w:t>
      </w:r>
      <w:proofErr w:type="spellEnd"/>
      <w:r>
        <w:t xml:space="preserve"> </w:t>
      </w:r>
      <w:proofErr w:type="spellStart"/>
      <w:r>
        <w:t>a</w:t>
      </w:r>
      <w:r>
        <w:t>an</w:t>
      </w:r>
      <w:proofErr w:type="spellEnd"/>
      <w:r>
        <w:t xml:space="preserve"> het VAPH </w:t>
      </w:r>
      <w:proofErr w:type="spellStart"/>
      <w:r>
        <w:t>en</w:t>
      </w:r>
      <w:proofErr w:type="spellEnd"/>
      <w:r>
        <w:t xml:space="preserve"> in </w:t>
      </w:r>
      <w:proofErr w:type="spellStart"/>
      <w:r>
        <w:t>mindering</w:t>
      </w:r>
      <w:proofErr w:type="spellEnd"/>
      <w:r>
        <w:t xml:space="preserve"> </w:t>
      </w:r>
      <w:proofErr w:type="spellStart"/>
      <w:r>
        <w:t>gebracht</w:t>
      </w:r>
      <w:proofErr w:type="spellEnd"/>
      <w:r>
        <w:t xml:space="preserve"> van de </w:t>
      </w:r>
      <w:proofErr w:type="spellStart"/>
      <w:r>
        <w:t>subsidie</w:t>
      </w:r>
      <w:proofErr w:type="spellEnd"/>
      <w:r>
        <w:t xml:space="preserve"> van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. </w:t>
      </w:r>
    </w:p>
    <w:p w14:paraId="6D957DDE" w14:textId="77777777" w:rsidR="000C0239" w:rsidRDefault="000C0239">
      <w:pPr>
        <w:widowControl w:val="0"/>
        <w:spacing w:line="360" w:lineRule="auto"/>
      </w:pPr>
    </w:p>
    <w:p w14:paraId="1B0A9AF9" w14:textId="77777777" w:rsidR="000C0239" w:rsidRDefault="00D86B26">
      <w:pPr>
        <w:widowControl w:val="0"/>
        <w:spacing w:line="360" w:lineRule="auto"/>
      </w:pPr>
      <w:r>
        <w:t xml:space="preserve">MFC’s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soms</w:t>
      </w:r>
      <w:proofErr w:type="spellEnd"/>
      <w:r>
        <w:t xml:space="preserve"> </w:t>
      </w:r>
      <w:proofErr w:type="spellStart"/>
      <w:r>
        <w:t>geconfronteerd</w:t>
      </w:r>
      <w:proofErr w:type="spellEnd"/>
      <w:r>
        <w:t xml:space="preserve"> met </w:t>
      </w:r>
      <w:proofErr w:type="spellStart"/>
      <w:r>
        <w:t>herberekeningen</w:t>
      </w:r>
      <w:proofErr w:type="spellEnd"/>
      <w:r>
        <w:t xml:space="preserve"> of </w:t>
      </w:r>
      <w:proofErr w:type="spellStart"/>
      <w:r>
        <w:t>terugvorderingen</w:t>
      </w:r>
      <w:proofErr w:type="spellEnd"/>
      <w:r>
        <w:t xml:space="preserve"> van het </w:t>
      </w:r>
      <w:proofErr w:type="spellStart"/>
      <w:r>
        <w:t>groeipakket</w:t>
      </w:r>
      <w:proofErr w:type="spellEnd"/>
      <w:r>
        <w:t xml:space="preserve">. </w:t>
      </w:r>
      <w:proofErr w:type="spellStart"/>
      <w:r>
        <w:t>Graag</w:t>
      </w:r>
      <w:proofErr w:type="spellEnd"/>
      <w:r>
        <w:t xml:space="preserve"> </w:t>
      </w:r>
      <w:proofErr w:type="spellStart"/>
      <w:r>
        <w:t>verduidelijken</w:t>
      </w:r>
      <w:proofErr w:type="spellEnd"/>
      <w:r>
        <w:t xml:space="preserve"> we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</w:t>
      </w:r>
      <w:proofErr w:type="spellStart"/>
      <w:r>
        <w:t>richtlijnen</w:t>
      </w:r>
      <w:proofErr w:type="spellEnd"/>
      <w:r>
        <w:t xml:space="preserve"> over hoe MFC’s </w:t>
      </w:r>
      <w:proofErr w:type="spellStart"/>
      <w:r>
        <w:t>hiermee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omgaan</w:t>
      </w:r>
      <w:proofErr w:type="spellEnd"/>
      <w:r>
        <w:t xml:space="preserve">. </w:t>
      </w:r>
      <w:proofErr w:type="spellStart"/>
      <w:r>
        <w:t>Di</w:t>
      </w:r>
      <w:r>
        <w:t>t</w:t>
      </w:r>
      <w:proofErr w:type="spellEnd"/>
      <w:r>
        <w:t xml:space="preserve"> om </w:t>
      </w:r>
      <w:proofErr w:type="spellStart"/>
      <w:r>
        <w:t>zowel</w:t>
      </w:r>
      <w:proofErr w:type="spellEnd"/>
      <w:r>
        <w:t xml:space="preserve"> de </w:t>
      </w:r>
      <w:proofErr w:type="spellStart"/>
      <w:r>
        <w:t>administratieve</w:t>
      </w:r>
      <w:proofErr w:type="spellEnd"/>
      <w:r>
        <w:t xml:space="preserve"> last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financiële</w:t>
      </w:r>
      <w:proofErr w:type="spellEnd"/>
      <w:r>
        <w:t xml:space="preserve"> impact zo </w:t>
      </w:r>
      <w:proofErr w:type="spellStart"/>
      <w:r>
        <w:t>beperkt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houden</w:t>
      </w:r>
      <w:proofErr w:type="spellEnd"/>
      <w:r>
        <w:t>.</w:t>
      </w:r>
    </w:p>
    <w:p w14:paraId="00E7F689" w14:textId="77777777" w:rsidR="000C0239" w:rsidRDefault="000C0239">
      <w:pPr>
        <w:widowControl w:val="0"/>
        <w:spacing w:line="360" w:lineRule="auto"/>
      </w:pPr>
    </w:p>
    <w:p w14:paraId="5DE9A276" w14:textId="77777777" w:rsidR="000C0239" w:rsidRDefault="000C0239">
      <w:pPr>
        <w:widowControl w:val="0"/>
        <w:spacing w:line="360" w:lineRule="auto"/>
      </w:pPr>
    </w:p>
    <w:p w14:paraId="670A67A7" w14:textId="77777777" w:rsidR="000C0239" w:rsidRDefault="00D86B26">
      <w:pPr>
        <w:widowControl w:val="0"/>
        <w:spacing w:line="360" w:lineRule="auto"/>
        <w:rPr>
          <w:b/>
        </w:rPr>
      </w:pPr>
      <w:proofErr w:type="spellStart"/>
      <w:r>
        <w:rPr>
          <w:b/>
        </w:rPr>
        <w:t>Herziening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groeipakket</w:t>
      </w:r>
      <w:proofErr w:type="spellEnd"/>
      <w:r>
        <w:rPr>
          <w:b/>
        </w:rPr>
        <w:t xml:space="preserve"> (met </w:t>
      </w:r>
      <w:proofErr w:type="spellStart"/>
      <w:r>
        <w:rPr>
          <w:b/>
        </w:rPr>
        <w:t>terugwerkende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kracht</w:t>
      </w:r>
      <w:proofErr w:type="spellEnd"/>
      <w:r>
        <w:rPr>
          <w:b/>
        </w:rPr>
        <w:t>)</w:t>
      </w:r>
    </w:p>
    <w:p w14:paraId="15374E5B" w14:textId="77777777" w:rsidR="000C0239" w:rsidRDefault="000C0239">
      <w:pPr>
        <w:widowControl w:val="0"/>
        <w:spacing w:line="360" w:lineRule="auto"/>
        <w:rPr>
          <w:b/>
        </w:rPr>
      </w:pPr>
    </w:p>
    <w:p w14:paraId="05C5C6FD" w14:textId="77777777" w:rsidR="000C0239" w:rsidRDefault="00D86B26">
      <w:pPr>
        <w:widowControl w:val="0"/>
        <w:spacing w:line="360" w:lineRule="auto"/>
      </w:pPr>
      <w:r>
        <w:t xml:space="preserve">Het </w:t>
      </w:r>
      <w:proofErr w:type="spellStart"/>
      <w:r>
        <w:t>groeipakket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soms</w:t>
      </w:r>
      <w:proofErr w:type="spellEnd"/>
      <w:r>
        <w:t xml:space="preserve"> met </w:t>
      </w:r>
      <w:proofErr w:type="spellStart"/>
      <w:r>
        <w:t>terugwerkende</w:t>
      </w:r>
      <w:proofErr w:type="spellEnd"/>
      <w:r>
        <w:t xml:space="preserve"> </w:t>
      </w:r>
      <w:proofErr w:type="spellStart"/>
      <w:r>
        <w:t>kracht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. </w:t>
      </w:r>
      <w:proofErr w:type="spellStart"/>
      <w:r>
        <w:t>Zowel</w:t>
      </w:r>
      <w:proofErr w:type="spellEnd"/>
      <w:r>
        <w:t xml:space="preserve"> het MFC </w:t>
      </w:r>
      <w:proofErr w:type="spellStart"/>
      <w:r>
        <w:t>als</w:t>
      </w:r>
      <w:proofErr w:type="spellEnd"/>
      <w:r>
        <w:t xml:space="preserve"> </w:t>
      </w:r>
      <w:proofErr w:type="spellStart"/>
      <w:r>
        <w:t>gebruiker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lastRenderedPageBreak/>
        <w:t>bij</w:t>
      </w:r>
      <w:proofErr w:type="spellEnd"/>
      <w:r>
        <w:t xml:space="preserve"> het </w:t>
      </w:r>
      <w:proofErr w:type="spellStart"/>
      <w:r>
        <w:t>opmaken</w:t>
      </w:r>
      <w:proofErr w:type="spellEnd"/>
      <w:r>
        <w:t xml:space="preserve"> van de </w:t>
      </w:r>
      <w:proofErr w:type="spellStart"/>
      <w:r>
        <w:t>facturen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van op de </w:t>
      </w:r>
      <w:proofErr w:type="spellStart"/>
      <w:r>
        <w:t>hoogte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blijkt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voorbije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laag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afgetopt</w:t>
      </w:r>
      <w:proofErr w:type="spellEnd"/>
      <w:r>
        <w:t xml:space="preserve">, </w:t>
      </w:r>
      <w:proofErr w:type="spellStart"/>
      <w:r>
        <w:t>vraagt</w:t>
      </w:r>
      <w:proofErr w:type="spellEnd"/>
      <w:r>
        <w:t xml:space="preserve"> het VAPH om d</w:t>
      </w:r>
      <w:r>
        <w:t xml:space="preserve">e </w:t>
      </w:r>
      <w:proofErr w:type="spellStart"/>
      <w:r>
        <w:t>facturen</w:t>
      </w:r>
      <w:proofErr w:type="spellEnd"/>
      <w:r>
        <w:t xml:space="preserve"> m.b.t de </w:t>
      </w:r>
      <w:proofErr w:type="spellStart"/>
      <w:r>
        <w:t>financiële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 </w:t>
      </w:r>
      <w:proofErr w:type="spellStart"/>
      <w:r>
        <w:rPr>
          <w:b/>
        </w:rPr>
        <w:t>niet</w:t>
      </w:r>
      <w:proofErr w:type="spellEnd"/>
      <w:r>
        <w:rPr>
          <w:b/>
        </w:rPr>
        <w:t xml:space="preserve"> </w:t>
      </w:r>
      <w:proofErr w:type="spellStart"/>
      <w:r>
        <w:t>meer</w:t>
      </w:r>
      <w:proofErr w:type="spellEnd"/>
      <w:r>
        <w:t xml:space="preserve"> met </w:t>
      </w:r>
      <w:proofErr w:type="spellStart"/>
      <w:r>
        <w:t>terugwerkende</w:t>
      </w:r>
      <w:proofErr w:type="spellEnd"/>
      <w:r>
        <w:t xml:space="preserve"> </w:t>
      </w:r>
      <w:proofErr w:type="spellStart"/>
      <w:r>
        <w:t>kracht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rPr>
          <w:b/>
        </w:rPr>
        <w:t>herberekenen</w:t>
      </w:r>
      <w:proofErr w:type="spellEnd"/>
      <w:r>
        <w:t xml:space="preserve">. Het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financiële</w:t>
      </w:r>
      <w:proofErr w:type="spellEnd"/>
      <w:r>
        <w:t xml:space="preserve"> </w:t>
      </w:r>
      <w:proofErr w:type="spellStart"/>
      <w:r>
        <w:t>bijdragen</w:t>
      </w:r>
      <w:proofErr w:type="spellEnd"/>
      <w:r>
        <w:t xml:space="preserve"> </w:t>
      </w:r>
      <w:proofErr w:type="spellStart"/>
      <w:r>
        <w:t>opgegeven</w:t>
      </w:r>
      <w:proofErr w:type="spellEnd"/>
      <w:r>
        <w:t xml:space="preserve"> in het </w:t>
      </w:r>
      <w:proofErr w:type="spellStart"/>
      <w:r>
        <w:t>afrekeningsdossier</w:t>
      </w:r>
      <w:proofErr w:type="spellEnd"/>
      <w:r>
        <w:t xml:space="preserve"> van de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jaren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14:paraId="0F6F87CB" w14:textId="77777777" w:rsidR="000C0239" w:rsidRDefault="00D86B26">
      <w:pPr>
        <w:widowControl w:val="0"/>
        <w:spacing w:line="360" w:lineRule="auto"/>
      </w:pPr>
      <w:r>
        <w:t xml:space="preserve">We </w:t>
      </w:r>
      <w:proofErr w:type="spellStart"/>
      <w:r>
        <w:t>vragen</w:t>
      </w:r>
      <w:proofErr w:type="spellEnd"/>
      <w:r>
        <w:t xml:space="preserve"> het MFC het extra </w:t>
      </w:r>
      <w:proofErr w:type="spellStart"/>
      <w:r>
        <w:t>to</w:t>
      </w:r>
      <w:r>
        <w:t>egekend</w:t>
      </w:r>
      <w:proofErr w:type="spellEnd"/>
      <w:r>
        <w:t xml:space="preserve"> </w:t>
      </w:r>
      <w:proofErr w:type="spellStart"/>
      <w:r>
        <w:t>groeipakket</w:t>
      </w:r>
      <w:proofErr w:type="spellEnd"/>
      <w:r>
        <w:t xml:space="preserve"> over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gebruiker</w:t>
      </w:r>
      <w:proofErr w:type="spellEnd"/>
      <w:r>
        <w:t xml:space="preserve">. </w:t>
      </w:r>
    </w:p>
    <w:p w14:paraId="44B92CD8" w14:textId="77777777" w:rsidR="000C0239" w:rsidRDefault="00D86B26">
      <w:pPr>
        <w:widowControl w:val="0"/>
        <w:spacing w:line="360" w:lineRule="auto"/>
      </w:pPr>
      <w:r>
        <w:t xml:space="preserve">De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innen</w:t>
      </w:r>
      <w:proofErr w:type="spellEnd"/>
      <w:r>
        <w:t xml:space="preserve"> </w:t>
      </w:r>
      <w:proofErr w:type="spellStart"/>
      <w:r>
        <w:t>financiële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het moment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aanpassing</w:t>
      </w:r>
      <w:proofErr w:type="spellEnd"/>
      <w:r>
        <w:t xml:space="preserve"> van het </w:t>
      </w:r>
      <w:proofErr w:type="spellStart"/>
      <w:r>
        <w:t>groeipakket</w:t>
      </w:r>
      <w:proofErr w:type="spellEnd"/>
      <w:r>
        <w:t xml:space="preserve"> </w:t>
      </w:r>
      <w:proofErr w:type="spellStart"/>
      <w:r>
        <w:t>beslist</w:t>
      </w:r>
      <w:proofErr w:type="spellEnd"/>
      <w:r>
        <w:t xml:space="preserve"> is.</w:t>
      </w:r>
    </w:p>
    <w:p w14:paraId="0EFA39DB" w14:textId="77777777" w:rsidR="000C0239" w:rsidRDefault="000C0239">
      <w:pPr>
        <w:widowControl w:val="0"/>
        <w:spacing w:line="360" w:lineRule="auto"/>
      </w:pPr>
    </w:p>
    <w:p w14:paraId="308A42CD" w14:textId="77777777" w:rsidR="000C0239" w:rsidRDefault="000C0239">
      <w:pPr>
        <w:widowControl w:val="0"/>
        <w:spacing w:line="360" w:lineRule="auto"/>
      </w:pPr>
    </w:p>
    <w:p w14:paraId="43318DCF" w14:textId="77777777" w:rsidR="000C0239" w:rsidRDefault="00D86B26">
      <w:pPr>
        <w:widowControl w:val="0"/>
        <w:spacing w:line="360" w:lineRule="auto"/>
        <w:rPr>
          <w:b/>
        </w:rPr>
      </w:pPr>
      <w:proofErr w:type="spellStart"/>
      <w:r>
        <w:rPr>
          <w:b/>
        </w:rPr>
        <w:t>Terugvordering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groeipakket</w:t>
      </w:r>
      <w:proofErr w:type="spellEnd"/>
    </w:p>
    <w:p w14:paraId="5F1A2825" w14:textId="77777777" w:rsidR="000C0239" w:rsidRDefault="000C0239">
      <w:pPr>
        <w:widowControl w:val="0"/>
        <w:spacing w:line="360" w:lineRule="auto"/>
        <w:rPr>
          <w:b/>
        </w:rPr>
      </w:pPr>
    </w:p>
    <w:p w14:paraId="09830D81" w14:textId="77777777" w:rsidR="000C0239" w:rsidRDefault="00D86B26">
      <w:pPr>
        <w:widowControl w:val="0"/>
        <w:spacing w:line="360" w:lineRule="auto"/>
      </w:pPr>
      <w:proofErr w:type="spellStart"/>
      <w:r>
        <w:t>Bij</w:t>
      </w:r>
      <w:proofErr w:type="spellEnd"/>
      <w:r>
        <w:t xml:space="preserve"> </w:t>
      </w:r>
      <w:proofErr w:type="spellStart"/>
      <w:r>
        <w:t>terugvorderingen</w:t>
      </w:r>
      <w:proofErr w:type="spellEnd"/>
      <w:r>
        <w:t xml:space="preserve"> van het </w:t>
      </w:r>
      <w:proofErr w:type="spellStart"/>
      <w:r>
        <w:t>groeipakket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MFC </w:t>
      </w:r>
      <w:proofErr w:type="spellStart"/>
      <w:r>
        <w:t>zou</w:t>
      </w:r>
      <w:proofErr w:type="spellEnd"/>
      <w:r>
        <w:t xml:space="preserve"> </w:t>
      </w:r>
      <w:proofErr w:type="spellStart"/>
      <w:r>
        <w:t>bovenstaande</w:t>
      </w:r>
      <w:proofErr w:type="spellEnd"/>
      <w:r>
        <w:t xml:space="preserve"> </w:t>
      </w:r>
      <w:proofErr w:type="spellStart"/>
      <w:r>
        <w:t>werkwijze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bijkomend</w:t>
      </w:r>
      <w:proofErr w:type="spellEnd"/>
      <w:r>
        <w:t xml:space="preserve"> </w:t>
      </w:r>
      <w:proofErr w:type="spellStart"/>
      <w:r>
        <w:t>financieel</w:t>
      </w:r>
      <w:proofErr w:type="spellEnd"/>
      <w:r>
        <w:t xml:space="preserve"> </w:t>
      </w:r>
      <w:proofErr w:type="spellStart"/>
      <w:r>
        <w:t>risico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MFC. </w:t>
      </w:r>
      <w:proofErr w:type="spellStart"/>
      <w:r>
        <w:t>Bij</w:t>
      </w:r>
      <w:proofErr w:type="spellEnd"/>
      <w:r>
        <w:t xml:space="preserve"> </w:t>
      </w:r>
      <w:proofErr w:type="spellStart"/>
      <w:r>
        <w:t>niet-rechtstreeks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hulpverlening</w:t>
      </w:r>
      <w:proofErr w:type="spellEnd"/>
      <w:r>
        <w:t xml:space="preserve"> “</w:t>
      </w:r>
      <w:proofErr w:type="spellStart"/>
      <w:r>
        <w:t>verblijf</w:t>
      </w:r>
      <w:proofErr w:type="spellEnd"/>
      <w:r>
        <w:t xml:space="preserve">” </w:t>
      </w:r>
      <w:proofErr w:type="spellStart"/>
      <w:r>
        <w:t>wordt</w:t>
      </w:r>
      <w:proofErr w:type="spellEnd"/>
      <w:r>
        <w:t xml:space="preserve">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verdeelsleutel</w:t>
      </w:r>
      <w:proofErr w:type="spellEnd"/>
      <w:r>
        <w:t xml:space="preserve"> </w:t>
      </w:r>
      <w:proofErr w:type="spellStart"/>
      <w:r>
        <w:t>namelijk</w:t>
      </w:r>
      <w:proofErr w:type="spellEnd"/>
      <w:r>
        <w:t xml:space="preserve"> 2/3e van de </w:t>
      </w:r>
      <w:proofErr w:type="spellStart"/>
      <w:r>
        <w:t>gezinsbijslagen</w:t>
      </w:r>
      <w:proofErr w:type="spellEnd"/>
      <w:r>
        <w:t xml:space="preserve"> </w:t>
      </w:r>
      <w:proofErr w:type="spellStart"/>
      <w:r>
        <w:t>gestort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MFC. Zij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aa</w:t>
      </w:r>
      <w:r>
        <w:t>ngesproken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terugvordering</w:t>
      </w:r>
      <w:proofErr w:type="spellEnd"/>
      <w:r>
        <w:t>.</w:t>
      </w:r>
    </w:p>
    <w:p w14:paraId="03A9BD39" w14:textId="77777777" w:rsidR="000C0239" w:rsidRDefault="00D86B26">
      <w:pPr>
        <w:widowControl w:val="0"/>
        <w:spacing w:line="360" w:lineRule="auto"/>
      </w:pPr>
      <w:r>
        <w:t xml:space="preserve">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geval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het VAPH </w:t>
      </w:r>
      <w:proofErr w:type="spellStart"/>
      <w:r>
        <w:rPr>
          <w:b/>
        </w:rPr>
        <w:t>wel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verrekening</w:t>
      </w:r>
      <w:proofErr w:type="spellEnd"/>
      <w:r>
        <w:t xml:space="preserve"> toe van de </w:t>
      </w:r>
      <w:proofErr w:type="spellStart"/>
      <w:r>
        <w:t>geïnde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, tot </w:t>
      </w:r>
      <w:proofErr w:type="spellStart"/>
      <w:r>
        <w:t>maximaal</w:t>
      </w:r>
      <w:proofErr w:type="spellEnd"/>
      <w:r>
        <w:t xml:space="preserve"> 3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terug</w:t>
      </w:r>
      <w:proofErr w:type="spellEnd"/>
      <w:r>
        <w:t>.</w:t>
      </w:r>
    </w:p>
    <w:p w14:paraId="21CCDF64" w14:textId="77777777" w:rsidR="000C0239" w:rsidRDefault="000C0239">
      <w:pPr>
        <w:widowControl w:val="0"/>
        <w:spacing w:line="360" w:lineRule="auto"/>
      </w:pPr>
    </w:p>
    <w:p w14:paraId="4BA2D532" w14:textId="77777777" w:rsidR="000C0239" w:rsidRDefault="00D86B26">
      <w:pPr>
        <w:spacing w:line="360" w:lineRule="auto"/>
      </w:pPr>
      <w:r>
        <w:t xml:space="preserve">Het </w:t>
      </w:r>
      <w:proofErr w:type="spellStart"/>
      <w:r>
        <w:t>verrekenen</w:t>
      </w:r>
      <w:proofErr w:type="spellEnd"/>
      <w:r>
        <w:t xml:space="preserve"> van de </w:t>
      </w:r>
      <w:proofErr w:type="spellStart"/>
      <w:r>
        <w:t>bijdrage</w:t>
      </w:r>
      <w:proofErr w:type="spellEnd"/>
      <w:r>
        <w:t xml:space="preserve"> is </w:t>
      </w:r>
      <w:proofErr w:type="spellStart"/>
      <w:r>
        <w:t>weliswaar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toegestaan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zover</w:t>
      </w:r>
      <w:proofErr w:type="spellEnd"/>
      <w:r>
        <w:t xml:space="preserve"> de </w:t>
      </w:r>
      <w:proofErr w:type="spellStart"/>
      <w:r>
        <w:t>terugvordering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is op </w:t>
      </w:r>
      <w:proofErr w:type="spellStart"/>
      <w:r>
        <w:t>delen</w:t>
      </w:r>
      <w:proofErr w:type="spellEnd"/>
      <w:r>
        <w:t xml:space="preserve"> </w:t>
      </w:r>
      <w:r>
        <w:t xml:space="preserve">van het </w:t>
      </w:r>
      <w:proofErr w:type="spellStart"/>
      <w:r>
        <w:t>groeipakket</w:t>
      </w:r>
      <w:proofErr w:type="spellEnd"/>
      <w:r>
        <w:t xml:space="preserve"> die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meegeteld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bijdrage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zover</w:t>
      </w:r>
      <w:proofErr w:type="spellEnd"/>
      <w:r>
        <w:t xml:space="preserve"> er dan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aftoppingsregel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is </w:t>
      </w:r>
      <w:proofErr w:type="spellStart"/>
      <w:r>
        <w:t>waardoor</w:t>
      </w:r>
      <w:proofErr w:type="spellEnd"/>
      <w:r>
        <w:t xml:space="preserve"> de </w:t>
      </w:r>
      <w:proofErr w:type="spellStart"/>
      <w:r>
        <w:t>bijdrage</w:t>
      </w:r>
      <w:proofErr w:type="spellEnd"/>
      <w:r>
        <w:t xml:space="preserve">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verminderd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bijkomende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is </w:t>
      </w:r>
      <w:proofErr w:type="spellStart"/>
      <w:r>
        <w:t>ook</w:t>
      </w:r>
      <w:proofErr w:type="spellEnd"/>
      <w:r>
        <w:t xml:space="preserve">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situaties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nodig</w:t>
      </w:r>
      <w:proofErr w:type="spellEnd"/>
      <w:r>
        <w:t>.</w:t>
      </w:r>
    </w:p>
    <w:p w14:paraId="40D9BF26" w14:textId="77777777" w:rsidR="000C0239" w:rsidRDefault="00D86B26">
      <w:pPr>
        <w:spacing w:line="360" w:lineRule="auto"/>
      </w:pPr>
      <w:proofErr w:type="spellStart"/>
      <w:r>
        <w:t>Terugvorder</w:t>
      </w:r>
      <w:r>
        <w:t>ingen</w:t>
      </w:r>
      <w:proofErr w:type="spellEnd"/>
      <w:r>
        <w:t xml:space="preserve"> die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uitmaken</w:t>
      </w:r>
      <w:proofErr w:type="spellEnd"/>
      <w:r>
        <w:t xml:space="preserve"> van de </w:t>
      </w:r>
      <w:proofErr w:type="spellStart"/>
      <w:r>
        <w:t>geïnde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het MFC met de </w:t>
      </w:r>
      <w:proofErr w:type="spellStart"/>
      <w:r>
        <w:t>gebruiker</w:t>
      </w:r>
      <w:proofErr w:type="spellEnd"/>
      <w:r>
        <w:t xml:space="preserve"> </w:t>
      </w:r>
      <w:proofErr w:type="spellStart"/>
      <w:r>
        <w:t>regelen</w:t>
      </w:r>
      <w:proofErr w:type="spellEnd"/>
      <w:r>
        <w:t>.</w:t>
      </w:r>
    </w:p>
    <w:p w14:paraId="7C86E26D" w14:textId="77777777" w:rsidR="000C0239" w:rsidRDefault="000C0239">
      <w:pPr>
        <w:spacing w:line="360" w:lineRule="auto"/>
      </w:pPr>
    </w:p>
    <w:p w14:paraId="5DA976B1" w14:textId="77777777" w:rsidR="000C0239" w:rsidRDefault="00D86B26">
      <w:pPr>
        <w:spacing w:line="360" w:lineRule="auto"/>
      </w:pPr>
      <w:r>
        <w:t xml:space="preserve">Het </w:t>
      </w:r>
      <w:proofErr w:type="spellStart"/>
      <w:r>
        <w:t>bedrag</w:t>
      </w:r>
      <w:proofErr w:type="spellEnd"/>
      <w:r>
        <w:t xml:space="preserve"> van de </w:t>
      </w:r>
      <w:proofErr w:type="spellStart"/>
      <w:r>
        <w:t>bijdrage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geïnd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, </w:t>
      </w:r>
      <w:proofErr w:type="spellStart"/>
      <w:r>
        <w:t>moet</w:t>
      </w:r>
      <w:proofErr w:type="spellEnd"/>
      <w:r>
        <w:t xml:space="preserve"> in </w:t>
      </w:r>
      <w:proofErr w:type="spellStart"/>
      <w:r>
        <w:t>mindering</w:t>
      </w:r>
      <w:proofErr w:type="spellEnd"/>
      <w:r>
        <w:t xml:space="preserve"> </w:t>
      </w:r>
      <w:proofErr w:type="spellStart"/>
      <w:r>
        <w:t>gebracht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van de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geïnde</w:t>
      </w:r>
      <w:proofErr w:type="spellEnd"/>
      <w:r>
        <w:t xml:space="preserve"> </w:t>
      </w:r>
      <w:proofErr w:type="spellStart"/>
      <w:r>
        <w:t>bijdragen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jaarlijks</w:t>
      </w:r>
      <w:proofErr w:type="spellEnd"/>
      <w:r>
        <w:t xml:space="preserve"> via het </w:t>
      </w:r>
      <w:proofErr w:type="spellStart"/>
      <w:r>
        <w:t>afrekeningsdossier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doorgegeven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VAPH.</w:t>
      </w:r>
    </w:p>
    <w:p w14:paraId="493B5152" w14:textId="77777777" w:rsidR="000C0239" w:rsidRDefault="00D86B26">
      <w:pPr>
        <w:spacing w:line="360" w:lineRule="auto"/>
      </w:pPr>
      <w:proofErr w:type="spellStart"/>
      <w:r>
        <w:t>Dit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tot </w:t>
      </w:r>
      <w:proofErr w:type="spellStart"/>
      <w:r>
        <w:t>maximaal</w:t>
      </w:r>
      <w:proofErr w:type="spellEnd"/>
      <w:r>
        <w:t xml:space="preserve"> 3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. De </w:t>
      </w:r>
      <w:proofErr w:type="spellStart"/>
      <w:r>
        <w:t>vereffening</w:t>
      </w:r>
      <w:proofErr w:type="spellEnd"/>
      <w:r>
        <w:t xml:space="preserve"> </w:t>
      </w:r>
      <w:proofErr w:type="spellStart"/>
      <w:r>
        <w:t>gebeurt</w:t>
      </w:r>
      <w:proofErr w:type="spellEnd"/>
      <w:r>
        <w:t xml:space="preserve"> in het </w:t>
      </w:r>
      <w:proofErr w:type="spellStart"/>
      <w:r>
        <w:t>eerstvolgende</w:t>
      </w:r>
      <w:proofErr w:type="spellEnd"/>
      <w:r>
        <w:t xml:space="preserve"> </w:t>
      </w:r>
      <w:proofErr w:type="spellStart"/>
      <w:r>
        <w:t>afrekeningsdossier</w:t>
      </w:r>
      <w:proofErr w:type="spellEnd"/>
      <w:r>
        <w:t>.</w:t>
      </w:r>
    </w:p>
    <w:p w14:paraId="03AB9BA6" w14:textId="77777777" w:rsidR="000C0239" w:rsidRDefault="000C0239">
      <w:pPr>
        <w:spacing w:line="360" w:lineRule="auto"/>
        <w:rPr>
          <w:b/>
        </w:rPr>
      </w:pPr>
    </w:p>
    <w:p w14:paraId="697ECF26" w14:textId="77777777" w:rsidR="000C0239" w:rsidRDefault="000C0239">
      <w:pPr>
        <w:spacing w:line="360" w:lineRule="auto"/>
        <w:rPr>
          <w:b/>
        </w:rPr>
      </w:pPr>
    </w:p>
    <w:p w14:paraId="40DDC636" w14:textId="77777777" w:rsidR="000C0239" w:rsidRDefault="00D86B26">
      <w:pPr>
        <w:spacing w:line="360" w:lineRule="auto"/>
        <w:rPr>
          <w:b/>
        </w:rPr>
      </w:pPr>
      <w:proofErr w:type="spellStart"/>
      <w:r>
        <w:rPr>
          <w:b/>
        </w:rPr>
        <w:t>Voorbeelden</w:t>
      </w:r>
      <w:proofErr w:type="spellEnd"/>
    </w:p>
    <w:p w14:paraId="1709E48E" w14:textId="77777777" w:rsidR="000C0239" w:rsidRDefault="000C0239">
      <w:pPr>
        <w:spacing w:line="360" w:lineRule="auto"/>
        <w:rPr>
          <w:b/>
        </w:rPr>
      </w:pPr>
    </w:p>
    <w:p w14:paraId="7191D461" w14:textId="77777777" w:rsidR="000C0239" w:rsidRDefault="00D86B26">
      <w:pPr>
        <w:numPr>
          <w:ilvl w:val="0"/>
          <w:numId w:val="1"/>
        </w:numPr>
        <w:spacing w:line="360" w:lineRule="auto"/>
      </w:pPr>
      <w:r>
        <w:t xml:space="preserve">Er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terugvordering</w:t>
      </w:r>
      <w:proofErr w:type="spellEnd"/>
      <w:r>
        <w:t xml:space="preserve"> van de </w:t>
      </w:r>
      <w:proofErr w:type="spellStart"/>
      <w:r>
        <w:t>inkomensgerelateerde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toeslag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toeslag</w:t>
      </w:r>
      <w:proofErr w:type="spellEnd"/>
      <w:r>
        <w:t xml:space="preserve"> </w:t>
      </w:r>
      <w:proofErr w:type="spellStart"/>
      <w:r>
        <w:t>mocht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de </w:t>
      </w:r>
      <w:proofErr w:type="spellStart"/>
      <w:r>
        <w:t>maandelijkse</w:t>
      </w:r>
      <w:proofErr w:type="spellEnd"/>
      <w:r>
        <w:t xml:space="preserve"> </w:t>
      </w:r>
      <w:proofErr w:type="spellStart"/>
      <w:r>
        <w:t>aftoppingsregels</w:t>
      </w:r>
      <w:proofErr w:type="spellEnd"/>
      <w:r>
        <w:t xml:space="preserve"> van de </w:t>
      </w:r>
      <w:proofErr w:type="spellStart"/>
      <w:r>
        <w:t>bijdrage</w:t>
      </w:r>
      <w:proofErr w:type="spellEnd"/>
      <w:r>
        <w:t xml:space="preserve"> </w:t>
      </w:r>
      <w:proofErr w:type="spellStart"/>
      <w:r>
        <w:t>meegeteld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de </w:t>
      </w:r>
      <w:proofErr w:type="spellStart"/>
      <w:r>
        <w:t>bijdrage</w:t>
      </w:r>
      <w:proofErr w:type="spellEnd"/>
      <w:r>
        <w:t xml:space="preserve"> mag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verrekend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14:paraId="028D814E" w14:textId="77777777" w:rsidR="000C0239" w:rsidRDefault="00D86B26">
      <w:pPr>
        <w:numPr>
          <w:ilvl w:val="0"/>
          <w:numId w:val="1"/>
        </w:numPr>
        <w:spacing w:line="360" w:lineRule="auto"/>
      </w:pPr>
      <w:r>
        <w:lastRenderedPageBreak/>
        <w:t xml:space="preserve">Er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terugvordering</w:t>
      </w:r>
      <w:proofErr w:type="spellEnd"/>
      <w:r>
        <w:t xml:space="preserve"> van het </w:t>
      </w:r>
      <w:proofErr w:type="spellStart"/>
      <w:r>
        <w:t>groeip</w:t>
      </w:r>
      <w:r>
        <w:t>akket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de </w:t>
      </w:r>
      <w:proofErr w:type="spellStart"/>
      <w:r>
        <w:t>gebruiker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op had.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is het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gebruiker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 </w:t>
      </w:r>
      <w:proofErr w:type="spellStart"/>
      <w:r>
        <w:t>moest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</w:t>
      </w:r>
      <w:proofErr w:type="spellStart"/>
      <w:r>
        <w:t>omwille</w:t>
      </w:r>
      <w:proofErr w:type="spellEnd"/>
      <w:r>
        <w:t xml:space="preserve"> van de </w:t>
      </w:r>
      <w:proofErr w:type="spellStart"/>
      <w:r>
        <w:t>inkomensveranderlijke</w:t>
      </w:r>
      <w:proofErr w:type="spellEnd"/>
      <w:r>
        <w:t xml:space="preserve"> </w:t>
      </w:r>
      <w:proofErr w:type="spellStart"/>
      <w:r>
        <w:t>grens</w:t>
      </w:r>
      <w:proofErr w:type="spellEnd"/>
      <w:r>
        <w:t xml:space="preserve">. Als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geval</w:t>
      </w:r>
      <w:proofErr w:type="spellEnd"/>
      <w:r>
        <w:t xml:space="preserve"> is </w:t>
      </w:r>
      <w:proofErr w:type="spellStart"/>
      <w:r>
        <w:t>dient</w:t>
      </w:r>
      <w:proofErr w:type="spellEnd"/>
      <w:r>
        <w:t xml:space="preserve"> het MFC </w:t>
      </w:r>
      <w:proofErr w:type="spellStart"/>
      <w:r>
        <w:t>dit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met de </w:t>
      </w:r>
      <w:proofErr w:type="spellStart"/>
      <w:r>
        <w:t>gebruiker</w:t>
      </w:r>
      <w:proofErr w:type="spellEnd"/>
      <w:r>
        <w:t xml:space="preserve">, maar </w:t>
      </w:r>
      <w:proofErr w:type="spellStart"/>
      <w:r>
        <w:t>moet</w:t>
      </w:r>
      <w:proofErr w:type="spellEnd"/>
      <w:r>
        <w:t xml:space="preserve"> er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hogere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betaald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afgelopen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>.</w:t>
      </w:r>
    </w:p>
    <w:p w14:paraId="09A64EC1" w14:textId="77777777" w:rsidR="000C0239" w:rsidRDefault="00D86B26">
      <w:pPr>
        <w:numPr>
          <w:ilvl w:val="0"/>
          <w:numId w:val="1"/>
        </w:numPr>
        <w:spacing w:line="360" w:lineRule="auto"/>
      </w:pPr>
      <w:r>
        <w:t xml:space="preserve">Er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terugvordering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hoge</w:t>
      </w:r>
      <w:proofErr w:type="spellEnd"/>
      <w:r>
        <w:t xml:space="preserve"> </w:t>
      </w:r>
      <w:proofErr w:type="spellStart"/>
      <w:r>
        <w:t>zorgtoeslag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met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ondersteuningsbehoefte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betaald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impact </w:t>
      </w:r>
      <w:proofErr w:type="spellStart"/>
      <w:r>
        <w:t>hebben</w:t>
      </w:r>
      <w:proofErr w:type="spellEnd"/>
      <w:r>
        <w:t xml:space="preserve"> op de </w:t>
      </w:r>
      <w:proofErr w:type="spellStart"/>
      <w:r>
        <w:t>bijdrage</w:t>
      </w:r>
      <w:proofErr w:type="spellEnd"/>
      <w:r>
        <w:t xml:space="preserve">, het MFC </w:t>
      </w:r>
      <w:proofErr w:type="spellStart"/>
      <w:r>
        <w:t>verrekent</w:t>
      </w:r>
      <w:proofErr w:type="spellEnd"/>
      <w:r>
        <w:t xml:space="preserve"> de </w:t>
      </w:r>
      <w:proofErr w:type="spellStart"/>
      <w:r>
        <w:t>geïnde</w:t>
      </w:r>
      <w:proofErr w:type="spellEnd"/>
      <w:r>
        <w:t xml:space="preserve"> </w:t>
      </w:r>
      <w:proofErr w:type="spellStart"/>
      <w:r>
        <w:t>bi</w:t>
      </w:r>
      <w:r>
        <w:t>jdrage</w:t>
      </w:r>
      <w:proofErr w:type="spellEnd"/>
      <w:r>
        <w:t xml:space="preserve"> </w:t>
      </w:r>
      <w:proofErr w:type="spellStart"/>
      <w:r>
        <w:t>alsof</w:t>
      </w:r>
      <w:proofErr w:type="spellEnd"/>
      <w:r>
        <w:t xml:space="preserve"> de </w:t>
      </w:r>
      <w:proofErr w:type="spellStart"/>
      <w:r>
        <w:t>zorgtoeslag</w:t>
      </w:r>
      <w:proofErr w:type="spellEnd"/>
      <w:r>
        <w:t xml:space="preserve"> lager was. Het </w:t>
      </w:r>
      <w:proofErr w:type="spellStart"/>
      <w:r>
        <w:t>eventueel</w:t>
      </w:r>
      <w:proofErr w:type="spellEnd"/>
      <w:r>
        <w:t xml:space="preserve"> </w:t>
      </w:r>
      <w:proofErr w:type="spellStart"/>
      <w:r>
        <w:t>resterende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geregeld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met de </w:t>
      </w:r>
      <w:proofErr w:type="spellStart"/>
      <w:r>
        <w:t>gebruiker</w:t>
      </w:r>
      <w:proofErr w:type="spellEnd"/>
      <w:r>
        <w:t>.</w:t>
      </w:r>
    </w:p>
    <w:p w14:paraId="4C27E52F" w14:textId="77777777" w:rsidR="000C0239" w:rsidRDefault="000C02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319006D8" w14:textId="77777777" w:rsidR="000C0239" w:rsidRDefault="000C02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7D6361A9" w14:textId="77777777" w:rsidR="000C0239" w:rsidRDefault="000C02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68A67E63" w14:textId="77777777" w:rsidR="000C0239" w:rsidRDefault="000C02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564B8EAE" w14:textId="77777777" w:rsidR="000C0239" w:rsidRDefault="00D86B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James Van </w:t>
      </w:r>
      <w:proofErr w:type="spellStart"/>
      <w:r>
        <w:t>Casteren</w:t>
      </w:r>
      <w:proofErr w:type="spellEnd"/>
    </w:p>
    <w:p w14:paraId="2BAD8693" w14:textId="77777777" w:rsidR="000C0239" w:rsidRDefault="00D86B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proofErr w:type="spellStart"/>
      <w:r>
        <w:t>Administrateur-generaal</w:t>
      </w:r>
      <w:proofErr w:type="spellEnd"/>
    </w:p>
    <w:sectPr w:rsidR="000C02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1024" w14:textId="77777777" w:rsidR="00D86B26" w:rsidRDefault="00D86B26">
      <w:pPr>
        <w:spacing w:line="240" w:lineRule="auto"/>
      </w:pPr>
      <w:r>
        <w:separator/>
      </w:r>
    </w:p>
  </w:endnote>
  <w:endnote w:type="continuationSeparator" w:id="0">
    <w:p w14:paraId="5C637F90" w14:textId="77777777" w:rsidR="00D86B26" w:rsidRDefault="00D86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1FD7" w14:textId="77777777" w:rsidR="000C0239" w:rsidRDefault="00D86B26">
    <w:pPr>
      <w:jc w:val="right"/>
    </w:pPr>
    <w:r>
      <w:fldChar w:fldCharType="begin"/>
    </w:r>
    <w:r>
      <w:instrText>PAGE</w:instrText>
    </w:r>
    <w:r>
      <w:fldChar w:fldCharType="separate"/>
    </w:r>
    <w:r w:rsidR="005A231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411D" w14:textId="77777777" w:rsidR="000C0239" w:rsidRDefault="000C0239">
    <w:pPr>
      <w:pBdr>
        <w:top w:val="nil"/>
        <w:left w:val="nil"/>
        <w:bottom w:val="nil"/>
        <w:right w:val="nil"/>
        <w:between w:val="nil"/>
      </w:pBdr>
    </w:pPr>
  </w:p>
  <w:p w14:paraId="453CF849" w14:textId="77777777" w:rsidR="000C0239" w:rsidRDefault="00D86B26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1589C114" wp14:editId="60C0E3BF">
          <wp:extent cx="1364840" cy="566738"/>
          <wp:effectExtent l="0" t="0" r="0" b="0"/>
          <wp:docPr id="2" name="image2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5A2313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5A231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0F28" w14:textId="77777777" w:rsidR="00D86B26" w:rsidRDefault="00D86B26">
      <w:pPr>
        <w:spacing w:line="240" w:lineRule="auto"/>
      </w:pPr>
      <w:r>
        <w:separator/>
      </w:r>
    </w:p>
  </w:footnote>
  <w:footnote w:type="continuationSeparator" w:id="0">
    <w:p w14:paraId="415A366C" w14:textId="77777777" w:rsidR="00D86B26" w:rsidRDefault="00D86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1451" w14:textId="77777777" w:rsidR="000C0239" w:rsidRDefault="000C02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FF09" w14:textId="77777777" w:rsidR="000C0239" w:rsidRDefault="000C0239">
    <w:pPr>
      <w:jc w:val="center"/>
    </w:pPr>
  </w:p>
  <w:p w14:paraId="6AB2C998" w14:textId="77777777" w:rsidR="000C0239" w:rsidRDefault="000C0239">
    <w:pPr>
      <w:jc w:val="center"/>
      <w:rPr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36417"/>
    <w:multiLevelType w:val="multilevel"/>
    <w:tmpl w:val="329E4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239"/>
    <w:rsid w:val="000C0239"/>
    <w:rsid w:val="005A2313"/>
    <w:rsid w:val="00D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5FDC"/>
  <w15:docId w15:val="{23E21BEC-027F-43EC-B84E-5337F42A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3449</Characters>
  <Application>Microsoft Office Word</Application>
  <DocSecurity>0</DocSecurity>
  <Lines>28</Lines>
  <Paragraphs>8</Paragraphs>
  <ScaleCrop>false</ScaleCrop>
  <Company>VAPH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Prins</dc:creator>
  <cp:lastModifiedBy>Sarah De Prins</cp:lastModifiedBy>
  <cp:revision>2</cp:revision>
  <dcterms:created xsi:type="dcterms:W3CDTF">2023-02-27T14:34:00Z</dcterms:created>
  <dcterms:modified xsi:type="dcterms:W3CDTF">2023-02-27T14:34:00Z</dcterms:modified>
</cp:coreProperties>
</file>