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9D" w:rsidRDefault="00E8499D">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04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6"/>
        <w:gridCol w:w="6365"/>
      </w:tblGrid>
      <w:tr w:rsidR="00E8499D" w:rsidTr="00E8499D">
        <w:trPr>
          <w:trHeight w:val="260"/>
        </w:trPr>
        <w:tc>
          <w:tcPr>
            <w:tcW w:w="2676" w:type="dxa"/>
            <w:vMerge w:val="restart"/>
          </w:tcPr>
          <w:p w:rsidR="00E8499D" w:rsidRDefault="0064133F">
            <w:pPr>
              <w:pBdr>
                <w:top w:val="nil"/>
                <w:left w:val="nil"/>
                <w:bottom w:val="nil"/>
                <w:right w:val="nil"/>
                <w:between w:val="nil"/>
              </w:pBdr>
              <w:spacing w:after="0"/>
              <w:rPr>
                <w:color w:val="808080"/>
              </w:rPr>
            </w:pPr>
            <w:r>
              <w:rPr>
                <w:color w:val="808080"/>
              </w:rPr>
              <w:t>Zenithgebouw</w:t>
            </w:r>
            <w:r>
              <w:rPr>
                <w:color w:val="808080"/>
              </w:rPr>
              <w:br/>
              <w:t>Koning Albert II-laan 37</w:t>
            </w:r>
          </w:p>
          <w:p w:rsidR="00E8499D" w:rsidRDefault="0064133F">
            <w:pPr>
              <w:pBdr>
                <w:top w:val="nil"/>
                <w:left w:val="nil"/>
                <w:bottom w:val="nil"/>
                <w:right w:val="nil"/>
                <w:between w:val="nil"/>
              </w:pBdr>
              <w:spacing w:after="0"/>
              <w:rPr>
                <w:color w:val="808080"/>
              </w:rPr>
            </w:pPr>
            <w:r>
              <w:rPr>
                <w:color w:val="808080"/>
              </w:rPr>
              <w:t>1030 BRUSSEL</w:t>
            </w:r>
            <w:r>
              <w:rPr>
                <w:color w:val="808080"/>
              </w:rPr>
              <w:br/>
            </w:r>
            <w:r>
              <w:t>www.vaph.be</w:t>
            </w:r>
          </w:p>
        </w:tc>
        <w:tc>
          <w:tcPr>
            <w:tcW w:w="6365" w:type="dxa"/>
          </w:tcPr>
          <w:p w:rsidR="00E8499D" w:rsidRDefault="0064133F">
            <w:pPr>
              <w:pBdr>
                <w:top w:val="nil"/>
                <w:left w:val="nil"/>
                <w:bottom w:val="nil"/>
                <w:right w:val="nil"/>
                <w:between w:val="nil"/>
              </w:pBdr>
              <w:jc w:val="right"/>
              <w:rPr>
                <w:b/>
                <w:smallCaps/>
                <w:color w:val="373737"/>
                <w:sz w:val="36"/>
                <w:szCs w:val="36"/>
              </w:rPr>
            </w:pPr>
            <w:r>
              <w:rPr>
                <w:b/>
                <w:smallCaps/>
                <w:color w:val="373737"/>
                <w:sz w:val="36"/>
                <w:szCs w:val="36"/>
              </w:rPr>
              <w:t>INFONOTA</w:t>
            </w:r>
          </w:p>
        </w:tc>
      </w:tr>
      <w:tr w:rsidR="00E8499D" w:rsidTr="00E8499D">
        <w:trPr>
          <w:trHeight w:val="260"/>
        </w:trPr>
        <w:tc>
          <w:tcPr>
            <w:tcW w:w="2676" w:type="dxa"/>
            <w:vMerge/>
          </w:tcPr>
          <w:p w:rsidR="00E8499D" w:rsidRDefault="00E8499D">
            <w:pPr>
              <w:widowControl w:val="0"/>
              <w:pBdr>
                <w:top w:val="nil"/>
                <w:left w:val="nil"/>
                <w:bottom w:val="nil"/>
                <w:right w:val="nil"/>
                <w:between w:val="nil"/>
              </w:pBdr>
              <w:spacing w:after="0" w:line="276" w:lineRule="auto"/>
              <w:rPr>
                <w:b/>
                <w:smallCaps/>
                <w:color w:val="373737"/>
                <w:sz w:val="36"/>
                <w:szCs w:val="36"/>
              </w:rPr>
            </w:pPr>
          </w:p>
        </w:tc>
        <w:tc>
          <w:tcPr>
            <w:tcW w:w="6365" w:type="dxa"/>
          </w:tcPr>
          <w:p w:rsidR="00E8499D" w:rsidRDefault="0064133F">
            <w:pPr>
              <w:pBdr>
                <w:top w:val="nil"/>
                <w:left w:val="nil"/>
                <w:bottom w:val="nil"/>
                <w:right w:val="nil"/>
                <w:between w:val="nil"/>
              </w:pBdr>
              <w:jc w:val="right"/>
              <w:rPr>
                <w:b/>
                <w:color w:val="373737"/>
                <w:sz w:val="26"/>
                <w:szCs w:val="26"/>
              </w:rPr>
            </w:pPr>
            <w:r>
              <w:rPr>
                <w:b/>
                <w:color w:val="373737"/>
                <w:sz w:val="26"/>
                <w:szCs w:val="26"/>
              </w:rPr>
              <w:t>Gericht aan: Multidisciplinaire Teams (MDT), Vergunde zorgaanbieders,…</w:t>
            </w:r>
          </w:p>
        </w:tc>
      </w:tr>
      <w:tr w:rsidR="00E8499D" w:rsidTr="00E8499D">
        <w:trPr>
          <w:trHeight w:val="260"/>
        </w:trPr>
        <w:tc>
          <w:tcPr>
            <w:tcW w:w="2676" w:type="dxa"/>
            <w:vMerge/>
          </w:tcPr>
          <w:p w:rsidR="00E8499D" w:rsidRDefault="00E8499D">
            <w:pPr>
              <w:widowControl w:val="0"/>
              <w:pBdr>
                <w:top w:val="nil"/>
                <w:left w:val="nil"/>
                <w:bottom w:val="nil"/>
                <w:right w:val="nil"/>
                <w:between w:val="nil"/>
              </w:pBdr>
              <w:spacing w:after="0" w:line="276" w:lineRule="auto"/>
              <w:rPr>
                <w:b/>
                <w:color w:val="373737"/>
                <w:sz w:val="26"/>
                <w:szCs w:val="26"/>
              </w:rPr>
            </w:pPr>
          </w:p>
        </w:tc>
        <w:tc>
          <w:tcPr>
            <w:tcW w:w="6365" w:type="dxa"/>
          </w:tcPr>
          <w:p w:rsidR="00E8499D" w:rsidRDefault="0064133F">
            <w:pPr>
              <w:pBdr>
                <w:top w:val="nil"/>
                <w:left w:val="nil"/>
                <w:bottom w:val="nil"/>
                <w:right w:val="nil"/>
                <w:between w:val="nil"/>
              </w:pBdr>
              <w:spacing w:after="0"/>
              <w:jc w:val="right"/>
              <w:rPr>
                <w:color w:val="808080"/>
              </w:rPr>
            </w:pPr>
            <w:r>
              <w:rPr>
                <w:color w:val="808080"/>
              </w:rPr>
              <w:t>15 januari 2019</w:t>
            </w:r>
          </w:p>
        </w:tc>
      </w:tr>
      <w:tr w:rsidR="00E8499D" w:rsidTr="00E8499D">
        <w:trPr>
          <w:trHeight w:val="260"/>
        </w:trPr>
        <w:tc>
          <w:tcPr>
            <w:tcW w:w="2676" w:type="dxa"/>
            <w:vMerge/>
          </w:tcPr>
          <w:p w:rsidR="00E8499D" w:rsidRDefault="00E8499D">
            <w:pPr>
              <w:widowControl w:val="0"/>
              <w:pBdr>
                <w:top w:val="nil"/>
                <w:left w:val="nil"/>
                <w:bottom w:val="nil"/>
                <w:right w:val="nil"/>
                <w:between w:val="nil"/>
              </w:pBdr>
              <w:spacing w:after="0" w:line="276" w:lineRule="auto"/>
              <w:rPr>
                <w:color w:val="808080"/>
              </w:rPr>
            </w:pPr>
          </w:p>
        </w:tc>
        <w:tc>
          <w:tcPr>
            <w:tcW w:w="6365" w:type="dxa"/>
          </w:tcPr>
          <w:p w:rsidR="00E8499D" w:rsidRDefault="0064133F">
            <w:pPr>
              <w:pBdr>
                <w:top w:val="nil"/>
                <w:left w:val="nil"/>
                <w:bottom w:val="nil"/>
                <w:right w:val="nil"/>
                <w:between w:val="nil"/>
              </w:pBdr>
              <w:spacing w:after="0"/>
              <w:jc w:val="right"/>
              <w:rPr>
                <w:color w:val="808080"/>
              </w:rPr>
            </w:pPr>
            <w:r>
              <w:rPr>
                <w:color w:val="808080"/>
              </w:rPr>
              <w:t>INF/ATH/19/01</w:t>
            </w:r>
          </w:p>
        </w:tc>
      </w:tr>
      <w:tr w:rsidR="00E8499D" w:rsidTr="00E8499D">
        <w:trPr>
          <w:trHeight w:val="260"/>
        </w:trPr>
        <w:tc>
          <w:tcPr>
            <w:tcW w:w="2676" w:type="dxa"/>
            <w:vMerge/>
          </w:tcPr>
          <w:p w:rsidR="00E8499D" w:rsidRDefault="00E8499D">
            <w:pPr>
              <w:widowControl w:val="0"/>
              <w:pBdr>
                <w:top w:val="nil"/>
                <w:left w:val="nil"/>
                <w:bottom w:val="nil"/>
                <w:right w:val="nil"/>
                <w:between w:val="nil"/>
              </w:pBdr>
              <w:spacing w:after="0" w:line="276" w:lineRule="auto"/>
              <w:rPr>
                <w:color w:val="808080"/>
              </w:rPr>
            </w:pPr>
          </w:p>
        </w:tc>
        <w:tc>
          <w:tcPr>
            <w:tcW w:w="6365" w:type="dxa"/>
          </w:tcPr>
          <w:p w:rsidR="00E8499D" w:rsidRDefault="00E8499D">
            <w:pPr>
              <w:jc w:val="right"/>
            </w:pPr>
          </w:p>
        </w:tc>
      </w:tr>
      <w:tr w:rsidR="00E8499D" w:rsidTr="00E8499D">
        <w:trPr>
          <w:trHeight w:val="280"/>
        </w:trPr>
        <w:tc>
          <w:tcPr>
            <w:tcW w:w="2676" w:type="dxa"/>
            <w:tcMar>
              <w:top w:w="28" w:type="dxa"/>
              <w:bottom w:w="28" w:type="dxa"/>
            </w:tcMar>
            <w:vAlign w:val="bottom"/>
          </w:tcPr>
          <w:p w:rsidR="00E8499D" w:rsidRDefault="0064133F">
            <w:pPr>
              <w:pBdr>
                <w:top w:val="nil"/>
                <w:left w:val="nil"/>
                <w:bottom w:val="nil"/>
                <w:right w:val="nil"/>
                <w:between w:val="nil"/>
              </w:pBdr>
              <w:spacing w:after="0"/>
              <w:jc w:val="right"/>
              <w:rPr>
                <w:b/>
                <w:color w:val="373737"/>
                <w:sz w:val="20"/>
                <w:szCs w:val="20"/>
              </w:rPr>
            </w:pPr>
            <w:r>
              <w:rPr>
                <w:b/>
                <w:color w:val="373737"/>
                <w:sz w:val="20"/>
                <w:szCs w:val="20"/>
              </w:rPr>
              <w:t>Contactpersoon</w:t>
            </w:r>
          </w:p>
        </w:tc>
        <w:tc>
          <w:tcPr>
            <w:tcW w:w="6365" w:type="dxa"/>
            <w:tcMar>
              <w:top w:w="28" w:type="dxa"/>
              <w:bottom w:w="28" w:type="dxa"/>
            </w:tcMar>
            <w:vAlign w:val="bottom"/>
          </w:tcPr>
          <w:p w:rsidR="00E8499D" w:rsidRDefault="0064133F">
            <w:pPr>
              <w:pBdr>
                <w:top w:val="nil"/>
                <w:left w:val="nil"/>
                <w:bottom w:val="nil"/>
                <w:right w:val="nil"/>
                <w:between w:val="nil"/>
              </w:pBdr>
              <w:spacing w:after="0"/>
              <w:rPr>
                <w:color w:val="808080"/>
                <w:sz w:val="20"/>
                <w:szCs w:val="20"/>
              </w:rPr>
            </w:pPr>
            <w:r>
              <w:rPr>
                <w:color w:val="808080"/>
                <w:sz w:val="20"/>
                <w:szCs w:val="20"/>
              </w:rPr>
              <w:t>VAPH</w:t>
            </w:r>
          </w:p>
        </w:tc>
      </w:tr>
      <w:tr w:rsidR="00E8499D" w:rsidTr="00E8499D">
        <w:trPr>
          <w:trHeight w:val="280"/>
        </w:trPr>
        <w:tc>
          <w:tcPr>
            <w:tcW w:w="2676" w:type="dxa"/>
            <w:tcMar>
              <w:top w:w="28" w:type="dxa"/>
              <w:bottom w:w="28" w:type="dxa"/>
            </w:tcMar>
            <w:vAlign w:val="bottom"/>
          </w:tcPr>
          <w:p w:rsidR="00E8499D" w:rsidRDefault="0064133F">
            <w:pPr>
              <w:pBdr>
                <w:top w:val="nil"/>
                <w:left w:val="nil"/>
                <w:bottom w:val="nil"/>
                <w:right w:val="nil"/>
                <w:between w:val="nil"/>
              </w:pBdr>
              <w:spacing w:after="0"/>
              <w:jc w:val="right"/>
              <w:rPr>
                <w:b/>
                <w:color w:val="373737"/>
                <w:sz w:val="20"/>
                <w:szCs w:val="20"/>
              </w:rPr>
            </w:pPr>
            <w:r>
              <w:rPr>
                <w:b/>
                <w:color w:val="373737"/>
                <w:sz w:val="20"/>
                <w:szCs w:val="20"/>
              </w:rPr>
              <w:t>E-mail</w:t>
            </w:r>
          </w:p>
        </w:tc>
        <w:tc>
          <w:tcPr>
            <w:tcW w:w="6365" w:type="dxa"/>
            <w:tcMar>
              <w:top w:w="28" w:type="dxa"/>
              <w:bottom w:w="28" w:type="dxa"/>
            </w:tcMar>
            <w:vAlign w:val="bottom"/>
          </w:tcPr>
          <w:p w:rsidR="00E8499D" w:rsidRDefault="0064133F">
            <w:pPr>
              <w:pBdr>
                <w:top w:val="nil"/>
                <w:left w:val="nil"/>
                <w:bottom w:val="nil"/>
                <w:right w:val="nil"/>
                <w:between w:val="nil"/>
              </w:pBdr>
              <w:spacing w:after="0"/>
              <w:rPr>
                <w:color w:val="808080"/>
                <w:sz w:val="20"/>
                <w:szCs w:val="20"/>
              </w:rPr>
            </w:pPr>
            <w:r>
              <w:rPr>
                <w:color w:val="808080"/>
                <w:sz w:val="20"/>
                <w:szCs w:val="20"/>
              </w:rPr>
              <w:t>internering@vaph.be</w:t>
            </w:r>
          </w:p>
        </w:tc>
      </w:tr>
      <w:tr w:rsidR="00E8499D" w:rsidTr="00E8499D">
        <w:trPr>
          <w:trHeight w:val="280"/>
        </w:trPr>
        <w:tc>
          <w:tcPr>
            <w:tcW w:w="2676" w:type="dxa"/>
            <w:tcMar>
              <w:top w:w="28" w:type="dxa"/>
              <w:bottom w:w="28" w:type="dxa"/>
            </w:tcMar>
            <w:vAlign w:val="bottom"/>
          </w:tcPr>
          <w:p w:rsidR="00E8499D" w:rsidRDefault="0064133F">
            <w:pPr>
              <w:pBdr>
                <w:top w:val="nil"/>
                <w:left w:val="nil"/>
                <w:bottom w:val="nil"/>
                <w:right w:val="nil"/>
                <w:between w:val="nil"/>
              </w:pBdr>
              <w:spacing w:after="0"/>
              <w:jc w:val="right"/>
              <w:rPr>
                <w:b/>
                <w:color w:val="373737"/>
                <w:sz w:val="20"/>
                <w:szCs w:val="20"/>
              </w:rPr>
            </w:pPr>
            <w:r>
              <w:rPr>
                <w:b/>
                <w:color w:val="373737"/>
                <w:sz w:val="20"/>
                <w:szCs w:val="20"/>
              </w:rPr>
              <w:t>Telefoon</w:t>
            </w:r>
          </w:p>
        </w:tc>
        <w:tc>
          <w:tcPr>
            <w:tcW w:w="6365" w:type="dxa"/>
            <w:tcMar>
              <w:top w:w="28" w:type="dxa"/>
              <w:bottom w:w="28" w:type="dxa"/>
            </w:tcMar>
            <w:vAlign w:val="bottom"/>
          </w:tcPr>
          <w:p w:rsidR="00E8499D" w:rsidRDefault="00E8499D">
            <w:pPr>
              <w:pBdr>
                <w:top w:val="nil"/>
                <w:left w:val="nil"/>
                <w:bottom w:val="nil"/>
                <w:right w:val="nil"/>
                <w:between w:val="nil"/>
              </w:pBdr>
              <w:spacing w:after="0"/>
              <w:rPr>
                <w:color w:val="808080"/>
                <w:sz w:val="20"/>
                <w:szCs w:val="20"/>
              </w:rPr>
            </w:pPr>
          </w:p>
        </w:tc>
      </w:tr>
      <w:tr w:rsidR="00E8499D" w:rsidTr="00E8499D">
        <w:trPr>
          <w:trHeight w:val="280"/>
        </w:trPr>
        <w:tc>
          <w:tcPr>
            <w:tcW w:w="2676" w:type="dxa"/>
            <w:tcMar>
              <w:top w:w="28" w:type="dxa"/>
              <w:bottom w:w="28" w:type="dxa"/>
            </w:tcMar>
            <w:vAlign w:val="bottom"/>
          </w:tcPr>
          <w:p w:rsidR="00E8499D" w:rsidRDefault="0064133F">
            <w:pPr>
              <w:pBdr>
                <w:top w:val="nil"/>
                <w:left w:val="nil"/>
                <w:bottom w:val="nil"/>
                <w:right w:val="nil"/>
                <w:between w:val="nil"/>
              </w:pBdr>
              <w:spacing w:after="0"/>
              <w:jc w:val="right"/>
              <w:rPr>
                <w:b/>
                <w:color w:val="373737"/>
                <w:sz w:val="20"/>
                <w:szCs w:val="20"/>
              </w:rPr>
            </w:pPr>
            <w:r>
              <w:rPr>
                <w:b/>
                <w:color w:val="373737"/>
                <w:sz w:val="20"/>
                <w:szCs w:val="20"/>
              </w:rPr>
              <w:t>Bijlagen</w:t>
            </w:r>
          </w:p>
        </w:tc>
        <w:tc>
          <w:tcPr>
            <w:tcW w:w="6365" w:type="dxa"/>
            <w:tcMar>
              <w:top w:w="28" w:type="dxa"/>
              <w:bottom w:w="28" w:type="dxa"/>
            </w:tcMar>
            <w:vAlign w:val="bottom"/>
          </w:tcPr>
          <w:p w:rsidR="00E8499D" w:rsidRDefault="0064133F">
            <w:pPr>
              <w:pBdr>
                <w:top w:val="nil"/>
                <w:left w:val="nil"/>
                <w:bottom w:val="nil"/>
                <w:right w:val="nil"/>
                <w:between w:val="nil"/>
              </w:pBdr>
              <w:spacing w:after="0"/>
              <w:rPr>
                <w:color w:val="808080"/>
                <w:sz w:val="20"/>
                <w:szCs w:val="20"/>
              </w:rPr>
            </w:pPr>
            <w:r>
              <w:rPr>
                <w:color w:val="808080"/>
                <w:sz w:val="20"/>
                <w:szCs w:val="20"/>
              </w:rPr>
              <w:t>1</w:t>
            </w:r>
          </w:p>
        </w:tc>
      </w:tr>
      <w:tr w:rsidR="00E8499D" w:rsidTr="00E8499D">
        <w:trPr>
          <w:trHeight w:val="340"/>
        </w:trPr>
        <w:tc>
          <w:tcPr>
            <w:tcW w:w="9041" w:type="dxa"/>
            <w:gridSpan w:val="2"/>
          </w:tcPr>
          <w:p w:rsidR="00E8499D" w:rsidRDefault="00E8499D">
            <w:pPr>
              <w:rPr>
                <w:sz w:val="20"/>
                <w:szCs w:val="20"/>
              </w:rPr>
            </w:pPr>
          </w:p>
        </w:tc>
      </w:tr>
      <w:tr w:rsidR="00E8499D">
        <w:tc>
          <w:tcPr>
            <w:tcW w:w="9041" w:type="dxa"/>
            <w:gridSpan w:val="2"/>
          </w:tcPr>
          <w:p w:rsidR="00E8499D" w:rsidRDefault="0064133F">
            <w:pPr>
              <w:pBdr>
                <w:top w:val="nil"/>
                <w:left w:val="nil"/>
                <w:bottom w:val="nil"/>
                <w:right w:val="nil"/>
                <w:between w:val="nil"/>
              </w:pBdr>
              <w:spacing w:after="0"/>
              <w:rPr>
                <w:b/>
                <w:color w:val="373737"/>
                <w:sz w:val="34"/>
                <w:szCs w:val="34"/>
              </w:rPr>
            </w:pPr>
            <w:r>
              <w:rPr>
                <w:b/>
                <w:color w:val="373737"/>
                <w:sz w:val="34"/>
                <w:szCs w:val="34"/>
              </w:rPr>
              <w:t>Ondersteuning voor geïnterneerde personen met een handicap via directe financiering</w:t>
            </w:r>
          </w:p>
        </w:tc>
      </w:tr>
      <w:tr w:rsidR="00E8499D" w:rsidTr="00E8499D">
        <w:trPr>
          <w:trHeight w:val="340"/>
        </w:trPr>
        <w:tc>
          <w:tcPr>
            <w:tcW w:w="9041" w:type="dxa"/>
            <w:gridSpan w:val="2"/>
          </w:tcPr>
          <w:p w:rsidR="00E8499D" w:rsidRDefault="00E8499D">
            <w:pPr>
              <w:rPr>
                <w:sz w:val="20"/>
                <w:szCs w:val="20"/>
              </w:rPr>
            </w:pPr>
          </w:p>
        </w:tc>
      </w:tr>
    </w:tbl>
    <w:p w:rsidR="00E8499D" w:rsidRDefault="0064133F">
      <w:pPr>
        <w:spacing w:after="160"/>
        <w:rPr>
          <w:rFonts w:ascii="Times New Roman" w:eastAsia="Times New Roman" w:hAnsi="Times New Roman" w:cs="Times New Roman"/>
          <w:sz w:val="24"/>
          <w:szCs w:val="24"/>
        </w:rPr>
      </w:pPr>
      <w:bookmarkStart w:id="1" w:name="_gjdgxs" w:colFirst="0" w:colLast="0"/>
      <w:bookmarkEnd w:id="1"/>
      <w:r>
        <w:rPr>
          <w:color w:val="000000"/>
        </w:rPr>
        <w:t>In 2018 en 2019 wil de Vlaamse regering sterk inzetten op aangepaste ondersteuning voor geïnterneerde personen met een handicap, en in het bijzonder op het faciliteren van de doorstroom van geïnterneerde personen met een handicap uit gevangenis, forensisch</w:t>
      </w:r>
      <w:r>
        <w:rPr>
          <w:color w:val="000000"/>
        </w:rPr>
        <w:t xml:space="preserve"> psychiatrisch centrum (FPC), een erkende medium security-afdeling binnen de psychiatrie of een forensische VAPH-unit. Hiermee wil men tegemoet komen aan de nood om voor geïnterneerden met een handicap die momenteel in een onaangepaste setting verblijven g</w:t>
      </w:r>
      <w:r>
        <w:rPr>
          <w:color w:val="000000"/>
        </w:rPr>
        <w:t>epaste zorg en ondersteuning te voorzien. De Vlaamse regering voorziet meer dan 9 miljoen euro aan bijkomende middelen in 2018 en 2019 samen.</w:t>
      </w:r>
    </w:p>
    <w:p w:rsidR="00E8499D" w:rsidRDefault="0064133F">
      <w:pPr>
        <w:spacing w:after="160"/>
        <w:rPr>
          <w:rFonts w:ascii="Times New Roman" w:eastAsia="Times New Roman" w:hAnsi="Times New Roman" w:cs="Times New Roman"/>
          <w:sz w:val="24"/>
          <w:szCs w:val="24"/>
        </w:rPr>
      </w:pPr>
      <w:r>
        <w:rPr>
          <w:color w:val="000000"/>
        </w:rPr>
        <w:t>Op 14 december 2018 keurde de Vlaamse Regering het Besluit over de zorg en ondersteuning voor geïnterneerde person</w:t>
      </w:r>
      <w:r>
        <w:rPr>
          <w:color w:val="000000"/>
        </w:rPr>
        <w:t xml:space="preserve">en met een handicap door vergunde zorgaanbieders goed. Dit Besluit van de Vlaamse Regering treedt in werking op 1 januari 2019 en regelt de direct gefinancierde ondersteuning voor geïnterneerden met een handicap die uit een beveiligde setting doorstromen. </w:t>
      </w:r>
      <w:r>
        <w:rPr>
          <w:color w:val="000000"/>
        </w:rPr>
        <w:t>Er werd bijkomend een Ministerieel Besluit goedgekeurd over de registratie als vergunde zorgaanbieder voor deze directe financiering voor geïnterneerden met een handicap.</w:t>
      </w:r>
    </w:p>
    <w:p w:rsidR="00E8499D" w:rsidRDefault="00E8499D">
      <w:pPr>
        <w:spacing w:after="0"/>
        <w:rPr>
          <w:rFonts w:ascii="Times New Roman" w:eastAsia="Times New Roman" w:hAnsi="Times New Roman" w:cs="Times New Roman"/>
          <w:sz w:val="24"/>
          <w:szCs w:val="24"/>
        </w:rPr>
      </w:pPr>
    </w:p>
    <w:p w:rsidR="00E8499D" w:rsidRDefault="00E8499D">
      <w:pPr>
        <w:spacing w:after="0"/>
        <w:rPr>
          <w:rFonts w:ascii="Times New Roman" w:eastAsia="Times New Roman" w:hAnsi="Times New Roman" w:cs="Times New Roman"/>
          <w:sz w:val="24"/>
          <w:szCs w:val="24"/>
        </w:rPr>
      </w:pPr>
    </w:p>
    <w:p w:rsidR="00E8499D" w:rsidRDefault="00E8499D">
      <w:pPr>
        <w:spacing w:after="0"/>
        <w:rPr>
          <w:rFonts w:ascii="Times New Roman" w:eastAsia="Times New Roman" w:hAnsi="Times New Roman" w:cs="Times New Roman"/>
          <w:sz w:val="24"/>
          <w:szCs w:val="24"/>
        </w:rPr>
      </w:pPr>
    </w:p>
    <w:p w:rsidR="00E8499D" w:rsidRDefault="00E8499D">
      <w:pPr>
        <w:spacing w:after="0"/>
        <w:rPr>
          <w:rFonts w:ascii="Times New Roman" w:eastAsia="Times New Roman" w:hAnsi="Times New Roman" w:cs="Times New Roman"/>
          <w:sz w:val="24"/>
          <w:szCs w:val="24"/>
        </w:rPr>
      </w:pPr>
    </w:p>
    <w:p w:rsidR="00E8499D" w:rsidRDefault="0064133F">
      <w:pPr>
        <w:pStyle w:val="Kop1"/>
        <w:ind w:left="431" w:hanging="431"/>
        <w:rPr>
          <w:rFonts w:ascii="Times New Roman" w:eastAsia="Times New Roman" w:hAnsi="Times New Roman" w:cs="Times New Roman"/>
          <w:sz w:val="24"/>
          <w:szCs w:val="24"/>
        </w:rPr>
      </w:pPr>
      <w:r>
        <w:lastRenderedPageBreak/>
        <w:t>1. Direct gefinancierde ondersteuning voor geïnterneerde personen met een handicap bij een vergunde zorgaanbieder</w:t>
      </w:r>
    </w:p>
    <w:p w:rsidR="00E8499D" w:rsidRDefault="0064133F">
      <w:pPr>
        <w:pStyle w:val="Kop2"/>
        <w:numPr>
          <w:ilvl w:val="1"/>
          <w:numId w:val="6"/>
        </w:numPr>
      </w:pPr>
      <w:r>
        <w:t>Doelgroep</w:t>
      </w:r>
    </w:p>
    <w:p w:rsidR="00E8499D" w:rsidRDefault="0064133F">
      <w:pPr>
        <w:spacing w:after="160"/>
        <w:rPr>
          <w:rFonts w:ascii="Times New Roman" w:eastAsia="Times New Roman" w:hAnsi="Times New Roman" w:cs="Times New Roman"/>
          <w:sz w:val="24"/>
          <w:szCs w:val="24"/>
        </w:rPr>
      </w:pPr>
      <w:r>
        <w:rPr>
          <w:color w:val="000000"/>
        </w:rPr>
        <w:t>Een persoon kan gebruik maken van deze ondersteuning indien hij aan volgende voorwaarden voldoet:</w:t>
      </w:r>
    </w:p>
    <w:p w:rsidR="00E8499D" w:rsidRDefault="0064133F">
      <w:pPr>
        <w:numPr>
          <w:ilvl w:val="0"/>
          <w:numId w:val="9"/>
        </w:numPr>
        <w:spacing w:after="0"/>
        <w:rPr>
          <w:color w:val="000000"/>
        </w:rPr>
      </w:pPr>
      <w:r>
        <w:rPr>
          <w:color w:val="000000"/>
        </w:rPr>
        <w:t>geïnterneerd zijn,</w:t>
      </w:r>
    </w:p>
    <w:p w:rsidR="00E8499D" w:rsidRDefault="0064133F">
      <w:pPr>
        <w:numPr>
          <w:ilvl w:val="0"/>
          <w:numId w:val="9"/>
        </w:numPr>
        <w:spacing w:after="0"/>
        <w:rPr>
          <w:color w:val="000000"/>
        </w:rPr>
      </w:pPr>
      <w:r>
        <w:rPr>
          <w:color w:val="000000"/>
        </w:rPr>
        <w:t>door het VAPH erkend zijn als persoon met een handicap,</w:t>
      </w:r>
    </w:p>
    <w:p w:rsidR="00E8499D" w:rsidRDefault="0064133F">
      <w:pPr>
        <w:numPr>
          <w:ilvl w:val="0"/>
          <w:numId w:val="9"/>
        </w:numPr>
        <w:spacing w:after="0"/>
        <w:rPr>
          <w:color w:val="000000"/>
        </w:rPr>
      </w:pPr>
      <w:r>
        <w:rPr>
          <w:color w:val="000000"/>
        </w:rPr>
        <w:t>uitstromen uit een gevangenis, een forensisch psychiatrisch centrum (FPC), een erkende medium security-afdeling binnen de psychiatrie of een forensische VAPH-unit</w:t>
      </w:r>
    </w:p>
    <w:p w:rsidR="00E8499D" w:rsidRDefault="0064133F">
      <w:pPr>
        <w:numPr>
          <w:ilvl w:val="0"/>
          <w:numId w:val="9"/>
        </w:numPr>
        <w:spacing w:after="0"/>
        <w:rPr>
          <w:color w:val="000000"/>
        </w:rPr>
      </w:pPr>
      <w:r>
        <w:rPr>
          <w:color w:val="000000"/>
        </w:rPr>
        <w:t>behoefte hebben aan handicapspecifiek</w:t>
      </w:r>
      <w:r>
        <w:rPr>
          <w:color w:val="000000"/>
        </w:rPr>
        <w:t>e ondersteuning (ongeacht de benodigde ondersteuningsvorm en -intensiteit) en forensische know how.</w:t>
      </w:r>
    </w:p>
    <w:p w:rsidR="00E8499D" w:rsidRDefault="0064133F">
      <w:pPr>
        <w:numPr>
          <w:ilvl w:val="0"/>
          <w:numId w:val="9"/>
        </w:numPr>
        <w:spacing w:after="0"/>
        <w:rPr>
          <w:color w:val="000000"/>
        </w:rPr>
      </w:pPr>
      <w:r>
        <w:rPr>
          <w:color w:val="000000"/>
        </w:rPr>
        <w:t>een positieve beslissing van het VAPH hebben omtrent toegang tot direct gefinancierde ondersteuning voor geïnterneerden,</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Registratie van zorgaanbieders</w:t>
      </w:r>
    </w:p>
    <w:p w:rsidR="00E8499D" w:rsidRDefault="0064133F">
      <w:pPr>
        <w:spacing w:after="120"/>
        <w:rPr>
          <w:rFonts w:ascii="Times New Roman" w:eastAsia="Times New Roman" w:hAnsi="Times New Roman" w:cs="Times New Roman"/>
          <w:sz w:val="24"/>
          <w:szCs w:val="24"/>
        </w:rPr>
      </w:pPr>
      <w:r>
        <w:rPr>
          <w:color w:val="000000"/>
        </w:rPr>
        <w:t xml:space="preserve">De </w:t>
      </w:r>
      <w:r>
        <w:rPr>
          <w:color w:val="000000"/>
        </w:rPr>
        <w:t xml:space="preserve">directe financiering voor geïnterneerden kan enkel ingezet worden bij door het VAPH vergunde zorgaanbieders die zich hiertoe bij het VAPH registreren. Enkel voorzieningen die aan bepaalde specifieke vereisten inzake expertise en/of infrastructuur voldoen, </w:t>
      </w:r>
      <w:r>
        <w:rPr>
          <w:color w:val="000000"/>
        </w:rPr>
        <w:t xml:space="preserve">zullen via directe financiering geïnterneerden kunnen ondersteunen. Deze voorwaarden zijn regelgevend verankerd. </w:t>
      </w:r>
    </w:p>
    <w:p w:rsidR="00E8499D" w:rsidRDefault="0064133F">
      <w:pPr>
        <w:spacing w:after="120"/>
        <w:rPr>
          <w:rFonts w:ascii="Times New Roman" w:eastAsia="Times New Roman" w:hAnsi="Times New Roman" w:cs="Times New Roman"/>
          <w:sz w:val="24"/>
          <w:szCs w:val="24"/>
        </w:rPr>
      </w:pPr>
      <w:r>
        <w:rPr>
          <w:color w:val="000000"/>
        </w:rPr>
        <w:t>De vergunde zorgaanbieders dienen te voldoen aan de volgende voorwaarden:</w:t>
      </w:r>
    </w:p>
    <w:p w:rsidR="00E8499D" w:rsidRDefault="0064133F">
      <w:pPr>
        <w:numPr>
          <w:ilvl w:val="0"/>
          <w:numId w:val="10"/>
        </w:numPr>
        <w:spacing w:after="0"/>
        <w:rPr>
          <w:color w:val="000000"/>
        </w:rPr>
      </w:pPr>
      <w:r>
        <w:rPr>
          <w:color w:val="000000"/>
        </w:rPr>
        <w:t xml:space="preserve">geregistreerd zijn bij het VAPH (zie </w:t>
      </w:r>
      <w:hyperlink r:id="rId8">
        <w:r>
          <w:rPr>
            <w:color w:val="1155CC"/>
            <w:u w:val="single"/>
          </w:rPr>
          <w:t>aanvraagformulier registratie</w:t>
        </w:r>
      </w:hyperlink>
      <w:r>
        <w:rPr>
          <w:color w:val="000000"/>
        </w:rPr>
        <w:t>),</w:t>
      </w:r>
    </w:p>
    <w:p w:rsidR="00E8499D" w:rsidRDefault="0064133F">
      <w:pPr>
        <w:numPr>
          <w:ilvl w:val="0"/>
          <w:numId w:val="10"/>
        </w:numPr>
        <w:spacing w:after="0"/>
        <w:rPr>
          <w:color w:val="000000"/>
        </w:rPr>
      </w:pPr>
      <w:r>
        <w:rPr>
          <w:color w:val="000000"/>
        </w:rPr>
        <w:t>bereid zijn om op maat te werken met een forensische doelgroep,</w:t>
      </w:r>
    </w:p>
    <w:p w:rsidR="00E8499D" w:rsidRDefault="0064133F">
      <w:pPr>
        <w:numPr>
          <w:ilvl w:val="0"/>
          <w:numId w:val="10"/>
        </w:numPr>
        <w:spacing w:after="0"/>
        <w:rPr>
          <w:color w:val="000000"/>
        </w:rPr>
      </w:pPr>
      <w:r>
        <w:rPr>
          <w:color w:val="000000"/>
        </w:rPr>
        <w:t>beschikken over forensische expertise en opleidingen volgen in fun</w:t>
      </w:r>
      <w:r>
        <w:rPr>
          <w:color w:val="000000"/>
        </w:rPr>
        <w:t>ctie van de ondersteuning van een forensische doelgroep,</w:t>
      </w:r>
    </w:p>
    <w:p w:rsidR="00E8499D" w:rsidRDefault="0064133F">
      <w:pPr>
        <w:numPr>
          <w:ilvl w:val="0"/>
          <w:numId w:val="10"/>
        </w:numPr>
        <w:spacing w:after="0"/>
        <w:rPr>
          <w:color w:val="000000"/>
        </w:rPr>
      </w:pPr>
      <w:r>
        <w:rPr>
          <w:color w:val="000000"/>
        </w:rPr>
        <w:t>sectoraal en intersectoraal afstemmen met andere actoren die betrokken zijn bij de ondersteuning van de geïnterneerde personen,</w:t>
      </w:r>
    </w:p>
    <w:p w:rsidR="00E8499D" w:rsidRDefault="0064133F">
      <w:pPr>
        <w:numPr>
          <w:ilvl w:val="0"/>
          <w:numId w:val="10"/>
        </w:numPr>
        <w:spacing w:after="120"/>
        <w:rPr>
          <w:color w:val="000000"/>
        </w:rPr>
      </w:pPr>
      <w:r>
        <w:rPr>
          <w:color w:val="000000"/>
        </w:rPr>
        <w:t>instaan voor opvolging en nazorg van het zorgtraject van de betrokken g</w:t>
      </w:r>
      <w:r>
        <w:rPr>
          <w:color w:val="000000"/>
        </w:rPr>
        <w:t>eïnterneerde personen.</w:t>
      </w:r>
    </w:p>
    <w:p w:rsidR="00E8499D" w:rsidRDefault="0064133F">
      <w:pPr>
        <w:spacing w:after="0"/>
        <w:rPr>
          <w:rFonts w:ascii="Times New Roman" w:eastAsia="Times New Roman" w:hAnsi="Times New Roman" w:cs="Times New Roman"/>
          <w:sz w:val="24"/>
          <w:szCs w:val="24"/>
        </w:rPr>
      </w:pPr>
      <w:r>
        <w:rPr>
          <w:color w:val="000000"/>
        </w:rPr>
        <w:t>De vergunde zorgaanbieders die woon- en/of dagondersteuning willen aanbieden moeten naast deze voorwaarden ook voldoen aan de voorwaarde dat ze afhankelijk van de module van ondersteuning die zij willen bieden, beschikken over een aa</w:t>
      </w:r>
      <w:r>
        <w:rPr>
          <w:color w:val="000000"/>
        </w:rPr>
        <w:t>ngepaste infrastructuur of bereid zijn op korte termijn de nodige infrastructurele aanpassingen te doen.</w:t>
      </w:r>
    </w:p>
    <w:p w:rsidR="00E8499D" w:rsidRDefault="00E8499D">
      <w:pPr>
        <w:rPr>
          <w:rFonts w:ascii="Times New Roman" w:eastAsia="Times New Roman" w:hAnsi="Times New Roman" w:cs="Times New Roman"/>
          <w:sz w:val="24"/>
          <w:szCs w:val="24"/>
        </w:rPr>
      </w:pPr>
    </w:p>
    <w:p w:rsidR="00E8499D" w:rsidRDefault="0064133F">
      <w:pPr>
        <w:pStyle w:val="Kop2"/>
        <w:numPr>
          <w:ilvl w:val="1"/>
          <w:numId w:val="6"/>
        </w:numPr>
      </w:pPr>
      <w:r>
        <w:t>Aanvraag tot registratie voor direct gefinancierde ondersteuning voor geïnterneerde personen met een handicap</w:t>
      </w:r>
    </w:p>
    <w:p w:rsidR="00E8499D" w:rsidRDefault="00E8499D">
      <w:pPr>
        <w:spacing w:after="0"/>
        <w:rPr>
          <w:rFonts w:ascii="Times New Roman" w:eastAsia="Times New Roman" w:hAnsi="Times New Roman" w:cs="Times New Roman"/>
          <w:sz w:val="24"/>
          <w:szCs w:val="24"/>
        </w:rPr>
      </w:pPr>
    </w:p>
    <w:p w:rsidR="00E8499D" w:rsidRDefault="0064133F">
      <w:pPr>
        <w:spacing w:after="120"/>
        <w:rPr>
          <w:rFonts w:ascii="Times New Roman" w:eastAsia="Times New Roman" w:hAnsi="Times New Roman" w:cs="Times New Roman"/>
          <w:sz w:val="24"/>
          <w:szCs w:val="24"/>
        </w:rPr>
      </w:pPr>
      <w:r>
        <w:rPr>
          <w:color w:val="000000"/>
        </w:rPr>
        <w:t>De vergunde zorgaanbieder kan een aanvr</w:t>
      </w:r>
      <w:r>
        <w:rPr>
          <w:color w:val="000000"/>
        </w:rPr>
        <w:t xml:space="preserve">aag bij het VAPH indienen om zich te registreren voor één of meerdere ondersteuningsmodules. Er kan hiervoor gebruik gemaakt worden van het </w:t>
      </w:r>
      <w:r>
        <w:rPr>
          <w:color w:val="000000"/>
        </w:rPr>
        <w:lastRenderedPageBreak/>
        <w:t xml:space="preserve">geëigend </w:t>
      </w:r>
      <w:hyperlink r:id="rId9">
        <w:r>
          <w:rPr>
            <w:color w:val="1155CC"/>
            <w:u w:val="single"/>
          </w:rPr>
          <w:t>aanvraagformulier</w:t>
        </w:r>
      </w:hyperlink>
      <w:r>
        <w:rPr>
          <w:color w:val="000000"/>
        </w:rPr>
        <w:t xml:space="preserve"> dat terug te vinden is op de website van het VAPH. Het formulier dient ingevuld en ondertekend bezorgd te worden aan het VAPH via internering@vaph.be. Het VAPH zal de aanvraag onderzoeken op volledigheid en keurt de regi</w:t>
      </w:r>
      <w:r>
        <w:rPr>
          <w:color w:val="000000"/>
        </w:rPr>
        <w:t>stratie goed indien aan alle voorwaarden is voldaan. Het VAPH verstuurt de beslissingsbrief omtrent de aanvraag tot registratie per e-mail aan de vergunde zorgaanbieder. De registratie heeft standaard een geldigheidsduur van vijf jaar.</w:t>
      </w:r>
    </w:p>
    <w:p w:rsidR="00E8499D" w:rsidRDefault="0064133F">
      <w:pPr>
        <w:spacing w:after="120"/>
        <w:rPr>
          <w:rFonts w:ascii="Times New Roman" w:eastAsia="Times New Roman" w:hAnsi="Times New Roman" w:cs="Times New Roman"/>
          <w:sz w:val="24"/>
          <w:szCs w:val="24"/>
        </w:rPr>
      </w:pPr>
      <w:r>
        <w:rPr>
          <w:color w:val="000000"/>
        </w:rPr>
        <w:br/>
        <w:t>Deze registratie ve</w:t>
      </w:r>
      <w:r>
        <w:rPr>
          <w:color w:val="000000"/>
        </w:rPr>
        <w:t>rplicht de vergunde zorgaanbieder niet tot het effectief bieden van ondersteuning aan een geïnterneerde. Met het eerder vernoemde formulier kan de zorgaanbieder op ieder ogenblik vragen om zijn registratie te wijzigen. Het kan bijvoorbeeld gaan om het aanp</w:t>
      </w:r>
      <w:r>
        <w:rPr>
          <w:color w:val="000000"/>
        </w:rPr>
        <w:t>assen van ondersteuningsmodules of vestigingsplaatsen. Indien een vergunde zorgaanbieder een persoon via direct gefinancierde ondersteuning voor geïnterneerden wenst te ondersteunen, dient de vergunde zorgaanbieder echter wel over een goedkeuring van het V</w:t>
      </w:r>
      <w:r>
        <w:rPr>
          <w:color w:val="000000"/>
        </w:rPr>
        <w:t>APH te beschikken voor de desbetreffende module alvorens hiervoor een individuele dienstverleningsovereenkomst kan afgesloten worden.</w:t>
      </w:r>
      <w:r>
        <w:rPr>
          <w:color w:val="000000"/>
        </w:rPr>
        <w:br/>
      </w:r>
    </w:p>
    <w:p w:rsidR="00E8499D" w:rsidRDefault="0064133F">
      <w:pPr>
        <w:pStyle w:val="Kop2"/>
        <w:numPr>
          <w:ilvl w:val="1"/>
          <w:numId w:val="6"/>
        </w:numPr>
      </w:pPr>
      <w:r>
        <w:t>Aanvraag tot directe financiering</w:t>
      </w:r>
    </w:p>
    <w:p w:rsidR="00E8499D" w:rsidRDefault="0064133F">
      <w:pPr>
        <w:spacing w:after="160"/>
        <w:rPr>
          <w:rFonts w:ascii="Times New Roman" w:eastAsia="Times New Roman" w:hAnsi="Times New Roman" w:cs="Times New Roman"/>
          <w:sz w:val="24"/>
          <w:szCs w:val="24"/>
        </w:rPr>
      </w:pPr>
      <w:r>
        <w:rPr>
          <w:color w:val="000000"/>
        </w:rPr>
        <w:t>De aanvraag voor zorg en ondersteuning via directe financiering bij een bij het VAPH ge</w:t>
      </w:r>
      <w:r>
        <w:rPr>
          <w:color w:val="000000"/>
        </w:rPr>
        <w:t xml:space="preserve">registreerde vergunde zorgaanbieder wordt in eerste fase door de aanvrager of bewindvoerder ingediend aan de hand van een geëigend aanvraagformulier per post bij het </w:t>
      </w:r>
      <w:hyperlink r:id="rId10">
        <w:r>
          <w:rPr>
            <w:color w:val="1155CC"/>
            <w:u w:val="single"/>
          </w:rPr>
          <w:t>Provinciaal Kantoor van het VAPH</w:t>
        </w:r>
      </w:hyperlink>
      <w:r>
        <w:rPr>
          <w:color w:val="000000"/>
        </w:rPr>
        <w:t>, af</w:t>
      </w:r>
      <w:r>
        <w:rPr>
          <w:color w:val="000000"/>
        </w:rPr>
        <w:t>hankelijk van de domicilie van de aanvrager. In een tweede fase wordt enkel een elektronische versie van het aanvraagformulier ter beschikking gesteld via mijnvaph.be</w:t>
      </w:r>
    </w:p>
    <w:p w:rsidR="00E8499D" w:rsidRDefault="0064133F">
      <w:pPr>
        <w:spacing w:after="160"/>
        <w:rPr>
          <w:rFonts w:ascii="Times New Roman" w:eastAsia="Times New Roman" w:hAnsi="Times New Roman" w:cs="Times New Roman"/>
          <w:sz w:val="24"/>
          <w:szCs w:val="24"/>
        </w:rPr>
      </w:pPr>
      <w:r>
        <w:rPr>
          <w:color w:val="000000"/>
        </w:rPr>
        <w:t>Het aanvraagformulier bevat volgende gegevens:</w:t>
      </w:r>
    </w:p>
    <w:p w:rsidR="00E8499D" w:rsidRDefault="0064133F">
      <w:pPr>
        <w:numPr>
          <w:ilvl w:val="0"/>
          <w:numId w:val="11"/>
        </w:numPr>
        <w:spacing w:after="0"/>
        <w:rPr>
          <w:color w:val="000000"/>
        </w:rPr>
      </w:pPr>
      <w:r>
        <w:rPr>
          <w:color w:val="000000"/>
        </w:rPr>
        <w:t>identificatiegegevens van de betrokken per</w:t>
      </w:r>
      <w:r>
        <w:rPr>
          <w:color w:val="000000"/>
        </w:rPr>
        <w:t>soon met een handicap, en eventueel van de wettelijk vertegenwoordiger,</w:t>
      </w:r>
    </w:p>
    <w:p w:rsidR="00E8499D" w:rsidRDefault="0064133F">
      <w:pPr>
        <w:numPr>
          <w:ilvl w:val="0"/>
          <w:numId w:val="11"/>
        </w:numPr>
        <w:spacing w:after="0"/>
        <w:rPr>
          <w:color w:val="000000"/>
        </w:rPr>
      </w:pPr>
      <w:r>
        <w:rPr>
          <w:color w:val="000000"/>
        </w:rPr>
        <w:t>de melding aan het VAPH dat men gebruik wil maken van direct gefinancierde ondersteuning voor geïnterneerde personen met een handicap, met vermelding of opname in een forensische VAPH-unit of directe financiering bij een vergunde zorgaanbieder (buiten de e</w:t>
      </w:r>
      <w:r>
        <w:rPr>
          <w:color w:val="000000"/>
        </w:rPr>
        <w:t>rkende capaciteit van de forensische VAPH-units) gevraagd wordt,</w:t>
      </w:r>
    </w:p>
    <w:p w:rsidR="00E8499D" w:rsidRDefault="0064133F">
      <w:pPr>
        <w:numPr>
          <w:ilvl w:val="0"/>
          <w:numId w:val="11"/>
        </w:numPr>
        <w:spacing w:after="0"/>
        <w:rPr>
          <w:color w:val="000000"/>
        </w:rPr>
      </w:pPr>
      <w:r>
        <w:rPr>
          <w:color w:val="000000"/>
        </w:rPr>
        <w:t>met aanduiding van de gewenste ondersteuningsmodule.</w:t>
      </w:r>
    </w:p>
    <w:p w:rsidR="00E8499D" w:rsidRDefault="00E8499D">
      <w:pPr>
        <w:spacing w:after="0"/>
        <w:rPr>
          <w:rFonts w:ascii="Times New Roman" w:eastAsia="Times New Roman" w:hAnsi="Times New Roman" w:cs="Times New Roman"/>
          <w:sz w:val="24"/>
          <w:szCs w:val="24"/>
        </w:rPr>
      </w:pPr>
    </w:p>
    <w:p w:rsidR="00E8499D" w:rsidRDefault="0064133F">
      <w:pPr>
        <w:spacing w:after="160"/>
        <w:rPr>
          <w:rFonts w:ascii="Times New Roman" w:eastAsia="Times New Roman" w:hAnsi="Times New Roman" w:cs="Times New Roman"/>
          <w:sz w:val="24"/>
          <w:szCs w:val="24"/>
        </w:rPr>
      </w:pPr>
      <w:r>
        <w:rPr>
          <w:color w:val="000000"/>
        </w:rPr>
        <w:t>Voor dag- en woonondersteuning zijn er twee modules voorzien. De module ‘dag- en woonondersteuning +’ kan worden toegewezen indien in het</w:t>
      </w:r>
      <w:r>
        <w:rPr>
          <w:color w:val="000000"/>
        </w:rPr>
        <w:t xml:space="preserve"> verslag (zie verder) één van de volgende situaties is aangetoond: </w:t>
      </w:r>
    </w:p>
    <w:p w:rsidR="00E8499D" w:rsidRDefault="0064133F">
      <w:pPr>
        <w:numPr>
          <w:ilvl w:val="0"/>
          <w:numId w:val="1"/>
        </w:numPr>
        <w:spacing w:after="0"/>
        <w:rPr>
          <w:color w:val="000000"/>
        </w:rPr>
      </w:pPr>
      <w:r>
        <w:rPr>
          <w:color w:val="000000"/>
        </w:rPr>
        <w:t xml:space="preserve">de geïnterneerde persoon heeft voltijds dag- en woonondersteuning nodig, er moet voortdurend iemand aanwezig zijn en er moet toezicht uitgeoefend worden binnen gehoorsafstand; </w:t>
      </w:r>
    </w:p>
    <w:p w:rsidR="00E8499D" w:rsidRDefault="0064133F">
      <w:pPr>
        <w:numPr>
          <w:ilvl w:val="0"/>
          <w:numId w:val="1"/>
        </w:numPr>
        <w:spacing w:after="160"/>
        <w:rPr>
          <w:color w:val="000000"/>
        </w:rPr>
      </w:pPr>
      <w:r>
        <w:rPr>
          <w:color w:val="000000"/>
        </w:rPr>
        <w:t>de geïntern</w:t>
      </w:r>
      <w:r>
        <w:rPr>
          <w:color w:val="000000"/>
        </w:rPr>
        <w:t>eerde persoon heeft voltijds dag- en woonondersteuning nodig, er moet voortdurend iemand aanwezig zijn zonder dat die persoon voortdurend toezicht moet uitoefenen en de persoon heeft dagelijks ondersteuning nodig op de meeste levensdomeinen, voornamelijk i</w:t>
      </w:r>
      <w:r>
        <w:rPr>
          <w:color w:val="000000"/>
        </w:rPr>
        <w:t>n de vorm van inhoudelijke of praktische begeleiding van een deel van de activiteit.</w:t>
      </w:r>
    </w:p>
    <w:p w:rsidR="00E8499D" w:rsidRDefault="0064133F">
      <w:pPr>
        <w:spacing w:after="160"/>
        <w:rPr>
          <w:rFonts w:ascii="Times New Roman" w:eastAsia="Times New Roman" w:hAnsi="Times New Roman" w:cs="Times New Roman"/>
          <w:sz w:val="24"/>
          <w:szCs w:val="24"/>
        </w:rPr>
      </w:pPr>
      <w:r>
        <w:rPr>
          <w:color w:val="000000"/>
        </w:rPr>
        <w:t>Bij het aanvraagformulier dient een uitvoerige motivering toegevoegd te worden: een gemotiveerd verslag met risico-inschatting dat opgemaakt werd door de betrokken profess</w:t>
      </w:r>
      <w:r>
        <w:rPr>
          <w:color w:val="000000"/>
        </w:rPr>
        <w:t>ionals uit de setting waar de persoon met een handicap op het ogenblik van de aanvraag verblijft.</w:t>
      </w:r>
    </w:p>
    <w:p w:rsidR="00E8499D" w:rsidRDefault="0064133F">
      <w:pPr>
        <w:spacing w:after="160"/>
        <w:rPr>
          <w:rFonts w:ascii="Times New Roman" w:eastAsia="Times New Roman" w:hAnsi="Times New Roman" w:cs="Times New Roman"/>
          <w:sz w:val="24"/>
          <w:szCs w:val="24"/>
        </w:rPr>
      </w:pPr>
      <w:r>
        <w:rPr>
          <w:color w:val="000000"/>
        </w:rPr>
        <w:t>Indien de persoon met een handicap nog niet erkend is door het VAPH als persoon met een handicap, dient module A opgesteld te worden door een erkend multidisc</w:t>
      </w:r>
      <w:r>
        <w:rPr>
          <w:color w:val="000000"/>
        </w:rPr>
        <w:t xml:space="preserve">iplinair team (MDT) zodat </w:t>
      </w:r>
      <w:r>
        <w:rPr>
          <w:color w:val="000000"/>
        </w:rPr>
        <w:lastRenderedPageBreak/>
        <w:t>de handicap geobjectiveerd kan worden. De modules B en C (de objectivering van de zorgzwaarte en de checklist prioritering) hoeven in het kader van deze procedure niet aangereikt te worden door het MDT.</w:t>
      </w:r>
    </w:p>
    <w:p w:rsidR="00E8499D" w:rsidRDefault="0064133F">
      <w:pPr>
        <w:spacing w:after="160"/>
        <w:rPr>
          <w:rFonts w:ascii="Times New Roman" w:eastAsia="Times New Roman" w:hAnsi="Times New Roman" w:cs="Times New Roman"/>
          <w:sz w:val="24"/>
          <w:szCs w:val="24"/>
        </w:rPr>
      </w:pPr>
      <w:r>
        <w:rPr>
          <w:color w:val="000000"/>
        </w:rPr>
        <w:t>De aanvraag gebeurt door de</w:t>
      </w:r>
      <w:r>
        <w:rPr>
          <w:color w:val="000000"/>
        </w:rPr>
        <w:t xml:space="preserve"> persoon met een handicap of wettelijk vertegenwoordiger en wordt mede ondertekend door de directeur van de gevangenis, verantwoordelijke van de zorg van het FPC, de medium security-afdeling of de forensische VAPH-unit, afhankelijk van de setting waarin de</w:t>
      </w:r>
      <w:r>
        <w:rPr>
          <w:color w:val="000000"/>
        </w:rPr>
        <w:t xml:space="preserve"> aanvrager verblijft. </w:t>
      </w:r>
    </w:p>
    <w:p w:rsidR="00E8499D" w:rsidRDefault="0064133F">
      <w:pPr>
        <w:spacing w:after="160"/>
        <w:rPr>
          <w:rFonts w:ascii="Times New Roman" w:eastAsia="Times New Roman" w:hAnsi="Times New Roman" w:cs="Times New Roman"/>
          <w:sz w:val="24"/>
          <w:szCs w:val="24"/>
        </w:rPr>
      </w:pPr>
      <w:r>
        <w:rPr>
          <w:color w:val="000000"/>
        </w:rPr>
        <w:t>De geldigheidsduur van de aanvraag wordt beperkt tot maximaal 1 jaar. Indien een jaar na aanvraagdatum geen instroom gerealiseerd werd (o.w.v. geen budget of o.w.v. geen geschikte vergunde zorgaanbieder) dan vervalt de aanvraag en kan later eventueel een n</w:t>
      </w:r>
      <w:r>
        <w:rPr>
          <w:color w:val="000000"/>
        </w:rPr>
        <w:t>ieuwe aanvraag ingediend worden.</w:t>
      </w:r>
    </w:p>
    <w:p w:rsidR="00E8499D" w:rsidRDefault="0064133F">
      <w:pPr>
        <w:spacing w:after="160"/>
        <w:rPr>
          <w:rFonts w:ascii="Times New Roman" w:eastAsia="Times New Roman" w:hAnsi="Times New Roman" w:cs="Times New Roman"/>
          <w:sz w:val="24"/>
          <w:szCs w:val="24"/>
        </w:rPr>
      </w:pPr>
      <w:r>
        <w:rPr>
          <w:color w:val="000000"/>
        </w:rPr>
        <w:t>Vooraleer een aanvraag wordt ingediend, gebeurt er best een toets tussen de instantie (verantwoordelijke zorg of directeur) van waaruit de cliënt wil uitstromen en de regiocoördinator van het VAPH, waarbij de regiocoördinat</w:t>
      </w:r>
      <w:r>
        <w:rPr>
          <w:color w:val="000000"/>
        </w:rPr>
        <w:t xml:space="preserve">or VAPH een eerste inschatting maakt of de betrokkene in aanmerking komt voor de directe financiering van het VAPH. We zien dit als een soort vooronderzoek, via een telefonisch contact. </w:t>
      </w:r>
    </w:p>
    <w:p w:rsidR="00E8499D" w:rsidRDefault="0064133F">
      <w:pPr>
        <w:spacing w:after="160"/>
        <w:rPr>
          <w:rFonts w:ascii="Times New Roman" w:eastAsia="Times New Roman" w:hAnsi="Times New Roman" w:cs="Times New Roman"/>
          <w:sz w:val="24"/>
          <w:szCs w:val="24"/>
        </w:rPr>
      </w:pPr>
      <w:r>
        <w:rPr>
          <w:color w:val="000000"/>
        </w:rPr>
        <w:t>Het budget dat beschikbaar is voor directe financiering van geïnterne</w:t>
      </w:r>
      <w:r>
        <w:rPr>
          <w:color w:val="000000"/>
        </w:rPr>
        <w:t>erde personen met een handicap is gelimiteerd. Het VAPH rangschikt de aanvragen op datum en uur. De eerste aanvragen komen bijgevolg eerst in aanmerking voor direct gefinancierde ondersteuning.</w:t>
      </w:r>
    </w:p>
    <w:p w:rsidR="00E8499D" w:rsidRDefault="0064133F">
      <w:pPr>
        <w:spacing w:after="160"/>
        <w:rPr>
          <w:rFonts w:ascii="Times New Roman" w:eastAsia="Times New Roman" w:hAnsi="Times New Roman" w:cs="Times New Roman"/>
          <w:sz w:val="24"/>
          <w:szCs w:val="24"/>
        </w:rPr>
      </w:pPr>
      <w:r>
        <w:rPr>
          <w:color w:val="000000"/>
        </w:rPr>
        <w:t xml:space="preserve">Het aanvraagformulier kan vanaf </w:t>
      </w:r>
      <w:r>
        <w:rPr>
          <w:color w:val="000000"/>
          <w:u w:val="single"/>
        </w:rPr>
        <w:t>15 januari 2019</w:t>
      </w:r>
      <w:r>
        <w:rPr>
          <w:color w:val="000000"/>
        </w:rPr>
        <w:t xml:space="preserve"> ingediend word</w:t>
      </w:r>
      <w:r>
        <w:rPr>
          <w:color w:val="000000"/>
        </w:rPr>
        <w:t>en door de aanvrager of wettelijk vertegenwoordiger en zal vanaf dan beschikbaar zijn op de website van het vaph.  (www.vaph.be/documenten). De aanvraag met de nodige documenten dienen in eerste instantie te worden bezorgd per post aan het Provinciaal Kant</w:t>
      </w:r>
      <w:r>
        <w:rPr>
          <w:color w:val="000000"/>
        </w:rPr>
        <w:t xml:space="preserve">oor van het VAPH, afhankelijk van het domicilieadres van de aanvrager. In een tweede fase zal het aanvraagdocument enkel beschikbaar zijn in mijnvaph.be. </w:t>
      </w:r>
      <w:r>
        <w:rPr>
          <w:color w:val="000000"/>
        </w:rPr>
        <w:br/>
      </w:r>
    </w:p>
    <w:p w:rsidR="00E8499D" w:rsidRDefault="0064133F">
      <w:pPr>
        <w:pStyle w:val="Kop2"/>
        <w:numPr>
          <w:ilvl w:val="1"/>
          <w:numId w:val="6"/>
        </w:numPr>
      </w:pPr>
      <w:r>
        <w:t>Bemiddeling</w:t>
      </w:r>
    </w:p>
    <w:p w:rsidR="00E8499D" w:rsidRDefault="0064133F">
      <w:pPr>
        <w:spacing w:after="0"/>
        <w:rPr>
          <w:rFonts w:ascii="Times New Roman" w:eastAsia="Times New Roman" w:hAnsi="Times New Roman" w:cs="Times New Roman"/>
          <w:sz w:val="24"/>
          <w:szCs w:val="24"/>
        </w:rPr>
      </w:pPr>
      <w:r>
        <w:rPr>
          <w:rFonts w:ascii="Verdana" w:eastAsia="Verdana" w:hAnsi="Verdana" w:cs="Verdana"/>
          <w:color w:val="000000"/>
          <w:sz w:val="20"/>
          <w:szCs w:val="20"/>
        </w:rPr>
        <w:t>Als de persoon met een handicap moeilijkheden ervaart bij het vinden van een vergunde zo</w:t>
      </w:r>
      <w:r>
        <w:rPr>
          <w:rFonts w:ascii="Verdana" w:eastAsia="Verdana" w:hAnsi="Verdana" w:cs="Verdana"/>
          <w:color w:val="000000"/>
          <w:sz w:val="20"/>
          <w:szCs w:val="20"/>
        </w:rPr>
        <w:t>rgaanbieder kan hij aan het VAPH intensieve bemiddeling vragen (</w:t>
      </w:r>
      <w:hyperlink r:id="rId11">
        <w:r>
          <w:rPr>
            <w:rFonts w:ascii="Verdana" w:eastAsia="Verdana" w:hAnsi="Verdana" w:cs="Verdana"/>
            <w:color w:val="1155CC"/>
            <w:sz w:val="20"/>
            <w:szCs w:val="20"/>
            <w:u w:val="single"/>
          </w:rPr>
          <w:t>bemiddeling@vaph.be</w:t>
        </w:r>
      </w:hyperlink>
      <w:r>
        <w:rPr>
          <w:rFonts w:ascii="Verdana" w:eastAsia="Verdana" w:hAnsi="Verdana" w:cs="Verdana"/>
          <w:color w:val="000000"/>
          <w:sz w:val="20"/>
          <w:szCs w:val="20"/>
        </w:rPr>
        <w:t>). Het VAPH kan vervolgens een goedkeuring voor casemanagement en/of collectieve bemiddeling geven. In het kader van de regelge</w:t>
      </w:r>
      <w:r>
        <w:rPr>
          <w:rFonts w:ascii="Verdana" w:eastAsia="Verdana" w:hAnsi="Verdana" w:cs="Verdana"/>
          <w:color w:val="000000"/>
          <w:sz w:val="20"/>
          <w:szCs w:val="20"/>
        </w:rPr>
        <w:t>ving voor geïnterneerden dient men echter niet te voldoen aan de voorwaarde ‘intensieve bijstand van een bijstandsorganisatie’ en dient men de bijstandsorganisatie niet uit te nodigen voor de collectieve bemiddeling.</w:t>
      </w:r>
    </w:p>
    <w:p w:rsidR="00E8499D" w:rsidRDefault="00E8499D">
      <w:pPr>
        <w:spacing w:after="0"/>
        <w:rPr>
          <w:rFonts w:ascii="Times New Roman" w:eastAsia="Times New Roman" w:hAnsi="Times New Roman" w:cs="Times New Roman"/>
          <w:sz w:val="24"/>
          <w:szCs w:val="24"/>
        </w:rPr>
      </w:pPr>
    </w:p>
    <w:p w:rsidR="00E8499D" w:rsidRDefault="0064133F">
      <w:pPr>
        <w:rPr>
          <w:rFonts w:ascii="Times New Roman" w:eastAsia="Times New Roman" w:hAnsi="Times New Roman" w:cs="Times New Roman"/>
          <w:sz w:val="24"/>
          <w:szCs w:val="24"/>
        </w:rPr>
      </w:pPr>
      <w:r>
        <w:rPr>
          <w:color w:val="000000"/>
        </w:rPr>
        <w:t>Met vragen omtrent bemiddeling kan u t</w:t>
      </w:r>
      <w:r>
        <w:rPr>
          <w:color w:val="000000"/>
        </w:rPr>
        <w:t xml:space="preserve">erecht bij de </w:t>
      </w:r>
      <w:hyperlink r:id="rId12">
        <w:r>
          <w:rPr>
            <w:color w:val="0000FF"/>
            <w:u w:val="single"/>
          </w:rPr>
          <w:t>regiocoördinatoren</w:t>
        </w:r>
      </w:hyperlink>
      <w:r>
        <w:rPr>
          <w:color w:val="000000"/>
        </w:rPr>
        <w:t xml:space="preserve"> van het VAPH. </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Subsidiëring</w:t>
      </w:r>
    </w:p>
    <w:p w:rsidR="00E8499D" w:rsidRDefault="0064133F">
      <w:pPr>
        <w:spacing w:after="160"/>
        <w:rPr>
          <w:rFonts w:ascii="Times New Roman" w:eastAsia="Times New Roman" w:hAnsi="Times New Roman" w:cs="Times New Roman"/>
          <w:sz w:val="24"/>
          <w:szCs w:val="24"/>
        </w:rPr>
      </w:pPr>
      <w:r>
        <w:rPr>
          <w:color w:val="000000"/>
        </w:rPr>
        <w:t>De middelen om de directe financiering van de ondersteuning voor geïnterneerde persoon met een handicap te be</w:t>
      </w:r>
      <w:r>
        <w:rPr>
          <w:color w:val="000000"/>
        </w:rPr>
        <w:t>talen, komen, net zoals de middelen voor de forensische VAPH-units, uit het apart ‘budget geïnterneerde personen met een handicap’. Dit budget wordt centraal beheerd door het VAPH. Er wordt op regelmatige basis rapportering voorzien.</w:t>
      </w:r>
    </w:p>
    <w:p w:rsidR="00E8499D" w:rsidRDefault="0064133F">
      <w:pPr>
        <w:spacing w:after="160"/>
        <w:rPr>
          <w:rFonts w:ascii="Times New Roman" w:eastAsia="Times New Roman" w:hAnsi="Times New Roman" w:cs="Times New Roman"/>
          <w:sz w:val="24"/>
          <w:szCs w:val="24"/>
        </w:rPr>
      </w:pPr>
      <w:r>
        <w:rPr>
          <w:color w:val="000000"/>
        </w:rPr>
        <w:lastRenderedPageBreak/>
        <w:t>Het VAPH voorziet in e</w:t>
      </w:r>
      <w:r>
        <w:rPr>
          <w:color w:val="000000"/>
        </w:rPr>
        <w:t>en subsidie per (ondersteunings-)module, uitgedrukt in personeelspunten en werkingsmiddelen. De verschillende modules kunnen niet met elkaar worden gecombineerd  en de subsidie wordt pro rata aangepast aan de duur van de begeleidingsovereenkomst in de GIR.</w:t>
      </w:r>
    </w:p>
    <w:p w:rsidR="00E8499D" w:rsidRDefault="0064133F">
      <w:pPr>
        <w:spacing w:after="160"/>
        <w:rPr>
          <w:rFonts w:ascii="Times New Roman" w:eastAsia="Times New Roman" w:hAnsi="Times New Roman" w:cs="Times New Roman"/>
          <w:sz w:val="24"/>
          <w:szCs w:val="24"/>
        </w:rPr>
      </w:pPr>
      <w:r>
        <w:rPr>
          <w:color w:val="000000"/>
        </w:rPr>
        <w:t>De subsidiëring per ondersteuningsmodule bedraagt op jaarbasis:</w:t>
      </w:r>
    </w:p>
    <w:tbl>
      <w:tblPr>
        <w:tblStyle w:val="a0"/>
        <w:tblW w:w="8267" w:type="dxa"/>
        <w:tblInd w:w="0" w:type="dxa"/>
        <w:tblLayout w:type="fixed"/>
        <w:tblLook w:val="0400" w:firstRow="0" w:lastRow="0" w:firstColumn="0" w:lastColumn="0" w:noHBand="0" w:noVBand="1"/>
      </w:tblPr>
      <w:tblGrid>
        <w:gridCol w:w="3424"/>
        <w:gridCol w:w="2411"/>
        <w:gridCol w:w="2432"/>
      </w:tblGrid>
      <w:tr w:rsidR="00E8499D">
        <w:trPr>
          <w:trHeight w:val="720"/>
        </w:trPr>
        <w:tc>
          <w:tcPr>
            <w:tcW w:w="342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E8499D">
            <w:pPr>
              <w:spacing w:after="0"/>
              <w:jc w:val="center"/>
              <w:rPr>
                <w:rFonts w:ascii="Times New Roman" w:eastAsia="Times New Roman" w:hAnsi="Times New Roman" w:cs="Times New Roman"/>
                <w:sz w:val="24"/>
                <w:szCs w:val="24"/>
              </w:rPr>
            </w:pPr>
          </w:p>
        </w:tc>
        <w:tc>
          <w:tcPr>
            <w:tcW w:w="241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 xml:space="preserve"> personeelspunten</w:t>
            </w:r>
          </w:p>
        </w:tc>
        <w:tc>
          <w:tcPr>
            <w:tcW w:w="243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 xml:space="preserve"> werkingsmiddelen</w:t>
            </w:r>
          </w:p>
        </w:tc>
      </w:tr>
      <w:tr w:rsidR="00E8499D">
        <w:trPr>
          <w:trHeight w:val="500"/>
        </w:trPr>
        <w:tc>
          <w:tcPr>
            <w:tcW w:w="342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individuele ondersteuning</w:t>
            </w:r>
          </w:p>
        </w:tc>
        <w:tc>
          <w:tcPr>
            <w:tcW w:w="241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19,2504</w:t>
            </w:r>
          </w:p>
        </w:tc>
        <w:tc>
          <w:tcPr>
            <w:tcW w:w="243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€ 1.434,04</w:t>
            </w:r>
          </w:p>
        </w:tc>
      </w:tr>
      <w:tr w:rsidR="00E8499D">
        <w:trPr>
          <w:trHeight w:val="480"/>
        </w:trPr>
        <w:tc>
          <w:tcPr>
            <w:tcW w:w="342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dagondersteuning</w:t>
            </w:r>
          </w:p>
        </w:tc>
        <w:tc>
          <w:tcPr>
            <w:tcW w:w="241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37,8132</w:t>
            </w:r>
          </w:p>
        </w:tc>
        <w:tc>
          <w:tcPr>
            <w:tcW w:w="243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€ 2.816,87</w:t>
            </w:r>
          </w:p>
        </w:tc>
      </w:tr>
      <w:tr w:rsidR="00E8499D">
        <w:trPr>
          <w:trHeight w:val="460"/>
        </w:trPr>
        <w:tc>
          <w:tcPr>
            <w:tcW w:w="342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woonondersteuning</w:t>
            </w:r>
          </w:p>
        </w:tc>
        <w:tc>
          <w:tcPr>
            <w:tcW w:w="241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right="700"/>
              <w:jc w:val="center"/>
              <w:rPr>
                <w:rFonts w:ascii="Times New Roman" w:eastAsia="Times New Roman" w:hAnsi="Times New Roman" w:cs="Times New Roman"/>
                <w:sz w:val="24"/>
                <w:szCs w:val="24"/>
              </w:rPr>
            </w:pPr>
            <w:r>
              <w:rPr>
                <w:color w:val="000000"/>
              </w:rPr>
              <w:t>48,1260</w:t>
            </w:r>
          </w:p>
        </w:tc>
        <w:tc>
          <w:tcPr>
            <w:tcW w:w="243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right="700"/>
              <w:jc w:val="center"/>
              <w:rPr>
                <w:rFonts w:ascii="Times New Roman" w:eastAsia="Times New Roman" w:hAnsi="Times New Roman" w:cs="Times New Roman"/>
                <w:sz w:val="24"/>
                <w:szCs w:val="24"/>
              </w:rPr>
            </w:pPr>
            <w:r>
              <w:rPr>
                <w:color w:val="000000"/>
              </w:rPr>
              <w:t>€ 3.585,11</w:t>
            </w:r>
          </w:p>
        </w:tc>
      </w:tr>
      <w:tr w:rsidR="00E8499D">
        <w:trPr>
          <w:trHeight w:val="480"/>
        </w:trPr>
        <w:tc>
          <w:tcPr>
            <w:tcW w:w="342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dag- en woonondersteuning</w:t>
            </w:r>
          </w:p>
        </w:tc>
        <w:tc>
          <w:tcPr>
            <w:tcW w:w="241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61,8762</w:t>
            </w:r>
          </w:p>
        </w:tc>
        <w:tc>
          <w:tcPr>
            <w:tcW w:w="243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€ 4.609,42</w:t>
            </w:r>
          </w:p>
        </w:tc>
      </w:tr>
      <w:tr w:rsidR="00E8499D">
        <w:trPr>
          <w:trHeight w:val="480"/>
        </w:trPr>
        <w:tc>
          <w:tcPr>
            <w:tcW w:w="342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dag- en woonondersteuning +</w:t>
            </w:r>
          </w:p>
        </w:tc>
        <w:tc>
          <w:tcPr>
            <w:tcW w:w="241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79,7516</w:t>
            </w:r>
          </w:p>
        </w:tc>
        <w:tc>
          <w:tcPr>
            <w:tcW w:w="243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8499D" w:rsidRDefault="0064133F">
            <w:pPr>
              <w:spacing w:after="0"/>
              <w:ind w:left="-60" w:right="700" w:hanging="60"/>
              <w:jc w:val="center"/>
              <w:rPr>
                <w:rFonts w:ascii="Times New Roman" w:eastAsia="Times New Roman" w:hAnsi="Times New Roman" w:cs="Times New Roman"/>
                <w:sz w:val="24"/>
                <w:szCs w:val="24"/>
              </w:rPr>
            </w:pPr>
            <w:r>
              <w:rPr>
                <w:color w:val="000000"/>
              </w:rPr>
              <w:t>€ 5.941,04</w:t>
            </w:r>
          </w:p>
        </w:tc>
      </w:tr>
    </w:tbl>
    <w:p w:rsidR="00E8499D" w:rsidRDefault="00E8499D">
      <w:pPr>
        <w:spacing w:after="0"/>
        <w:rPr>
          <w:rFonts w:ascii="Times New Roman" w:eastAsia="Times New Roman" w:hAnsi="Times New Roman" w:cs="Times New Roman"/>
          <w:sz w:val="24"/>
          <w:szCs w:val="24"/>
        </w:rPr>
      </w:pPr>
    </w:p>
    <w:p w:rsidR="00E8499D" w:rsidRDefault="0064133F">
      <w:pPr>
        <w:spacing w:after="160"/>
        <w:ind w:right="690"/>
        <w:rPr>
          <w:rFonts w:ascii="Times New Roman" w:eastAsia="Times New Roman" w:hAnsi="Times New Roman" w:cs="Times New Roman"/>
          <w:sz w:val="24"/>
          <w:szCs w:val="24"/>
        </w:rPr>
      </w:pPr>
      <w:r>
        <w:rPr>
          <w:color w:val="000000"/>
        </w:rPr>
        <w:t>De subsidiëring verloopt op dezelfde wijze als de subsidiëring van andere diensten die werken met personeelspunten en werkingsmiddelen.</w:t>
      </w:r>
    </w:p>
    <w:p w:rsidR="00E8499D" w:rsidRDefault="0064133F">
      <w:pPr>
        <w:spacing w:after="160"/>
        <w:rPr>
          <w:rFonts w:ascii="Times New Roman" w:eastAsia="Times New Roman" w:hAnsi="Times New Roman" w:cs="Times New Roman"/>
          <w:sz w:val="24"/>
          <w:szCs w:val="24"/>
        </w:rPr>
      </w:pPr>
      <w:r>
        <w:rPr>
          <w:color w:val="000000"/>
        </w:rPr>
        <w:t>Er zullen personeelspunten (niet werkingsmiddelen) doorgegeven kunnen worden via het systeem van voorschotten en afrekeningen.</w:t>
      </w:r>
    </w:p>
    <w:p w:rsidR="00E8499D" w:rsidRDefault="0064133F">
      <w:pPr>
        <w:spacing w:after="160"/>
        <w:rPr>
          <w:rFonts w:ascii="Times New Roman" w:eastAsia="Times New Roman" w:hAnsi="Times New Roman" w:cs="Times New Roman"/>
          <w:sz w:val="24"/>
          <w:szCs w:val="24"/>
        </w:rPr>
      </w:pPr>
      <w:r>
        <w:rPr>
          <w:color w:val="000000"/>
        </w:rPr>
        <w:t>Maximaal 3% van de personeelspunten kan omgezet worden in bijkomende werkingsmiddelen tegen een bedrag per personeelspunt.</w:t>
      </w:r>
    </w:p>
    <w:p w:rsidR="00E8499D" w:rsidRDefault="0064133F">
      <w:pPr>
        <w:spacing w:after="160"/>
        <w:rPr>
          <w:rFonts w:ascii="Times New Roman" w:eastAsia="Times New Roman" w:hAnsi="Times New Roman" w:cs="Times New Roman"/>
          <w:sz w:val="24"/>
          <w:szCs w:val="24"/>
        </w:rPr>
      </w:pPr>
      <w:r>
        <w:rPr>
          <w:color w:val="000000"/>
        </w:rPr>
        <w:t>Het VA</w:t>
      </w:r>
      <w:r>
        <w:rPr>
          <w:color w:val="000000"/>
        </w:rPr>
        <w:t>PH subsidieert de werkingsmiddelen als aan één  van de volgende voorwaarden is voldaan:</w:t>
      </w:r>
    </w:p>
    <w:p w:rsidR="00E8499D" w:rsidRDefault="0064133F">
      <w:pPr>
        <w:numPr>
          <w:ilvl w:val="0"/>
          <w:numId w:val="2"/>
        </w:numPr>
        <w:spacing w:after="0"/>
        <w:rPr>
          <w:color w:val="000000"/>
        </w:rPr>
      </w:pPr>
      <w:r>
        <w:rPr>
          <w:color w:val="000000"/>
        </w:rPr>
        <w:t>Er is voorafgaand overleg gepleegd over de aanwending van het bedrag met het collectieve overlegorgaan,</w:t>
      </w:r>
    </w:p>
    <w:p w:rsidR="00E8499D" w:rsidRDefault="0064133F">
      <w:pPr>
        <w:numPr>
          <w:ilvl w:val="0"/>
          <w:numId w:val="2"/>
        </w:numPr>
        <w:spacing w:after="160"/>
        <w:rPr>
          <w:color w:val="000000"/>
        </w:rPr>
      </w:pPr>
      <w:r>
        <w:rPr>
          <w:color w:val="000000"/>
        </w:rPr>
        <w:t>Er is collectieve inspraak geweest, en er heeft overleg plaatsge</w:t>
      </w:r>
      <w:r>
        <w:rPr>
          <w:color w:val="000000"/>
        </w:rPr>
        <w:t xml:space="preserve">vonden met de werknemersvertegenwoordiging, en er is aan die overlegkanalen transparantie geboden over de aanwending van de werkingsmiddelen. </w:t>
      </w:r>
    </w:p>
    <w:p w:rsidR="00E8499D" w:rsidRDefault="0064133F">
      <w:pPr>
        <w:spacing w:after="160"/>
        <w:rPr>
          <w:rFonts w:ascii="Times New Roman" w:eastAsia="Times New Roman" w:hAnsi="Times New Roman" w:cs="Times New Roman"/>
          <w:sz w:val="24"/>
          <w:szCs w:val="24"/>
        </w:rPr>
      </w:pPr>
      <w:r>
        <w:rPr>
          <w:color w:val="000000"/>
        </w:rPr>
        <w:t>Op verzoek van het agentschap bewijst de vergunde zorgaanbieder het resultaat van het overleg met het collectieve</w:t>
      </w:r>
      <w:r>
        <w:rPr>
          <w:color w:val="000000"/>
        </w:rPr>
        <w:t xml:space="preserve"> overlegorgaan of de collectieve inspraak en het overleg met de werknemersvertegenwoordiging. </w:t>
      </w:r>
      <w:r>
        <w:rPr>
          <w:color w:val="000000"/>
        </w:rPr>
        <w:br/>
      </w:r>
    </w:p>
    <w:p w:rsidR="00E8499D" w:rsidRDefault="0064133F">
      <w:pPr>
        <w:pStyle w:val="Kop2"/>
        <w:numPr>
          <w:ilvl w:val="1"/>
          <w:numId w:val="6"/>
        </w:numPr>
      </w:pPr>
      <w:r>
        <w:t xml:space="preserve">Individuele dienstverleningsovereenkomst, samenwerkingsovereenkomst en registratie in de geïntegreerde registratietool (GIR) </w:t>
      </w:r>
    </w:p>
    <w:p w:rsidR="00E8499D" w:rsidRDefault="0064133F">
      <w:pPr>
        <w:spacing w:after="160"/>
        <w:rPr>
          <w:rFonts w:ascii="Times New Roman" w:eastAsia="Times New Roman" w:hAnsi="Times New Roman" w:cs="Times New Roman"/>
          <w:sz w:val="24"/>
          <w:szCs w:val="24"/>
        </w:rPr>
      </w:pPr>
      <w:r>
        <w:rPr>
          <w:color w:val="000000"/>
        </w:rPr>
        <w:t xml:space="preserve">Als het VAPH zijn goedkeuring tot </w:t>
      </w:r>
      <w:r>
        <w:rPr>
          <w:color w:val="000000"/>
        </w:rPr>
        <w:t xml:space="preserve">opstart heeft verleend kan de geïnterneerde persoon met een handicap of zijn vertegenwoordiger een individuele dienstverleningsovereenkomst afsluiten met één geregistreerde vergunde zorgaanbieder. </w:t>
      </w:r>
    </w:p>
    <w:p w:rsidR="00E8499D" w:rsidRDefault="0064133F">
      <w:pPr>
        <w:spacing w:after="160"/>
        <w:rPr>
          <w:rFonts w:ascii="Times New Roman" w:eastAsia="Times New Roman" w:hAnsi="Times New Roman" w:cs="Times New Roman"/>
          <w:sz w:val="24"/>
          <w:szCs w:val="24"/>
        </w:rPr>
      </w:pPr>
      <w:r>
        <w:rPr>
          <w:color w:val="000000"/>
        </w:rPr>
        <w:lastRenderedPageBreak/>
        <w:t>Per persoon met een handicap zal er één begeleidingsoveree</w:t>
      </w:r>
      <w:r>
        <w:rPr>
          <w:color w:val="000000"/>
        </w:rPr>
        <w:t>nkomst in de geïntegreerde registratietool (GIR) geregistreerd kunnen worden. Meer informatie omtrent het registreren van de begeleidingsovereenkomst, vindt u in de handleiding van de GIR. Deze handleiding wordt eind januari 2019 aangepast.</w:t>
      </w:r>
    </w:p>
    <w:p w:rsidR="00E8499D" w:rsidRDefault="0064133F">
      <w:pPr>
        <w:spacing w:after="160"/>
        <w:rPr>
          <w:color w:val="000000"/>
        </w:rPr>
      </w:pPr>
      <w:r>
        <w:rPr>
          <w:color w:val="000000"/>
        </w:rPr>
        <w:t>De vergunde zor</w:t>
      </w:r>
      <w:r>
        <w:rPr>
          <w:color w:val="000000"/>
        </w:rPr>
        <w:t>gaanbieder die de begeleidingsovereenkomst registreert, kan samenwerken met andere vergunde zorgaanbieders (erkend voor directe financiering geïnterneerden) om de nodige ondersteuning te realiseren. Als de zorg en ondersteuning door verschillende geregistr</w:t>
      </w:r>
      <w:r>
        <w:rPr>
          <w:color w:val="000000"/>
        </w:rPr>
        <w:t>eerde vergunde zorgaanbieders zal worden verleend, sluiten zij hiervoor een samenwerkingsovereenkomst. Daarin wordt vastgesteld met welke vergunde zorgaanbieder de individuele dienstverleningsovereenkomst wordt afgesloten en op welke wijze de personeelspun</w:t>
      </w:r>
      <w:r>
        <w:rPr>
          <w:color w:val="000000"/>
        </w:rPr>
        <w:t xml:space="preserve">ten worden verdeeld over de verschillende vergunde zorgaanbieders. </w:t>
      </w:r>
    </w:p>
    <w:p w:rsidR="00E8499D" w:rsidRDefault="00E8499D">
      <w:pPr>
        <w:spacing w:after="160"/>
        <w:rPr>
          <w:rFonts w:ascii="Times New Roman" w:eastAsia="Times New Roman" w:hAnsi="Times New Roman" w:cs="Times New Roman"/>
          <w:sz w:val="24"/>
          <w:szCs w:val="24"/>
        </w:rPr>
      </w:pPr>
    </w:p>
    <w:p w:rsidR="00E8499D" w:rsidRDefault="0064133F">
      <w:pPr>
        <w:pStyle w:val="Kop2"/>
        <w:numPr>
          <w:ilvl w:val="1"/>
          <w:numId w:val="6"/>
        </w:numPr>
      </w:pPr>
      <w:r>
        <w:t>Woon- en leefkosten</w:t>
      </w:r>
    </w:p>
    <w:p w:rsidR="00E8499D" w:rsidRDefault="0064133F">
      <w:pPr>
        <w:spacing w:after="160"/>
        <w:rPr>
          <w:rFonts w:ascii="Times New Roman" w:eastAsia="Times New Roman" w:hAnsi="Times New Roman" w:cs="Times New Roman"/>
          <w:sz w:val="24"/>
          <w:szCs w:val="24"/>
        </w:rPr>
      </w:pPr>
      <w:r>
        <w:rPr>
          <w:color w:val="000000"/>
        </w:rPr>
        <w:t xml:space="preserve">Personen die ondersteund worden via direct gefinancierde ondersteuning voor geïnterneerden met een handicap staan in voor hun eigen woon- en leefkosten. </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Einde van de direct gefinancierde ondersteuning</w:t>
      </w:r>
    </w:p>
    <w:p w:rsidR="00E8499D" w:rsidRDefault="0064133F">
      <w:pPr>
        <w:spacing w:after="160"/>
        <w:rPr>
          <w:rFonts w:ascii="Times New Roman" w:eastAsia="Times New Roman" w:hAnsi="Times New Roman" w:cs="Times New Roman"/>
          <w:sz w:val="24"/>
          <w:szCs w:val="24"/>
        </w:rPr>
      </w:pPr>
      <w:r>
        <w:rPr>
          <w:color w:val="000000"/>
        </w:rPr>
        <w:t>Als er een persoonsvolgend budget (PVB) ter beschikking wordt gesteld, eindigt de subsidiëring van de vergunde zorgaanbieder na twee maanden vanaf de aanvangsdatum van de terbeschikkingstelling van het PVB.</w:t>
      </w:r>
    </w:p>
    <w:p w:rsidR="00E8499D" w:rsidRDefault="0064133F">
      <w:pPr>
        <w:spacing w:after="160"/>
        <w:rPr>
          <w:rFonts w:ascii="Times New Roman" w:eastAsia="Times New Roman" w:hAnsi="Times New Roman" w:cs="Times New Roman"/>
          <w:sz w:val="24"/>
          <w:szCs w:val="24"/>
        </w:rPr>
      </w:pPr>
      <w:r>
        <w:rPr>
          <w:color w:val="000000"/>
        </w:rPr>
        <w:t>B</w:t>
      </w:r>
      <w:r>
        <w:rPr>
          <w:color w:val="000000"/>
        </w:rPr>
        <w:t>ij overlijden van de persoon met een handicap loopt de directe financiering geïnterneerden nog twee maanden door vanaf de datum van overlijden.</w:t>
      </w:r>
    </w:p>
    <w:p w:rsidR="00E8499D" w:rsidRDefault="0064133F">
      <w:pPr>
        <w:spacing w:after="0"/>
        <w:rPr>
          <w:rFonts w:ascii="Times New Roman" w:eastAsia="Times New Roman" w:hAnsi="Times New Roman" w:cs="Times New Roman"/>
          <w:sz w:val="24"/>
          <w:szCs w:val="24"/>
        </w:rPr>
      </w:pPr>
      <w:r>
        <w:rPr>
          <w:color w:val="000000"/>
        </w:rPr>
        <w:t>De subsidiëring van de vergunde zorgaanbieder eindigt vanaf de eerste dag na de beëindiging van de individuele d</w:t>
      </w:r>
      <w:r>
        <w:rPr>
          <w:color w:val="000000"/>
        </w:rPr>
        <w:t xml:space="preserve">ienstverleningsovereenkomst. Bij de beëindiging van de overeenkomst dient men rekening te houden met de opzegtermijn. De opzegperiode van de individuele dienstverleningsovereenkomst bedraagt maximaal drie maanden. </w:t>
      </w:r>
      <w:r>
        <w:rPr>
          <w:color w:val="000000"/>
        </w:rPr>
        <w:br/>
      </w:r>
      <w:r>
        <w:rPr>
          <w:color w:val="000000"/>
        </w:rPr>
        <w:br/>
        <w:t>De directe subsidiëring eindigt vanaf de</w:t>
      </w:r>
      <w:r>
        <w:rPr>
          <w:color w:val="000000"/>
        </w:rPr>
        <w:t xml:space="preserve"> eerste dag van de vierde maand na de maand waarin de betrokken persoon met een handicap definitief in vrijheid werd gesteld. </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Crisisopname en time-out</w:t>
      </w:r>
    </w:p>
    <w:p w:rsidR="00E8499D" w:rsidRDefault="0064133F">
      <w:pPr>
        <w:spacing w:after="0"/>
        <w:rPr>
          <w:rFonts w:ascii="Times New Roman" w:eastAsia="Times New Roman" w:hAnsi="Times New Roman" w:cs="Times New Roman"/>
          <w:sz w:val="24"/>
          <w:szCs w:val="24"/>
        </w:rPr>
      </w:pPr>
      <w:r>
        <w:rPr>
          <w:color w:val="000000"/>
        </w:rPr>
        <w:t>Indien de betrokken persoon met een handicap tijdelijk opgenomen moet worden in een door andere overhed</w:t>
      </w:r>
      <w:r>
        <w:rPr>
          <w:color w:val="000000"/>
        </w:rPr>
        <w:t>en gesubsidieerde setting (vb. time-out of crisisondersteuning,  tijdelijke ziekenhuisopname, ODB-unit), dan wordt de directe financiering opgeschort vanaf de eerste dag van de vierde maand na de maand waarin de time-out of crisisondersteuning is gestart t</w:t>
      </w:r>
      <w:r>
        <w:rPr>
          <w:color w:val="000000"/>
        </w:rPr>
        <w:t xml:space="preserve">ot op het moment dat betrokkene terugkeert naar de vergunde zorgaanbieder. De opname in een andere gesubsidieerde voorziening moet bij het VAPH gemeld worden. Als blijkt dat de betrokkene niet kan terugkeren naar de direct gefinancierde VAPH-ondersteuning </w:t>
      </w:r>
      <w:r>
        <w:rPr>
          <w:color w:val="000000"/>
        </w:rPr>
        <w:t>dient de vergunde zorgaanbieder dit te melden en wordt de directe financiering stopgezet vanaf de eerste dag van de vierde maand na de maand waarin de time-out of crisisondersteuning is gestart.</w:t>
      </w:r>
    </w:p>
    <w:p w:rsidR="00E8499D" w:rsidRDefault="00E8499D">
      <w:pPr>
        <w:spacing w:after="0"/>
        <w:rPr>
          <w:rFonts w:ascii="Times New Roman" w:eastAsia="Times New Roman" w:hAnsi="Times New Roman" w:cs="Times New Roman"/>
          <w:sz w:val="24"/>
          <w:szCs w:val="24"/>
        </w:rPr>
      </w:pPr>
    </w:p>
    <w:p w:rsidR="00E8499D" w:rsidRDefault="0064133F">
      <w:pPr>
        <w:spacing w:after="0"/>
        <w:rPr>
          <w:color w:val="000000"/>
        </w:rPr>
      </w:pPr>
      <w:r>
        <w:rPr>
          <w:color w:val="000000"/>
        </w:rPr>
        <w:t>Indien de betrokkene minstens 3 maanden verblijft in een bev</w:t>
      </w:r>
      <w:r>
        <w:rPr>
          <w:color w:val="000000"/>
        </w:rPr>
        <w:t>eiligde setting, wordt de directe financiering stopgezet, vanaf de 1ste dag van de 4de maand van verblijf in deze setting.</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Uitstroom</w:t>
      </w:r>
    </w:p>
    <w:p w:rsidR="00E8499D" w:rsidRDefault="0064133F">
      <w:pPr>
        <w:spacing w:after="160"/>
        <w:rPr>
          <w:rFonts w:ascii="Times New Roman" w:eastAsia="Times New Roman" w:hAnsi="Times New Roman" w:cs="Times New Roman"/>
          <w:sz w:val="24"/>
          <w:szCs w:val="24"/>
        </w:rPr>
      </w:pPr>
      <w:r>
        <w:rPr>
          <w:color w:val="000000"/>
        </w:rPr>
        <w:t>Teneinde de gelimiteerde capaciteit binnen de directe financiering voor te behouden voor de personen die hier werkelijk no</w:t>
      </w:r>
      <w:r>
        <w:rPr>
          <w:color w:val="000000"/>
        </w:rPr>
        <w:t>od aan hebben, dient doorstroom overwogen en gestimuleerd te worden waar en van zodra mogelijk en wenselijk.</w:t>
      </w:r>
    </w:p>
    <w:p w:rsidR="00E8499D" w:rsidRDefault="0064133F">
      <w:pPr>
        <w:spacing w:after="160"/>
        <w:rPr>
          <w:rFonts w:ascii="Times New Roman" w:eastAsia="Times New Roman" w:hAnsi="Times New Roman" w:cs="Times New Roman"/>
          <w:sz w:val="24"/>
          <w:szCs w:val="24"/>
        </w:rPr>
      </w:pPr>
      <w:r>
        <w:rPr>
          <w:color w:val="000000"/>
        </w:rPr>
        <w:t>Vanaf de 7e maand na de start van de direct gefinancierde ondersteuning en wanneer er zicht is op definitieve invrijheidstelling kan daarom de regu</w:t>
      </w:r>
      <w:r>
        <w:rPr>
          <w:color w:val="000000"/>
        </w:rPr>
        <w:t>liere aanvraagprocedure voor een PVB gestart worden. De aanvraagprocedure wordt geïnitieerd door een ondersteuningsplan persoonsvolgend budget (OP PVB), gevolgd door de opmaak van een module B (objectivering ondersteuningsnood). Het toe te wijzen persoonsv</w:t>
      </w:r>
      <w:r>
        <w:rPr>
          <w:color w:val="000000"/>
        </w:rPr>
        <w:t xml:space="preserve">olgend budget van de betrokken persoon met een handicap wordt vervolgens automatisch in prioriteitengroep 1 geregistreerd. </w:t>
      </w:r>
    </w:p>
    <w:p w:rsidR="00E8499D" w:rsidRDefault="0064133F">
      <w:pPr>
        <w:pStyle w:val="Kop1"/>
        <w:numPr>
          <w:ilvl w:val="0"/>
          <w:numId w:val="6"/>
        </w:numPr>
      </w:pPr>
      <w:r>
        <w:t>Aanvraag, toewijzing en terbeschikkingstelling van een persoonsvolgend budget (PVB) en stopzetting van een PVB</w:t>
      </w:r>
    </w:p>
    <w:p w:rsidR="00E8499D" w:rsidRDefault="0064133F">
      <w:pPr>
        <w:pStyle w:val="Kop2"/>
        <w:numPr>
          <w:ilvl w:val="1"/>
          <w:numId w:val="6"/>
        </w:numPr>
      </w:pPr>
      <w:r>
        <w:t>Geïnterneerde persone</w:t>
      </w:r>
      <w:r>
        <w:t>n met een handicap die verblijven in de gevangenis, een FPC of een medium security afdeling</w:t>
      </w:r>
    </w:p>
    <w:p w:rsidR="00E8499D" w:rsidRDefault="0064133F">
      <w:pPr>
        <w:spacing w:after="160"/>
        <w:rPr>
          <w:rFonts w:ascii="Times New Roman" w:eastAsia="Times New Roman" w:hAnsi="Times New Roman" w:cs="Times New Roman"/>
          <w:sz w:val="24"/>
          <w:szCs w:val="24"/>
        </w:rPr>
      </w:pPr>
      <w:r>
        <w:rPr>
          <w:color w:val="000000"/>
        </w:rPr>
        <w:t>De aanvragen van een persoonsvolgend budget door geïnterneerde personen met een handicap die verblijven in de gevangenis, een FPC of een medium security afdeling wo</w:t>
      </w:r>
      <w:r>
        <w:rPr>
          <w:color w:val="000000"/>
        </w:rPr>
        <w:t xml:space="preserve">rden automatisch stopgezet door het VAPH. Het VAPH kan hen dus geen PVB toewijzen of ter beschikking stellen. Zij komen wel in aanmerking voor direct gefinancierde zorg en ondersteuning voor geïnterneerde personen met een handicap. </w:t>
      </w:r>
    </w:p>
    <w:p w:rsidR="00E8499D" w:rsidRDefault="0064133F">
      <w:pPr>
        <w:spacing w:after="160"/>
        <w:rPr>
          <w:rFonts w:ascii="Times New Roman" w:eastAsia="Times New Roman" w:hAnsi="Times New Roman" w:cs="Times New Roman"/>
          <w:sz w:val="24"/>
          <w:szCs w:val="24"/>
        </w:rPr>
      </w:pPr>
      <w:r>
        <w:rPr>
          <w:color w:val="000000"/>
        </w:rPr>
        <w:t>De reeds genomen beslis</w:t>
      </w:r>
      <w:r>
        <w:rPr>
          <w:color w:val="000000"/>
        </w:rPr>
        <w:t>singen tot toewijzing of terbeschikkingstelling van een PVB vervallen bij inwerkingtreding van het besluit van 14 december 2018 als de betrokken persoon met een handicap op dat ogenblik verblijft in een gevangenis, een FPC of een medium security afdeling.</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Geïnterneerde personen die gebruik maken van direct gefinancierde ondersteuning of verblijven in een forensische VAPH-unit</w:t>
      </w:r>
    </w:p>
    <w:p w:rsidR="00E8499D" w:rsidRDefault="0064133F">
      <w:pPr>
        <w:spacing w:after="160"/>
        <w:rPr>
          <w:rFonts w:ascii="Times New Roman" w:eastAsia="Times New Roman" w:hAnsi="Times New Roman" w:cs="Times New Roman"/>
          <w:sz w:val="24"/>
          <w:szCs w:val="24"/>
        </w:rPr>
      </w:pPr>
      <w:r>
        <w:rPr>
          <w:color w:val="000000"/>
        </w:rPr>
        <w:t>Geïnterneerde personen met een handicap die in het kader van directe financiering worden  ondersteund door een vergunde zorgaanbiede</w:t>
      </w:r>
      <w:r>
        <w:rPr>
          <w:color w:val="000000"/>
        </w:rPr>
        <w:t>r of verblijven in een forensische VAPH-unit kunnen ten vroegste vanaf de zevende maand na opstart van deze ondersteuning de aanvraag van een persoonsvolgend budget starten. Het toe te wijzen persoonsvolgend budget van de betrokken persoon met een handicap</w:t>
      </w:r>
      <w:r>
        <w:rPr>
          <w:color w:val="000000"/>
        </w:rPr>
        <w:t xml:space="preserve"> wordt standaard in prioriteitengroep 1 geregistreerd. Het VAPH kan hen een PVB toewijzen en ter beschikking stellen.</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lastRenderedPageBreak/>
        <w:t>Personen met een PVB op basis van de transitie ZiN op 1 januari 2017</w:t>
      </w:r>
    </w:p>
    <w:p w:rsidR="00E8499D" w:rsidRDefault="0064133F">
      <w:pPr>
        <w:spacing w:after="160"/>
        <w:rPr>
          <w:rFonts w:ascii="Times New Roman" w:eastAsia="Times New Roman" w:hAnsi="Times New Roman" w:cs="Times New Roman"/>
          <w:sz w:val="24"/>
          <w:szCs w:val="24"/>
        </w:rPr>
      </w:pPr>
      <w:r>
        <w:rPr>
          <w:color w:val="000000"/>
        </w:rPr>
        <w:t xml:space="preserve">De beslissingen tot terbeschikkingstelling van een PVB in het kader </w:t>
      </w:r>
      <w:r>
        <w:rPr>
          <w:color w:val="000000"/>
        </w:rPr>
        <w:t xml:space="preserve">van de transitie van cliënten van de vergunde zorgaanbieders vervallen nog niet op 1 januari 2019. Zij komen echter te vervallen op het ogenblik dat de betrokken persoon gebruik maakt van direct gefinancierde ondersteuning voor geïnterneerden. </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Geïnterneerde personen met een handicap voor wie de aanvraag voor een PVB on hold werd gezet in afwachting van de uitwerking van het nieuwe BVR</w:t>
      </w:r>
    </w:p>
    <w:p w:rsidR="00E8499D" w:rsidRDefault="0064133F">
      <w:pPr>
        <w:spacing w:after="160"/>
        <w:rPr>
          <w:rFonts w:ascii="Times New Roman" w:eastAsia="Times New Roman" w:hAnsi="Times New Roman" w:cs="Times New Roman"/>
          <w:sz w:val="24"/>
          <w:szCs w:val="24"/>
        </w:rPr>
      </w:pPr>
      <w:r>
        <w:rPr>
          <w:color w:val="000000"/>
        </w:rPr>
        <w:t>Geïnterneerde personen met een handicap die eerder een aanvraag voor een PVB hadden gesteld en voor wie de aanvr</w:t>
      </w:r>
      <w:r>
        <w:rPr>
          <w:color w:val="000000"/>
        </w:rPr>
        <w:t>aag on hold werd gezet in afwachting van de nieuwe regelgeving zullen eerstdaags door het VAPH worden geïnformeerd over de verder te nemen stappen in hun concrete dossier:</w:t>
      </w:r>
    </w:p>
    <w:p w:rsidR="00E8499D" w:rsidRDefault="0064133F">
      <w:pPr>
        <w:numPr>
          <w:ilvl w:val="0"/>
          <w:numId w:val="3"/>
        </w:numPr>
        <w:spacing w:after="0"/>
        <w:rPr>
          <w:color w:val="000000"/>
        </w:rPr>
      </w:pPr>
      <w:r>
        <w:rPr>
          <w:color w:val="000000"/>
        </w:rPr>
        <w:t>personen die verblijven in gevangenis, FPC of erkende medium security- afdeling word</w:t>
      </w:r>
      <w:r>
        <w:rPr>
          <w:color w:val="000000"/>
        </w:rPr>
        <w:t>en doorverwezen naar de procedure voor directe financiering bij een geregistreerde VZA; hun aanvraag voor een PVB wordt definitief stopgezet;</w:t>
      </w:r>
    </w:p>
    <w:p w:rsidR="00E8499D" w:rsidRDefault="0064133F">
      <w:pPr>
        <w:numPr>
          <w:ilvl w:val="0"/>
          <w:numId w:val="3"/>
        </w:numPr>
        <w:spacing w:after="160"/>
        <w:rPr>
          <w:color w:val="000000"/>
        </w:rPr>
      </w:pPr>
      <w:r>
        <w:rPr>
          <w:color w:val="000000"/>
        </w:rPr>
        <w:t>personen die elders verblijven; hun aanvraag voor een PVB wordt verder behandeld door het VAPH</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Terug naar de beveiligde setting</w:t>
      </w:r>
    </w:p>
    <w:p w:rsidR="00E8499D" w:rsidRDefault="0064133F">
      <w:pPr>
        <w:spacing w:after="160"/>
        <w:rPr>
          <w:rFonts w:ascii="Times New Roman" w:eastAsia="Times New Roman" w:hAnsi="Times New Roman" w:cs="Times New Roman"/>
          <w:sz w:val="24"/>
          <w:szCs w:val="24"/>
        </w:rPr>
      </w:pPr>
      <w:r>
        <w:rPr>
          <w:color w:val="000000"/>
        </w:rPr>
        <w:t>Indien de geïnterneerde terugkeert naar de gevangenis, een FPC of erkende medium security-afdeling, wordt de directe financiering stopgezet vanaf de eerste dag van de vierde maand  en kan de betrokkene  opnieuw een aanvraag</w:t>
      </w:r>
      <w:r>
        <w:rPr>
          <w:color w:val="000000"/>
        </w:rPr>
        <w:t xml:space="preserve"> tot directe financiering of een forensische VAPH-unit tot het VAPH richten. </w:t>
      </w:r>
    </w:p>
    <w:p w:rsidR="00E8499D" w:rsidRDefault="0064133F">
      <w:pPr>
        <w:pStyle w:val="Kop1"/>
        <w:numPr>
          <w:ilvl w:val="0"/>
          <w:numId w:val="6"/>
        </w:numPr>
      </w:pPr>
      <w:r>
        <w:t>Units voor geïnterneerden / forensische VAPH-units</w:t>
      </w:r>
    </w:p>
    <w:p w:rsidR="00E8499D" w:rsidRDefault="0064133F">
      <w:pPr>
        <w:pStyle w:val="Kop2"/>
        <w:numPr>
          <w:ilvl w:val="1"/>
          <w:numId w:val="6"/>
        </w:numPr>
      </w:pPr>
      <w:r>
        <w:t>Regelgeving en erkenning</w:t>
      </w:r>
    </w:p>
    <w:p w:rsidR="00E8499D" w:rsidRDefault="0064133F">
      <w:pPr>
        <w:spacing w:after="160"/>
        <w:rPr>
          <w:rFonts w:ascii="Times New Roman" w:eastAsia="Times New Roman" w:hAnsi="Times New Roman" w:cs="Times New Roman"/>
          <w:sz w:val="24"/>
          <w:szCs w:val="24"/>
        </w:rPr>
      </w:pPr>
      <w:r>
        <w:rPr>
          <w:color w:val="000000"/>
        </w:rPr>
        <w:t xml:space="preserve">De regelgeving omtrent de units voor geïnterneerden is gevat door het Besluit van de Vlaamse regering </w:t>
      </w:r>
      <w:r>
        <w:rPr>
          <w:color w:val="000000"/>
        </w:rPr>
        <w:t xml:space="preserve">van 24 november 2017 over de erkenning en subsidiëring van voorzieningen die ondersteuning bieden aan personen met een handicap in de gevangenis, en van units voor geïnterneerden. Dit besluit trad in werking op 1 januari 2017. </w:t>
      </w:r>
    </w:p>
    <w:p w:rsidR="00E8499D" w:rsidRDefault="0064133F">
      <w:pPr>
        <w:spacing w:after="160"/>
        <w:rPr>
          <w:color w:val="000000"/>
        </w:rPr>
      </w:pPr>
      <w:r>
        <w:rPr>
          <w:color w:val="000000"/>
        </w:rPr>
        <w:t>Bij de uitwerking van het BV</w:t>
      </w:r>
      <w:r>
        <w:rPr>
          <w:color w:val="000000"/>
        </w:rPr>
        <w:t xml:space="preserve">R omtrent de ondersteuning voor geïnterneerden van 14 december 2018, werden hieraan een aantal wijzigingen aangebracht. Er wordt in dit besluit naar deze diensten verwezen als ‘forensische VAPH-units’. </w:t>
      </w:r>
    </w:p>
    <w:p w:rsidR="00E8499D" w:rsidRDefault="00E8499D">
      <w:pPr>
        <w:spacing w:after="160"/>
        <w:rPr>
          <w:rFonts w:ascii="Times New Roman" w:eastAsia="Times New Roman" w:hAnsi="Times New Roman" w:cs="Times New Roman"/>
          <w:sz w:val="24"/>
          <w:szCs w:val="24"/>
        </w:rPr>
      </w:pPr>
    </w:p>
    <w:p w:rsidR="00E8499D" w:rsidRDefault="0064133F">
      <w:pPr>
        <w:pStyle w:val="Kop2"/>
        <w:numPr>
          <w:ilvl w:val="1"/>
          <w:numId w:val="6"/>
        </w:numPr>
      </w:pPr>
      <w:r>
        <w:lastRenderedPageBreak/>
        <w:t>Doelgroep</w:t>
      </w:r>
    </w:p>
    <w:p w:rsidR="00E8499D" w:rsidRDefault="0064133F">
      <w:pPr>
        <w:spacing w:after="160"/>
        <w:rPr>
          <w:rFonts w:ascii="Times New Roman" w:eastAsia="Times New Roman" w:hAnsi="Times New Roman" w:cs="Times New Roman"/>
          <w:sz w:val="24"/>
          <w:szCs w:val="24"/>
        </w:rPr>
      </w:pPr>
      <w:r>
        <w:rPr>
          <w:color w:val="000000"/>
        </w:rPr>
        <w:t>De forensische VAPH-units kunnen binnen hu</w:t>
      </w:r>
      <w:r>
        <w:rPr>
          <w:color w:val="000000"/>
        </w:rPr>
        <w:t xml:space="preserve">n erkende capaciteit personen ondersteunen die aan de volgende voorwaarden voldoen: </w:t>
      </w:r>
    </w:p>
    <w:p w:rsidR="00E8499D" w:rsidRDefault="0064133F">
      <w:pPr>
        <w:numPr>
          <w:ilvl w:val="0"/>
          <w:numId w:val="4"/>
        </w:numPr>
        <w:spacing w:after="0"/>
        <w:rPr>
          <w:color w:val="000000"/>
        </w:rPr>
      </w:pPr>
      <w:r>
        <w:rPr>
          <w:color w:val="000000"/>
        </w:rPr>
        <w:t>geïnterneerd zijn,</w:t>
      </w:r>
    </w:p>
    <w:p w:rsidR="00E8499D" w:rsidRDefault="0064133F">
      <w:pPr>
        <w:numPr>
          <w:ilvl w:val="0"/>
          <w:numId w:val="4"/>
        </w:numPr>
        <w:spacing w:after="0"/>
        <w:rPr>
          <w:color w:val="000000"/>
        </w:rPr>
      </w:pPr>
      <w:r>
        <w:rPr>
          <w:color w:val="000000"/>
        </w:rPr>
        <w:t>door het VAPH erkend zijn als persoon met een handicap,</w:t>
      </w:r>
    </w:p>
    <w:p w:rsidR="00E8499D" w:rsidRDefault="0064133F">
      <w:pPr>
        <w:numPr>
          <w:ilvl w:val="0"/>
          <w:numId w:val="4"/>
        </w:numPr>
        <w:spacing w:after="0"/>
        <w:rPr>
          <w:color w:val="000000"/>
        </w:rPr>
      </w:pPr>
      <w:r>
        <w:rPr>
          <w:color w:val="000000"/>
        </w:rPr>
        <w:t>uitstromen uit een gevangenis, forensisch psychiatrisch centrum (FPC) of een erkende medium secu</w:t>
      </w:r>
      <w:r>
        <w:rPr>
          <w:color w:val="000000"/>
        </w:rPr>
        <w:t>rity-afdeling (voor geïnterneerden met een medium risk-statuut) binnen de psychiatrie,</w:t>
      </w:r>
    </w:p>
    <w:p w:rsidR="00E8499D" w:rsidRDefault="0064133F">
      <w:pPr>
        <w:numPr>
          <w:ilvl w:val="0"/>
          <w:numId w:val="4"/>
        </w:numPr>
        <w:spacing w:after="0"/>
        <w:rPr>
          <w:color w:val="000000"/>
        </w:rPr>
      </w:pPr>
      <w:r>
        <w:rPr>
          <w:color w:val="000000"/>
        </w:rPr>
        <w:t>behoefte hebben aan voltijdse dagondersteuning en woonondersteuning in een residentiële setting met handicapspecifieke en forensische knowhow.</w:t>
      </w:r>
    </w:p>
    <w:p w:rsidR="00E8499D" w:rsidRDefault="0064133F">
      <w:pPr>
        <w:numPr>
          <w:ilvl w:val="0"/>
          <w:numId w:val="4"/>
        </w:numPr>
        <w:spacing w:after="0"/>
        <w:rPr>
          <w:color w:val="000000"/>
        </w:rPr>
      </w:pPr>
      <w:r>
        <w:rPr>
          <w:color w:val="000000"/>
        </w:rPr>
        <w:t>een positieve beslissing v</w:t>
      </w:r>
      <w:r>
        <w:rPr>
          <w:color w:val="000000"/>
        </w:rPr>
        <w:t>an het VAPH hebben omtrent toegang tot een forensische VAPH-unit,</w:t>
      </w:r>
    </w:p>
    <w:p w:rsidR="00E8499D" w:rsidRDefault="00E8499D">
      <w:pPr>
        <w:spacing w:after="0"/>
        <w:ind w:left="720"/>
        <w:rPr>
          <w:color w:val="000000"/>
        </w:rPr>
      </w:pPr>
    </w:p>
    <w:p w:rsidR="00E8499D" w:rsidRDefault="0064133F">
      <w:pPr>
        <w:pStyle w:val="Kop2"/>
        <w:numPr>
          <w:ilvl w:val="1"/>
          <w:numId w:val="6"/>
        </w:numPr>
      </w:pPr>
      <w:r>
        <w:t>Opdracht</w:t>
      </w:r>
    </w:p>
    <w:p w:rsidR="00E8499D" w:rsidRDefault="0064133F">
      <w:pPr>
        <w:spacing w:after="160"/>
        <w:rPr>
          <w:rFonts w:ascii="Times New Roman" w:eastAsia="Times New Roman" w:hAnsi="Times New Roman" w:cs="Times New Roman"/>
          <w:sz w:val="24"/>
          <w:szCs w:val="24"/>
        </w:rPr>
      </w:pPr>
      <w:r>
        <w:rPr>
          <w:color w:val="000000"/>
        </w:rPr>
        <w:t>De forensische VAPH-units bieden volgende ondersteuning:</w:t>
      </w:r>
    </w:p>
    <w:p w:rsidR="00E8499D" w:rsidRDefault="0064133F">
      <w:pPr>
        <w:numPr>
          <w:ilvl w:val="0"/>
          <w:numId w:val="7"/>
        </w:numPr>
        <w:spacing w:after="0"/>
        <w:ind w:left="1080"/>
        <w:rPr>
          <w:color w:val="000000"/>
        </w:rPr>
      </w:pPr>
      <w:r>
        <w:rPr>
          <w:color w:val="000000"/>
        </w:rPr>
        <w:t>dag- en woonondersteuning binnen een aangepaste forensische en residentiële setting;</w:t>
      </w:r>
    </w:p>
    <w:p w:rsidR="00E8499D" w:rsidRDefault="0064133F">
      <w:pPr>
        <w:numPr>
          <w:ilvl w:val="0"/>
          <w:numId w:val="7"/>
        </w:numPr>
        <w:spacing w:after="0"/>
        <w:ind w:left="1080"/>
        <w:rPr>
          <w:color w:val="000000"/>
        </w:rPr>
      </w:pPr>
      <w:r>
        <w:rPr>
          <w:color w:val="000000"/>
        </w:rPr>
        <w:t>psychosociale begeleiding (in kader van overdracht naar een andere zorgaanbieder);</w:t>
      </w:r>
    </w:p>
    <w:p w:rsidR="00E8499D" w:rsidRDefault="0064133F">
      <w:pPr>
        <w:numPr>
          <w:ilvl w:val="0"/>
          <w:numId w:val="7"/>
        </w:numPr>
        <w:spacing w:after="160"/>
        <w:ind w:left="1080"/>
        <w:rPr>
          <w:color w:val="000000"/>
        </w:rPr>
      </w:pPr>
      <w:r>
        <w:rPr>
          <w:color w:val="000000"/>
        </w:rPr>
        <w:t>expertisedeling en overdracht naar een andere zorgaanbieder.</w:t>
      </w:r>
    </w:p>
    <w:p w:rsidR="00E8499D" w:rsidRDefault="0064133F">
      <w:pPr>
        <w:spacing w:after="160"/>
        <w:rPr>
          <w:color w:val="000000"/>
        </w:rPr>
      </w:pPr>
      <w:r>
        <w:rPr>
          <w:color w:val="000000"/>
        </w:rPr>
        <w:t>De nadruk ligt hierbij op bescherming van de maatschappij binnen een behandelingssetting.</w:t>
      </w:r>
    </w:p>
    <w:p w:rsidR="00E8499D" w:rsidRDefault="00E8499D">
      <w:pPr>
        <w:spacing w:after="160"/>
        <w:rPr>
          <w:rFonts w:ascii="Times New Roman" w:eastAsia="Times New Roman" w:hAnsi="Times New Roman" w:cs="Times New Roman"/>
          <w:sz w:val="24"/>
          <w:szCs w:val="24"/>
        </w:rPr>
      </w:pPr>
    </w:p>
    <w:p w:rsidR="00E8499D" w:rsidRDefault="0064133F">
      <w:pPr>
        <w:pStyle w:val="Kop2"/>
        <w:numPr>
          <w:ilvl w:val="1"/>
          <w:numId w:val="6"/>
        </w:numPr>
      </w:pPr>
      <w:r>
        <w:t>Erkenning</w:t>
      </w:r>
    </w:p>
    <w:p w:rsidR="00E8499D" w:rsidRDefault="0064133F">
      <w:pPr>
        <w:spacing w:after="160"/>
        <w:rPr>
          <w:rFonts w:ascii="Times New Roman" w:eastAsia="Times New Roman" w:hAnsi="Times New Roman" w:cs="Times New Roman"/>
          <w:sz w:val="24"/>
          <w:szCs w:val="24"/>
        </w:rPr>
      </w:pPr>
      <w:r>
        <w:rPr>
          <w:color w:val="000000"/>
        </w:rPr>
        <w:t>Erkenningsv</w:t>
      </w:r>
      <w:r>
        <w:rPr>
          <w:color w:val="000000"/>
        </w:rPr>
        <w:t>oorwaarden voor een unit voor geïnterneerden:</w:t>
      </w:r>
    </w:p>
    <w:p w:rsidR="00E8499D" w:rsidRDefault="0064133F">
      <w:pPr>
        <w:numPr>
          <w:ilvl w:val="0"/>
          <w:numId w:val="8"/>
        </w:numPr>
        <w:spacing w:after="0"/>
        <w:ind w:left="1068"/>
        <w:rPr>
          <w:color w:val="000000"/>
        </w:rPr>
      </w:pPr>
      <w:r>
        <w:rPr>
          <w:color w:val="000000"/>
        </w:rPr>
        <w:t>Passen binnen de programmatie.</w:t>
      </w:r>
    </w:p>
    <w:p w:rsidR="00E8499D" w:rsidRDefault="0064133F">
      <w:pPr>
        <w:numPr>
          <w:ilvl w:val="0"/>
          <w:numId w:val="8"/>
        </w:numPr>
        <w:spacing w:after="0"/>
        <w:ind w:left="1068"/>
        <w:rPr>
          <w:color w:val="000000"/>
        </w:rPr>
      </w:pPr>
      <w:r>
        <w:rPr>
          <w:color w:val="000000"/>
        </w:rPr>
        <w:t>Beschikken over een uitgewerkt referentiekader met betrekking tot forensisch werken.</w:t>
      </w:r>
    </w:p>
    <w:p w:rsidR="00E8499D" w:rsidRDefault="0064133F">
      <w:pPr>
        <w:numPr>
          <w:ilvl w:val="0"/>
          <w:numId w:val="8"/>
        </w:numPr>
        <w:spacing w:after="0"/>
        <w:ind w:left="1068"/>
        <w:rPr>
          <w:color w:val="000000"/>
        </w:rPr>
      </w:pPr>
      <w:r>
        <w:rPr>
          <w:color w:val="000000"/>
        </w:rPr>
        <w:t>Samenwerking met betrokken actoren vanuit justitie.</w:t>
      </w:r>
    </w:p>
    <w:p w:rsidR="00E8499D" w:rsidRDefault="0064133F">
      <w:pPr>
        <w:numPr>
          <w:ilvl w:val="0"/>
          <w:numId w:val="8"/>
        </w:numPr>
        <w:spacing w:after="160"/>
        <w:ind w:left="1068"/>
        <w:rPr>
          <w:color w:val="000000"/>
        </w:rPr>
      </w:pPr>
      <w:r>
        <w:rPr>
          <w:color w:val="000000"/>
        </w:rPr>
        <w:t>Beschikken over een aangepaste infrastruct</w:t>
      </w:r>
      <w:r>
        <w:rPr>
          <w:color w:val="000000"/>
        </w:rPr>
        <w:t>uur.</w:t>
      </w:r>
    </w:p>
    <w:p w:rsidR="00E8499D" w:rsidRDefault="0064133F">
      <w:pPr>
        <w:spacing w:after="160"/>
        <w:rPr>
          <w:rFonts w:ascii="Times New Roman" w:eastAsia="Times New Roman" w:hAnsi="Times New Roman" w:cs="Times New Roman"/>
          <w:sz w:val="24"/>
          <w:szCs w:val="24"/>
        </w:rPr>
      </w:pPr>
      <w:r>
        <w:rPr>
          <w:color w:val="000000"/>
        </w:rPr>
        <w:t>De algemene erkenningsvoorwaarden zoals vastgesteld in het Besluit van de Vlaamse Regering van 4 februari 2011 betreffende de algemene erkenningsvoorwaarden en kwaliteitszorg van voorzieningen voor opvang, behandeling en begeleiding van personen met e</w:t>
      </w:r>
      <w:r>
        <w:rPr>
          <w:color w:val="000000"/>
        </w:rPr>
        <w:t>en handicap zijn eveneens van toepassing. Zorginspectie kan de erkenningsvoorwaarden inspecteren.</w:t>
      </w:r>
    </w:p>
    <w:p w:rsidR="00E8499D" w:rsidRDefault="0064133F">
      <w:pPr>
        <w:spacing w:after="160"/>
        <w:rPr>
          <w:rFonts w:ascii="Times New Roman" w:eastAsia="Times New Roman" w:hAnsi="Times New Roman" w:cs="Times New Roman"/>
          <w:sz w:val="24"/>
          <w:szCs w:val="24"/>
        </w:rPr>
      </w:pPr>
      <w:r>
        <w:rPr>
          <w:color w:val="000000"/>
        </w:rPr>
        <w:t>Op 1 december 2018 is er een capaciteit van 50 erkende en gesubsidieerde plaatsen binnen de 3 erkende forensische VAPH-units.</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Aanvraagprocedure voor onderste</w:t>
      </w:r>
      <w:r>
        <w:t>uning door een forensische VAPH-unit</w:t>
      </w:r>
    </w:p>
    <w:p w:rsidR="00E8499D" w:rsidRDefault="0064133F">
      <w:pPr>
        <w:spacing w:after="160"/>
        <w:rPr>
          <w:rFonts w:ascii="Times New Roman" w:eastAsia="Times New Roman" w:hAnsi="Times New Roman" w:cs="Times New Roman"/>
          <w:sz w:val="24"/>
          <w:szCs w:val="24"/>
        </w:rPr>
      </w:pPr>
      <w:r>
        <w:rPr>
          <w:color w:val="000000"/>
        </w:rPr>
        <w:t>Het  aanvraagformulier voor directe financiering dient ook gebruikt te worden voor het indienen van een aanvraag naar ondersteuning door een forensische VAPH-unit. Het aanvraagdocument dient ondertekend te worden door d</w:t>
      </w:r>
      <w:r>
        <w:rPr>
          <w:color w:val="000000"/>
        </w:rPr>
        <w:t xml:space="preserve">e aanvrager of wettelijk vertegenwoordiger en de directeur of </w:t>
      </w:r>
      <w:r>
        <w:rPr>
          <w:color w:val="000000"/>
        </w:rPr>
        <w:lastRenderedPageBreak/>
        <w:t xml:space="preserve">de verantwoordelijke van de zorg. Het Provinciaal Kantoor van het VAPH, afhankelijk van het domicilieadres van de aanvrager, verwerkt deze aanvragen. Bij de afwezigheid van een erkende handicap </w:t>
      </w:r>
      <w:r>
        <w:rPr>
          <w:color w:val="000000"/>
        </w:rPr>
        <w:t xml:space="preserve">dient een MDT de objectivering van de handicap (module A) nog aan te leveren. </w:t>
      </w:r>
    </w:p>
    <w:p w:rsidR="00E8499D" w:rsidRDefault="0064133F">
      <w:pPr>
        <w:spacing w:after="160"/>
        <w:rPr>
          <w:rFonts w:ascii="Times New Roman" w:eastAsia="Times New Roman" w:hAnsi="Times New Roman" w:cs="Times New Roman"/>
          <w:sz w:val="24"/>
          <w:szCs w:val="24"/>
        </w:rPr>
      </w:pPr>
      <w:r>
        <w:rPr>
          <w:color w:val="000000"/>
        </w:rPr>
        <w:t>Het VAPH controleert de volledigheid van de aanvraag. De provinciale evaluatiecommissie (PEC) dient zich indien nodig uit te spreken over de aanwezigheid van een handicap. Het V</w:t>
      </w:r>
      <w:r>
        <w:rPr>
          <w:color w:val="000000"/>
        </w:rPr>
        <w:t xml:space="preserve">APH verstuurt vervolgens een beslissingsbrief. </w:t>
      </w:r>
    </w:p>
    <w:p w:rsidR="00E8499D" w:rsidRDefault="00E8499D">
      <w:pPr>
        <w:spacing w:after="160"/>
        <w:rPr>
          <w:rFonts w:ascii="Times New Roman" w:eastAsia="Times New Roman" w:hAnsi="Times New Roman" w:cs="Times New Roman"/>
          <w:sz w:val="24"/>
          <w:szCs w:val="24"/>
        </w:rPr>
      </w:pPr>
    </w:p>
    <w:p w:rsidR="00E8499D" w:rsidRDefault="0064133F">
      <w:pPr>
        <w:pStyle w:val="Kop2"/>
        <w:numPr>
          <w:ilvl w:val="1"/>
          <w:numId w:val="6"/>
        </w:numPr>
      </w:pPr>
      <w:r>
        <w:t>Registratie en jaarverslag</w:t>
      </w:r>
    </w:p>
    <w:p w:rsidR="00E8499D" w:rsidRDefault="0064133F">
      <w:pPr>
        <w:spacing w:after="160"/>
        <w:rPr>
          <w:rFonts w:ascii="Times New Roman" w:eastAsia="Times New Roman" w:hAnsi="Times New Roman" w:cs="Times New Roman"/>
          <w:sz w:val="24"/>
          <w:szCs w:val="24"/>
        </w:rPr>
      </w:pPr>
      <w:r>
        <w:rPr>
          <w:color w:val="000000"/>
        </w:rPr>
        <w:t>De forensische VAPH-unit sluit een individuele dienstverleningsovereenkomst met de persoon met een handicap. De begeleidingsovereenkomsten van personen die in de forensische VAPH-u</w:t>
      </w:r>
      <w:r>
        <w:rPr>
          <w:color w:val="000000"/>
        </w:rPr>
        <w:t>nits verblijven worden geregistreerd in de geïntegreerde registratietool (GIR) van het VAPH. Meer informatie hierover vindt u in de handleiding van de GIR. Deze registraties zijn enkel zichtbaar voor het VAPH en voor de unit waar de betrokkene verblijft/ v</w:t>
      </w:r>
      <w:r>
        <w:rPr>
          <w:color w:val="000000"/>
        </w:rPr>
        <w:t>erbleef.</w:t>
      </w:r>
    </w:p>
    <w:p w:rsidR="00E8499D" w:rsidRDefault="0064133F">
      <w:pPr>
        <w:spacing w:after="160"/>
        <w:rPr>
          <w:rFonts w:ascii="Times New Roman" w:eastAsia="Times New Roman" w:hAnsi="Times New Roman" w:cs="Times New Roman"/>
          <w:sz w:val="24"/>
          <w:szCs w:val="24"/>
        </w:rPr>
      </w:pPr>
      <w:r>
        <w:rPr>
          <w:color w:val="000000"/>
        </w:rPr>
        <w:t>De forensische VAPH-units dienen jaarlijks voor 30 maart van het volgende jaar een jaarverslag in. Het VAPH bepaalt het sjabloon dat moet worden gebruikt. Dit sjabloon zal in de loop van 2019 in overleg met de betrokken diensten worden uitgewerkt.</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Woon- en leefkosten of bijdrageregeling</w:t>
      </w:r>
    </w:p>
    <w:p w:rsidR="00E8499D" w:rsidRDefault="0064133F">
      <w:pPr>
        <w:spacing w:after="160"/>
        <w:rPr>
          <w:rFonts w:ascii="Times New Roman" w:eastAsia="Times New Roman" w:hAnsi="Times New Roman" w:cs="Times New Roman"/>
          <w:sz w:val="24"/>
          <w:szCs w:val="24"/>
        </w:rPr>
      </w:pPr>
      <w:r>
        <w:rPr>
          <w:color w:val="000000"/>
        </w:rPr>
        <w:t>Personen waarvoor vanaf 2017 een individuele dienstverleningsovereenkomst werd gesloten, staan in voor hun eigen woon- en leefkosten. Personen die reeds voor 2017 werden ondersteund, kunnen nog tot en met 2020 in het bijdragesysteem blijven, maar daarna di</w:t>
      </w:r>
      <w:r>
        <w:rPr>
          <w:color w:val="000000"/>
        </w:rPr>
        <w:t>enen ze over te stappen naar het systeem van woon- en leefkosten.</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 xml:space="preserve">Uitstroom </w:t>
      </w:r>
    </w:p>
    <w:p w:rsidR="00E8499D" w:rsidRDefault="0064133F">
      <w:pPr>
        <w:spacing w:after="160"/>
        <w:rPr>
          <w:rFonts w:ascii="Times New Roman" w:eastAsia="Times New Roman" w:hAnsi="Times New Roman" w:cs="Times New Roman"/>
          <w:sz w:val="24"/>
          <w:szCs w:val="24"/>
        </w:rPr>
      </w:pPr>
      <w:r>
        <w:rPr>
          <w:color w:val="000000"/>
        </w:rPr>
        <w:t>Om de gelimiteerde capaciteit binnen de forensische VAPH-units voor te behouden voor de personen die hier werkelijk nood aan hebben, dient doorstroom overwogen en gestimuleerd te</w:t>
      </w:r>
      <w:r>
        <w:rPr>
          <w:color w:val="000000"/>
        </w:rPr>
        <w:t xml:space="preserve"> worden waar en van zodra mogelijk.</w:t>
      </w:r>
    </w:p>
    <w:p w:rsidR="00E8499D" w:rsidRDefault="0064133F">
      <w:pPr>
        <w:spacing w:after="160"/>
        <w:rPr>
          <w:rFonts w:ascii="Times New Roman" w:eastAsia="Times New Roman" w:hAnsi="Times New Roman" w:cs="Times New Roman"/>
          <w:sz w:val="24"/>
          <w:szCs w:val="24"/>
        </w:rPr>
      </w:pPr>
      <w:r>
        <w:rPr>
          <w:color w:val="000000"/>
        </w:rPr>
        <w:t>Personen die verblijven in een forensische VAPH-unit kunnen van daaruit doorstromen naar direct gefinancierde ondersteuning voor geïnterneerden bij een vergunde zorgaanbieder.</w:t>
      </w:r>
    </w:p>
    <w:p w:rsidR="00E8499D" w:rsidRDefault="0064133F">
      <w:pPr>
        <w:spacing w:after="160"/>
        <w:rPr>
          <w:rFonts w:ascii="Times New Roman" w:eastAsia="Times New Roman" w:hAnsi="Times New Roman" w:cs="Times New Roman"/>
          <w:sz w:val="24"/>
          <w:szCs w:val="24"/>
        </w:rPr>
      </w:pPr>
      <w:r>
        <w:rPr>
          <w:color w:val="000000"/>
        </w:rPr>
        <w:t>Vanaf de 7e maand verblijf in een forensisch</w:t>
      </w:r>
      <w:r>
        <w:rPr>
          <w:color w:val="000000"/>
        </w:rPr>
        <w:t>e VAPH-unit kan de aanvraagprocedure voor een PVB gestart worden. Het toegekende PVB wordt standaard in prioriteitengroep 1 geregistreerd. Er dient bij een terbeschikkingstelling van een budget binnen de 4 maanden opgestart worden. Dat betekent dat de aanv</w:t>
      </w:r>
      <w:r>
        <w:rPr>
          <w:color w:val="000000"/>
        </w:rPr>
        <w:t>rager klaar moet zijn voor uitstroom op het moment van de aanvraag van een persoonsvolgend budget.</w:t>
      </w:r>
    </w:p>
    <w:p w:rsidR="00E8499D" w:rsidRDefault="0064133F">
      <w:pPr>
        <w:spacing w:after="160"/>
        <w:rPr>
          <w:color w:val="000000"/>
        </w:rPr>
      </w:pPr>
      <w:r>
        <w:rPr>
          <w:color w:val="000000"/>
        </w:rPr>
        <w:t>Bij de definitieve invrijheidstelling (moment waarop het statuut internering wordt opgeheven) dient de betrokken persoon uit te stromen uit de forensische VAPH-unit en kan hij ook geen gebruik meer maken van rechtstreeks gefinancierde ondersteuning voor ge</w:t>
      </w:r>
      <w:r>
        <w:rPr>
          <w:color w:val="000000"/>
        </w:rPr>
        <w:t xml:space="preserve">ïnterneerden. De directe financiering eindigt op de 1e dag van de 4e maand na de definitieve invrijheidstelling. </w:t>
      </w:r>
    </w:p>
    <w:p w:rsidR="00E8499D" w:rsidRDefault="0064133F">
      <w:pPr>
        <w:spacing w:after="160"/>
        <w:rPr>
          <w:rFonts w:ascii="Times New Roman" w:eastAsia="Times New Roman" w:hAnsi="Times New Roman" w:cs="Times New Roman"/>
          <w:sz w:val="24"/>
          <w:szCs w:val="24"/>
        </w:rPr>
      </w:pPr>
      <w:r>
        <w:rPr>
          <w:color w:val="000000"/>
        </w:rPr>
        <w:t> </w:t>
      </w:r>
    </w:p>
    <w:p w:rsidR="00E8499D" w:rsidRDefault="0064133F">
      <w:pPr>
        <w:pStyle w:val="Kop2"/>
        <w:numPr>
          <w:ilvl w:val="1"/>
          <w:numId w:val="6"/>
        </w:numPr>
      </w:pPr>
      <w:r>
        <w:lastRenderedPageBreak/>
        <w:t>Subsidiëring</w:t>
      </w:r>
    </w:p>
    <w:p w:rsidR="00E8499D" w:rsidRDefault="0064133F">
      <w:pPr>
        <w:spacing w:after="160"/>
        <w:rPr>
          <w:rFonts w:ascii="Times New Roman" w:eastAsia="Times New Roman" w:hAnsi="Times New Roman" w:cs="Times New Roman"/>
          <w:sz w:val="24"/>
          <w:szCs w:val="24"/>
        </w:rPr>
      </w:pPr>
      <w:r>
        <w:rPr>
          <w:color w:val="000000"/>
        </w:rPr>
        <w:t xml:space="preserve">De subsidiëring van de units voor geïnterneerden verloopt op dezelfde wijze als de subsidiëring van de andere diensten die met </w:t>
      </w:r>
      <w:r>
        <w:rPr>
          <w:color w:val="000000"/>
        </w:rPr>
        <w:t xml:space="preserve">personeelspunten en werkingsmiddelen werken. </w:t>
      </w:r>
    </w:p>
    <w:p w:rsidR="00E8499D" w:rsidRDefault="0064133F">
      <w:pPr>
        <w:spacing w:after="160"/>
        <w:rPr>
          <w:rFonts w:ascii="Times New Roman" w:eastAsia="Times New Roman" w:hAnsi="Times New Roman" w:cs="Times New Roman"/>
          <w:sz w:val="24"/>
          <w:szCs w:val="24"/>
        </w:rPr>
      </w:pPr>
      <w:r>
        <w:rPr>
          <w:color w:val="000000"/>
        </w:rPr>
        <w:t>De subsidie voor een plaats in een forensische VAPH-unit bedraagt op jaarbasis 87 personeelspunten en € 6.481 werkingsmiddelen.</w:t>
      </w:r>
    </w:p>
    <w:p w:rsidR="00E8499D" w:rsidRDefault="0064133F">
      <w:pPr>
        <w:spacing w:after="160"/>
        <w:rPr>
          <w:rFonts w:ascii="Times New Roman" w:eastAsia="Times New Roman" w:hAnsi="Times New Roman" w:cs="Times New Roman"/>
          <w:sz w:val="24"/>
          <w:szCs w:val="24"/>
        </w:rPr>
      </w:pPr>
      <w:r>
        <w:rPr>
          <w:color w:val="000000"/>
        </w:rPr>
        <w:t>De units dienen een bezettingsgraad van 90% te behalen. In 2017 en 2018 bedroeg de</w:t>
      </w:r>
      <w:r>
        <w:rPr>
          <w:color w:val="000000"/>
        </w:rPr>
        <w:t xml:space="preserve"> bezettingsgraad 95%. Bij een lagere bezetting worden de personeels- en werkingssubsidies verminderd in verhouding tot de werkelijk bereikte bezetting.</w:t>
      </w:r>
    </w:p>
    <w:p w:rsidR="00E8499D" w:rsidRDefault="0064133F">
      <w:pPr>
        <w:spacing w:after="160"/>
        <w:rPr>
          <w:color w:val="000000"/>
        </w:rPr>
      </w:pPr>
      <w:r>
        <w:rPr>
          <w:color w:val="000000"/>
        </w:rPr>
        <w:t>Maximaal 3% van de personeelspunten kan omgezet worden in bijkomende werkingsmiddelen tegen een bedrag p</w:t>
      </w:r>
      <w:r>
        <w:rPr>
          <w:color w:val="000000"/>
        </w:rPr>
        <w:t xml:space="preserve">er personeelspunt. </w:t>
      </w:r>
    </w:p>
    <w:p w:rsidR="00E8499D" w:rsidRDefault="00E8499D">
      <w:pPr>
        <w:spacing w:after="160"/>
        <w:rPr>
          <w:rFonts w:ascii="Times New Roman" w:eastAsia="Times New Roman" w:hAnsi="Times New Roman" w:cs="Times New Roman"/>
          <w:sz w:val="24"/>
          <w:szCs w:val="24"/>
        </w:rPr>
      </w:pPr>
    </w:p>
    <w:p w:rsidR="00E8499D" w:rsidRDefault="0064133F">
      <w:pPr>
        <w:pStyle w:val="Kop1"/>
        <w:numPr>
          <w:ilvl w:val="0"/>
          <w:numId w:val="6"/>
        </w:numPr>
      </w:pPr>
      <w:r>
        <w:t>Projecten voor personen met een handicap in de gevangenis</w:t>
      </w:r>
    </w:p>
    <w:p w:rsidR="00E8499D" w:rsidRDefault="0064133F">
      <w:pPr>
        <w:pStyle w:val="Kop2"/>
        <w:numPr>
          <w:ilvl w:val="1"/>
          <w:numId w:val="6"/>
        </w:numPr>
      </w:pPr>
      <w:r>
        <w:t>Regelgeving</w:t>
      </w:r>
    </w:p>
    <w:p w:rsidR="00E8499D" w:rsidRDefault="0064133F">
      <w:pPr>
        <w:spacing w:after="160"/>
        <w:rPr>
          <w:rFonts w:ascii="Times New Roman" w:eastAsia="Times New Roman" w:hAnsi="Times New Roman" w:cs="Times New Roman"/>
          <w:sz w:val="24"/>
          <w:szCs w:val="24"/>
        </w:rPr>
      </w:pPr>
      <w:r>
        <w:rPr>
          <w:color w:val="000000"/>
        </w:rPr>
        <w:t>Het Besluit van de Vlaamse Regering van 24 november 2017 over de erkenning en subsidiëring van voorzieningen die ondersteuning bieden aan personen met een handicap i</w:t>
      </w:r>
      <w:r>
        <w:rPr>
          <w:color w:val="000000"/>
        </w:rPr>
        <w:t>n de gevangenis, en van forensische VAPH-units, trad in werking op 1 januari 2017. Bij de uitwerking van het BVR omtrent de ondersteuning voor geïnterneerden van 14 december 2018, werden er geen wijzigingen aangebracht m.b.t. de projecten die geïnterneerde</w:t>
      </w:r>
      <w:r>
        <w:rPr>
          <w:color w:val="000000"/>
        </w:rPr>
        <w:t>n en gedetineerden ondersteunen in de gevangenis.</w:t>
      </w:r>
    </w:p>
    <w:p w:rsidR="00E8499D" w:rsidRDefault="0064133F">
      <w:pPr>
        <w:spacing w:after="160"/>
        <w:rPr>
          <w:rFonts w:ascii="Times New Roman" w:eastAsia="Times New Roman" w:hAnsi="Times New Roman" w:cs="Times New Roman"/>
          <w:sz w:val="24"/>
          <w:szCs w:val="24"/>
        </w:rPr>
      </w:pPr>
      <w:r>
        <w:rPr>
          <w:color w:val="000000"/>
        </w:rPr>
        <w:t xml:space="preserve">Op dit ogenblik zijn er drie vergunde zorgaanbieders die specifiek erkend zijn om binnen een gevangenis ondersteuning te bieden aan geïnterneerden en gedetineerden met een (vermoeden van een) handicap. </w:t>
      </w:r>
    </w:p>
    <w:p w:rsidR="00E8499D" w:rsidRDefault="0064133F">
      <w:pPr>
        <w:pStyle w:val="Kop2"/>
        <w:numPr>
          <w:ilvl w:val="1"/>
          <w:numId w:val="6"/>
        </w:numPr>
      </w:pPr>
      <w:r>
        <w:t>Doe</w:t>
      </w:r>
      <w:r>
        <w:t>lgroep:</w:t>
      </w:r>
    </w:p>
    <w:p w:rsidR="00E8499D" w:rsidRDefault="0064133F">
      <w:pPr>
        <w:spacing w:after="160"/>
        <w:rPr>
          <w:rFonts w:ascii="Times New Roman" w:eastAsia="Times New Roman" w:hAnsi="Times New Roman" w:cs="Times New Roman"/>
          <w:sz w:val="24"/>
          <w:szCs w:val="24"/>
        </w:rPr>
      </w:pPr>
      <w:r>
        <w:rPr>
          <w:color w:val="000000"/>
        </w:rPr>
        <w:t>De projecten bieden ondersteuning aan personen die door het VAPH zijn erkend als een persoon met een handicap of aan personen met een vermoeden van handicap die in de gevangenis verblijven. Het kan zowel gaan om geïnterneerden als gedetineerden. De</w:t>
      </w:r>
      <w:r>
        <w:rPr>
          <w:color w:val="000000"/>
        </w:rPr>
        <w:t xml:space="preserve"> personen die gebruik willen maken van de ondersteuning die geboden wordt door de projecten binnen de gevangenis hebben geen goedkeuring van het VAPH nodig. Er is bijgevolg geen aanvraagprocedure bij het VAPH voorzien. De projecten controleren zelf of pers</w:t>
      </w:r>
      <w:r>
        <w:rPr>
          <w:color w:val="000000"/>
        </w:rPr>
        <w:t>onen geïnterneerd of gedetineerd zijn, in de gevangenis verblijven en of er sprake is van een (vermoeden van een) handicap.</w:t>
      </w:r>
    </w:p>
    <w:p w:rsidR="00E8499D" w:rsidRDefault="00E8499D">
      <w:pPr>
        <w:spacing w:after="160"/>
        <w:rPr>
          <w:rFonts w:ascii="Times New Roman" w:eastAsia="Times New Roman" w:hAnsi="Times New Roman" w:cs="Times New Roman"/>
          <w:sz w:val="24"/>
          <w:szCs w:val="24"/>
        </w:rPr>
      </w:pPr>
    </w:p>
    <w:p w:rsidR="00E8499D" w:rsidRDefault="0064133F">
      <w:pPr>
        <w:pStyle w:val="Kop2"/>
        <w:numPr>
          <w:ilvl w:val="1"/>
          <w:numId w:val="6"/>
        </w:numPr>
      </w:pPr>
      <w:r>
        <w:t>Opdracht</w:t>
      </w:r>
    </w:p>
    <w:p w:rsidR="00E8499D" w:rsidRDefault="0064133F">
      <w:pPr>
        <w:spacing w:after="160"/>
        <w:rPr>
          <w:rFonts w:ascii="Times New Roman" w:eastAsia="Times New Roman" w:hAnsi="Times New Roman" w:cs="Times New Roman"/>
          <w:sz w:val="24"/>
          <w:szCs w:val="24"/>
        </w:rPr>
      </w:pPr>
      <w:r>
        <w:rPr>
          <w:color w:val="000000"/>
        </w:rPr>
        <w:t>Hun opdracht bestaat er in psychosociale begeleiding en een aangepaste dagbesteding te bieden aan personen met een handica</w:t>
      </w:r>
      <w:r>
        <w:rPr>
          <w:color w:val="000000"/>
        </w:rPr>
        <w:t xml:space="preserve">p in de gevangenis. Ze stellen re-integratie als doel voorop. Hun werking is erop gericht de persoon met een handicap voor te bereiden op en toe te leiden naar een aangepaste woonvorm, werksituatie en/of behandelings- en begeleidingsaanbod. Hun </w:t>
      </w:r>
      <w:r>
        <w:rPr>
          <w:color w:val="000000"/>
        </w:rPr>
        <w:lastRenderedPageBreak/>
        <w:t>ondersteuni</w:t>
      </w:r>
      <w:r>
        <w:rPr>
          <w:color w:val="000000"/>
        </w:rPr>
        <w:t>ng en de werking is echter sterk gekleurd door de context van de gevangenis en de verschillende actoren die daar een rol spelen. De projecten zetten dan ook sterk in op de uitbouw van samenwerking met de zorgteams, de medewerkers van de psychosociale diens</w:t>
      </w:r>
      <w:r>
        <w:rPr>
          <w:color w:val="000000"/>
        </w:rPr>
        <w:t>t, de beleidsmedewerkers van de strafinrichting en andere actoren die betrokken zijn bij het hulpverleningsaanbod in de gevangenis. Daarnaast hebben ze ook de expliciete opdracht om hun kennis en ervaring te delen met andere organisaties. Dit kan door expe</w:t>
      </w:r>
      <w:r>
        <w:rPr>
          <w:color w:val="000000"/>
        </w:rPr>
        <w:t xml:space="preserve">rtisedeling of overdracht in kader van het doorstromen van cliënten naar andere zorgaanbieders. </w:t>
      </w:r>
    </w:p>
    <w:p w:rsidR="00E8499D" w:rsidRDefault="0064133F">
      <w:pPr>
        <w:spacing w:after="160"/>
        <w:rPr>
          <w:rFonts w:ascii="Times New Roman" w:eastAsia="Times New Roman" w:hAnsi="Times New Roman" w:cs="Times New Roman"/>
          <w:sz w:val="24"/>
          <w:szCs w:val="24"/>
        </w:rPr>
      </w:pPr>
      <w:r>
        <w:rPr>
          <w:color w:val="000000"/>
        </w:rPr>
        <w:t>De projecten in de gevangenis bieden volgende ondersteuning:</w:t>
      </w:r>
    </w:p>
    <w:p w:rsidR="00E8499D" w:rsidRDefault="0064133F">
      <w:pPr>
        <w:numPr>
          <w:ilvl w:val="0"/>
          <w:numId w:val="5"/>
        </w:numPr>
        <w:spacing w:after="0"/>
        <w:rPr>
          <w:color w:val="000000"/>
        </w:rPr>
      </w:pPr>
      <w:r>
        <w:rPr>
          <w:color w:val="000000"/>
        </w:rPr>
        <w:t>aangepaste dagbesteding in de gevangenis;</w:t>
      </w:r>
    </w:p>
    <w:p w:rsidR="00E8499D" w:rsidRDefault="0064133F">
      <w:pPr>
        <w:numPr>
          <w:ilvl w:val="0"/>
          <w:numId w:val="5"/>
        </w:numPr>
        <w:spacing w:after="0"/>
        <w:rPr>
          <w:color w:val="000000"/>
        </w:rPr>
      </w:pPr>
      <w:r>
        <w:rPr>
          <w:color w:val="000000"/>
        </w:rPr>
        <w:t>psychosociale begeleiding (cliëntgebonden);</w:t>
      </w:r>
    </w:p>
    <w:p w:rsidR="00E8499D" w:rsidRDefault="0064133F">
      <w:pPr>
        <w:numPr>
          <w:ilvl w:val="0"/>
          <w:numId w:val="5"/>
        </w:numPr>
        <w:spacing w:after="0"/>
        <w:rPr>
          <w:color w:val="000000"/>
        </w:rPr>
      </w:pPr>
      <w:r>
        <w:rPr>
          <w:color w:val="000000"/>
        </w:rPr>
        <w:t>expertisedeling en overdracht naar een andere zorgaanbieder.</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Programmatie en erkenning</w:t>
      </w:r>
    </w:p>
    <w:p w:rsidR="00E8499D" w:rsidRDefault="00E8499D">
      <w:pPr>
        <w:spacing w:after="0"/>
        <w:rPr>
          <w:rFonts w:ascii="Times New Roman" w:eastAsia="Times New Roman" w:hAnsi="Times New Roman" w:cs="Times New Roman"/>
          <w:sz w:val="24"/>
          <w:szCs w:val="24"/>
        </w:rPr>
      </w:pPr>
    </w:p>
    <w:p w:rsidR="00E8499D" w:rsidRDefault="0064133F">
      <w:pPr>
        <w:spacing w:after="160"/>
        <w:rPr>
          <w:rFonts w:ascii="Times New Roman" w:eastAsia="Times New Roman" w:hAnsi="Times New Roman" w:cs="Times New Roman"/>
          <w:sz w:val="24"/>
          <w:szCs w:val="24"/>
        </w:rPr>
      </w:pPr>
      <w:r>
        <w:rPr>
          <w:color w:val="000000"/>
        </w:rPr>
        <w:t>De algemene erkenningsvoorwaarden zoals vastgesteld in het Besluit van de Vlaamse Regering van 4 februari 2011 betreffende de algemene erkenningsvoorwaarden en kwalite</w:t>
      </w:r>
      <w:r>
        <w:rPr>
          <w:color w:val="000000"/>
        </w:rPr>
        <w:t>itszorg van voorzieningen voor opvang, behandeling en begeleiding van personen met een handicap zijn van toepassing. Zorginspectie kan de erkenningsvoorwaarden inspecteren.</w:t>
      </w:r>
    </w:p>
    <w:p w:rsidR="00E8499D" w:rsidRDefault="0064133F">
      <w:pPr>
        <w:spacing w:after="160"/>
        <w:rPr>
          <w:rFonts w:ascii="Times New Roman" w:eastAsia="Times New Roman" w:hAnsi="Times New Roman" w:cs="Times New Roman"/>
          <w:sz w:val="24"/>
          <w:szCs w:val="24"/>
        </w:rPr>
      </w:pPr>
      <w:r>
        <w:rPr>
          <w:color w:val="000000"/>
        </w:rPr>
        <w:t>De projecten die ondersteuning bieden aan personen met een handicap die in de gevan</w:t>
      </w:r>
      <w:r>
        <w:rPr>
          <w:color w:val="000000"/>
        </w:rPr>
        <w:t xml:space="preserve">genis verblijven, worden erkend in personeelspunten. Daarnaast worden er eveneens werkingsmiddelen gesubsidieerd, namelijk 89 euro per personeelspunt. </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Bijdrage van de persoon met een handicap</w:t>
      </w:r>
    </w:p>
    <w:p w:rsidR="00E8499D" w:rsidRDefault="0064133F">
      <w:pPr>
        <w:spacing w:after="160"/>
        <w:rPr>
          <w:rFonts w:ascii="Times New Roman" w:eastAsia="Times New Roman" w:hAnsi="Times New Roman" w:cs="Times New Roman"/>
          <w:sz w:val="24"/>
          <w:szCs w:val="24"/>
        </w:rPr>
      </w:pPr>
      <w:r>
        <w:rPr>
          <w:color w:val="000000"/>
        </w:rPr>
        <w:t>De projecten kunnen geen persoonlijke bijdrage vragen aan pers</w:t>
      </w:r>
      <w:r>
        <w:rPr>
          <w:color w:val="000000"/>
        </w:rPr>
        <w:t>onen die in de gevangenis verblijven.</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Registratie van output</w:t>
      </w:r>
    </w:p>
    <w:p w:rsidR="00E8499D" w:rsidRDefault="0064133F">
      <w:pPr>
        <w:spacing w:after="160"/>
        <w:rPr>
          <w:rFonts w:ascii="Times New Roman" w:eastAsia="Times New Roman" w:hAnsi="Times New Roman" w:cs="Times New Roman"/>
          <w:sz w:val="24"/>
          <w:szCs w:val="24"/>
        </w:rPr>
      </w:pPr>
      <w:r>
        <w:rPr>
          <w:color w:val="000000"/>
        </w:rPr>
        <w:t xml:space="preserve">De projecten dienen jaarlijks voor 30 maart van het volgende jaar een verslag in bij het VAPH omtrent hun inspanningen in de gevangenis, de bereikte cliënten, de samenwerking met andere actoren </w:t>
      </w:r>
      <w:r>
        <w:rPr>
          <w:color w:val="000000"/>
        </w:rPr>
        <w:t>die betrokken zijn bij de ondersteuning van geïnterneerden en gedetineerden, knelpunten en opportuniteiten, .... Het verslag wordt opgemaakt met behulp van een sjabloon dat door het VAPH wordt gemaakt. Dit sjabloon zal in samenspraak met de betrokken diens</w:t>
      </w:r>
      <w:r>
        <w:rPr>
          <w:color w:val="000000"/>
        </w:rPr>
        <w:t>ten worden uitgewerkt in de loop van 2019. Er worden geen gegevens geregistreerd omtrent de ondersteunde personen in de geïntegreerde registratietool (GIR).</w:t>
      </w:r>
    </w:p>
    <w:p w:rsidR="00E8499D" w:rsidRDefault="00E8499D">
      <w:pPr>
        <w:spacing w:after="0"/>
        <w:rPr>
          <w:rFonts w:ascii="Times New Roman" w:eastAsia="Times New Roman" w:hAnsi="Times New Roman" w:cs="Times New Roman"/>
          <w:sz w:val="24"/>
          <w:szCs w:val="24"/>
        </w:rPr>
      </w:pPr>
    </w:p>
    <w:p w:rsidR="00E8499D" w:rsidRDefault="0064133F">
      <w:pPr>
        <w:pStyle w:val="Kop2"/>
        <w:numPr>
          <w:ilvl w:val="1"/>
          <w:numId w:val="6"/>
        </w:numPr>
      </w:pPr>
      <w:r>
        <w:t>Subsidiëring</w:t>
      </w:r>
    </w:p>
    <w:p w:rsidR="00E8499D" w:rsidRDefault="0064133F">
      <w:pPr>
        <w:spacing w:after="160"/>
        <w:rPr>
          <w:rFonts w:ascii="Times New Roman" w:eastAsia="Times New Roman" w:hAnsi="Times New Roman" w:cs="Times New Roman"/>
          <w:sz w:val="24"/>
          <w:szCs w:val="24"/>
        </w:rPr>
      </w:pPr>
      <w:r>
        <w:rPr>
          <w:color w:val="000000"/>
        </w:rPr>
        <w:t>De subsidiëring van de projecten die ondersteuning bieden aan personen met een handic</w:t>
      </w:r>
      <w:r>
        <w:rPr>
          <w:color w:val="000000"/>
        </w:rPr>
        <w:t>ap in de gevangenis verloopt op dezelfde wijze als de subsidiëring van de andere diensten die met personeelspunten en werkingsmiddelen werken.</w:t>
      </w:r>
    </w:p>
    <w:p w:rsidR="00E8499D" w:rsidRDefault="0064133F">
      <w:pPr>
        <w:spacing w:after="160"/>
        <w:rPr>
          <w:rFonts w:ascii="Times New Roman" w:eastAsia="Times New Roman" w:hAnsi="Times New Roman" w:cs="Times New Roman"/>
          <w:sz w:val="24"/>
          <w:szCs w:val="24"/>
        </w:rPr>
      </w:pPr>
      <w:r>
        <w:rPr>
          <w:color w:val="000000"/>
        </w:rPr>
        <w:t>Maximaal 3% van de personeelspunten kan omgezet worden in bijkomende werkingsmiddelen tegen een bedrag per person</w:t>
      </w:r>
      <w:r>
        <w:rPr>
          <w:color w:val="000000"/>
        </w:rPr>
        <w:t xml:space="preserve">eelspunt (€834/ punt). </w:t>
      </w:r>
    </w:p>
    <w:p w:rsidR="00E8499D" w:rsidRDefault="00E8499D">
      <w:pPr>
        <w:spacing w:after="0"/>
        <w:rPr>
          <w:rFonts w:ascii="Times New Roman" w:eastAsia="Times New Roman" w:hAnsi="Times New Roman" w:cs="Times New Roman"/>
          <w:sz w:val="24"/>
          <w:szCs w:val="24"/>
        </w:rPr>
      </w:pPr>
    </w:p>
    <w:p w:rsidR="00E8499D" w:rsidRDefault="0064133F">
      <w:pPr>
        <w:pStyle w:val="Kop1"/>
        <w:numPr>
          <w:ilvl w:val="0"/>
          <w:numId w:val="6"/>
        </w:numPr>
      </w:pPr>
      <w:r>
        <w:t>Rechtstreeks toegankelijke hulp</w:t>
      </w:r>
    </w:p>
    <w:p w:rsidR="00E8499D" w:rsidRDefault="0064133F">
      <w:pPr>
        <w:spacing w:after="160"/>
        <w:rPr>
          <w:color w:val="000000"/>
        </w:rPr>
      </w:pPr>
      <w:r>
        <w:rPr>
          <w:color w:val="000000"/>
        </w:rPr>
        <w:t>Geïnterneerden en gedetineerden kunnen ook gebruik maken van RTH indien ze voldoen aan de RTH-voorwaarden. Hierbij zijn er voor deze doelgroep geen specifieke modaliteiten bepaald.</w:t>
      </w:r>
    </w:p>
    <w:p w:rsidR="00E8499D" w:rsidRDefault="00E8499D">
      <w:pPr>
        <w:spacing w:after="160"/>
        <w:rPr>
          <w:color w:val="000000"/>
        </w:rPr>
      </w:pPr>
    </w:p>
    <w:p w:rsidR="00E8499D" w:rsidRDefault="00E8499D">
      <w:pPr>
        <w:spacing w:after="160"/>
        <w:rPr>
          <w:color w:val="000000"/>
        </w:rPr>
      </w:pPr>
    </w:p>
    <w:p w:rsidR="00E8499D" w:rsidRDefault="0064133F">
      <w:pPr>
        <w:spacing w:after="160"/>
        <w:rPr>
          <w:color w:val="000000"/>
        </w:rPr>
      </w:pPr>
      <w:r>
        <w:rPr>
          <w:color w:val="000000"/>
        </w:rPr>
        <w:t>Met vriendelijke</w:t>
      </w:r>
      <w:r>
        <w:rPr>
          <w:color w:val="000000"/>
        </w:rPr>
        <w:t xml:space="preserve"> groeten,</w:t>
      </w:r>
    </w:p>
    <w:p w:rsidR="00E8499D" w:rsidRDefault="00E8499D">
      <w:pPr>
        <w:spacing w:after="160"/>
        <w:rPr>
          <w:color w:val="000000"/>
        </w:rPr>
      </w:pPr>
    </w:p>
    <w:p w:rsidR="00E8499D" w:rsidRDefault="00E8499D">
      <w:pPr>
        <w:spacing w:after="160"/>
        <w:rPr>
          <w:color w:val="000000"/>
        </w:rPr>
      </w:pPr>
    </w:p>
    <w:p w:rsidR="00E8499D" w:rsidRDefault="00E8499D">
      <w:pPr>
        <w:spacing w:after="160"/>
        <w:rPr>
          <w:color w:val="000000"/>
        </w:rPr>
      </w:pPr>
    </w:p>
    <w:p w:rsidR="00E8499D" w:rsidRDefault="0064133F">
      <w:pPr>
        <w:spacing w:after="160"/>
        <w:rPr>
          <w:color w:val="000000"/>
        </w:rPr>
      </w:pPr>
      <w:r>
        <w:rPr>
          <w:color w:val="000000"/>
        </w:rPr>
        <w:t>James Van Casteren,</w:t>
      </w:r>
    </w:p>
    <w:p w:rsidR="00E8499D" w:rsidRDefault="0064133F">
      <w:pPr>
        <w:spacing w:after="160"/>
        <w:rPr>
          <w:color w:val="000000"/>
        </w:rPr>
      </w:pPr>
      <w:r>
        <w:rPr>
          <w:color w:val="000000"/>
        </w:rPr>
        <w:t xml:space="preserve">Administrateur generaal </w:t>
      </w:r>
      <w:r>
        <w:br w:type="page"/>
      </w:r>
    </w:p>
    <w:p w:rsidR="00E8499D" w:rsidRDefault="0064133F">
      <w:pPr>
        <w:pStyle w:val="Kop1"/>
      </w:pPr>
      <w:r>
        <w:rPr>
          <w:color w:val="000000"/>
          <w:sz w:val="28"/>
          <w:szCs w:val="28"/>
        </w:rPr>
        <w:lastRenderedPageBreak/>
        <w:t>Bijlage: Ondersteuning voor geïnterneerden: Afbakening ‘erkende medium security’</w:t>
      </w:r>
    </w:p>
    <w:p w:rsidR="00E8499D" w:rsidRDefault="00E8499D">
      <w:pPr>
        <w:spacing w:after="0"/>
        <w:rPr>
          <w:rFonts w:ascii="Times New Roman" w:eastAsia="Times New Roman" w:hAnsi="Times New Roman" w:cs="Times New Roman"/>
          <w:sz w:val="24"/>
          <w:szCs w:val="24"/>
        </w:rPr>
      </w:pPr>
    </w:p>
    <w:p w:rsidR="00E8499D" w:rsidRDefault="0064133F">
      <w:pPr>
        <w:spacing w:after="0"/>
        <w:rPr>
          <w:rFonts w:ascii="Times New Roman" w:eastAsia="Times New Roman" w:hAnsi="Times New Roman" w:cs="Times New Roman"/>
          <w:sz w:val="24"/>
          <w:szCs w:val="24"/>
        </w:rPr>
      </w:pPr>
      <w:r>
        <w:rPr>
          <w:color w:val="000000"/>
        </w:rPr>
        <w:t>In het Besluit van de Vlaamse Regering van 14 december 2018  wordt onderstaande definitie voor ‘erkende medium security’ gebruikt:</w:t>
      </w:r>
    </w:p>
    <w:p w:rsidR="00E8499D" w:rsidRDefault="00E8499D">
      <w:pPr>
        <w:spacing w:after="0"/>
        <w:rPr>
          <w:rFonts w:ascii="Times New Roman" w:eastAsia="Times New Roman" w:hAnsi="Times New Roman" w:cs="Times New Roman"/>
          <w:sz w:val="24"/>
          <w:szCs w:val="24"/>
        </w:rPr>
      </w:pPr>
    </w:p>
    <w:p w:rsidR="00E8499D" w:rsidRDefault="0064133F">
      <w:pPr>
        <w:spacing w:after="0"/>
        <w:rPr>
          <w:rFonts w:ascii="Times New Roman" w:eastAsia="Times New Roman" w:hAnsi="Times New Roman" w:cs="Times New Roman"/>
          <w:sz w:val="24"/>
          <w:szCs w:val="24"/>
        </w:rPr>
      </w:pPr>
      <w:r>
        <w:rPr>
          <w:i/>
          <w:color w:val="222222"/>
          <w:highlight w:val="white"/>
        </w:rPr>
        <w:t>“een door de bevoegde overheid gesubsidieerde medium risk afdeling in  het kader van het pilootproject internering of een af</w:t>
      </w:r>
      <w:r>
        <w:rPr>
          <w:i/>
          <w:color w:val="222222"/>
          <w:highlight w:val="white"/>
        </w:rPr>
        <w:t xml:space="preserve">deling met een voorbehouden capaciteit voor geïnterneerde personen die onder het statuut van plaatsing , vermeld in artikel 19 van de wet van 5 mei 2014, </w:t>
      </w:r>
      <w:r>
        <w:rPr>
          <w:i/>
          <w:color w:val="000000"/>
          <w:highlight w:val="white"/>
        </w:rPr>
        <w:t>met het oog op een verdere maatschappelijke re-integratie verblijven</w:t>
      </w:r>
      <w:r>
        <w:rPr>
          <w:i/>
          <w:color w:val="222222"/>
          <w:highlight w:val="white"/>
        </w:rPr>
        <w:t xml:space="preserve">, gelegen op de campus van het </w:t>
      </w:r>
      <w:r>
        <w:rPr>
          <w:i/>
          <w:color w:val="000000"/>
        </w:rPr>
        <w:t>Openbaar Psychiatrisch Zorgcentrum Rekem, het Universitair Psychiatrisch Centrum Bierbeek of het Psychiatrisch Centrum Sint-Jan-Baptist Zelzate</w:t>
      </w:r>
      <w:r>
        <w:rPr>
          <w:color w:val="222222"/>
          <w:highlight w:val="white"/>
        </w:rPr>
        <w:t>”</w:t>
      </w:r>
    </w:p>
    <w:p w:rsidR="00E8499D" w:rsidRDefault="00E8499D">
      <w:pPr>
        <w:spacing w:after="0"/>
        <w:rPr>
          <w:rFonts w:ascii="Times New Roman" w:eastAsia="Times New Roman" w:hAnsi="Times New Roman" w:cs="Times New Roman"/>
          <w:sz w:val="24"/>
          <w:szCs w:val="24"/>
        </w:rPr>
      </w:pPr>
    </w:p>
    <w:p w:rsidR="00E8499D" w:rsidRDefault="0064133F">
      <w:pPr>
        <w:spacing w:after="0"/>
        <w:rPr>
          <w:rFonts w:ascii="Times New Roman" w:eastAsia="Times New Roman" w:hAnsi="Times New Roman" w:cs="Times New Roman"/>
          <w:sz w:val="24"/>
          <w:szCs w:val="24"/>
        </w:rPr>
      </w:pPr>
      <w:r>
        <w:rPr>
          <w:color w:val="000000"/>
        </w:rPr>
        <w:t xml:space="preserve">Dit omvat naast de initiële medium security afdelingen (PZ, PVT en IBW) ook de afdelingen dubbel diagnose met </w:t>
      </w:r>
      <w:r>
        <w:rPr>
          <w:color w:val="000000"/>
        </w:rPr>
        <w:t>mentale beperking, de afdeling high risk vrouwen en de afdeling long stay. De afdelingen die zich niet op de campus van de drie bovengenoemde ziekenhuizen bevinden worden niet meegenomen (IBW en PVT die zich niet op de campus bevinden en de afdelingen seks</w:t>
      </w:r>
      <w:r>
        <w:rPr>
          <w:color w:val="000000"/>
        </w:rPr>
        <w:t>ueel delinquenten). </w:t>
      </w:r>
    </w:p>
    <w:p w:rsidR="00E8499D" w:rsidRDefault="00E8499D">
      <w:pPr>
        <w:spacing w:after="0"/>
        <w:rPr>
          <w:rFonts w:ascii="Times New Roman" w:eastAsia="Times New Roman" w:hAnsi="Times New Roman" w:cs="Times New Roman"/>
          <w:sz w:val="24"/>
          <w:szCs w:val="24"/>
        </w:rPr>
      </w:pPr>
    </w:p>
    <w:p w:rsidR="00E8499D" w:rsidRDefault="0064133F">
      <w:pPr>
        <w:spacing w:after="0"/>
        <w:rPr>
          <w:rFonts w:ascii="Times New Roman" w:eastAsia="Times New Roman" w:hAnsi="Times New Roman" w:cs="Times New Roman"/>
          <w:sz w:val="24"/>
          <w:szCs w:val="24"/>
        </w:rPr>
      </w:pPr>
      <w:r>
        <w:rPr>
          <w:color w:val="000000"/>
        </w:rPr>
        <w:t xml:space="preserve">Initieel was deze directe financiering voor geïnterneerden bedoeld voor geplaatste geïnterneerden die in een gevangenis of FPC verblijven. Op vraag van de sector werden ook de medium security’s meegenomen. Gezien de beperkte middelen </w:t>
      </w:r>
      <w:r>
        <w:rPr>
          <w:color w:val="000000"/>
        </w:rPr>
        <w:t>en de nood aan een sluitende juridische omschrijving van ‘erkende medium security’ hebben we ook de locatie mee opgenomen in onze omschrijving.</w:t>
      </w:r>
    </w:p>
    <w:p w:rsidR="00E8499D" w:rsidRDefault="0064133F">
      <w:pPr>
        <w:spacing w:after="0"/>
        <w:rPr>
          <w:rFonts w:ascii="Times New Roman" w:eastAsia="Times New Roman" w:hAnsi="Times New Roman" w:cs="Times New Roman"/>
          <w:sz w:val="24"/>
          <w:szCs w:val="24"/>
        </w:rPr>
      </w:pPr>
      <w:r>
        <w:rPr>
          <w:color w:val="000000"/>
        </w:rPr>
        <w:t>Hieronder vindt u de limitatieve lijst van de afdelingen die onder bovenstaande definitie ‘erkende medium securi</w:t>
      </w:r>
      <w:r>
        <w:rPr>
          <w:color w:val="000000"/>
        </w:rPr>
        <w:t>ty’ vallen (zoals geformuleerd door het VAPH):</w:t>
      </w:r>
    </w:p>
    <w:p w:rsidR="00E8499D" w:rsidRDefault="00E8499D">
      <w:pPr>
        <w:spacing w:after="0"/>
        <w:rPr>
          <w:rFonts w:ascii="Times New Roman" w:eastAsia="Times New Roman" w:hAnsi="Times New Roman" w:cs="Times New Roman"/>
          <w:sz w:val="24"/>
          <w:szCs w:val="24"/>
        </w:rPr>
      </w:pPr>
    </w:p>
    <w:tbl>
      <w:tblPr>
        <w:tblStyle w:val="a1"/>
        <w:tblW w:w="9117" w:type="dxa"/>
        <w:tblInd w:w="0" w:type="dxa"/>
        <w:tblLayout w:type="fixed"/>
        <w:tblLook w:val="0400" w:firstRow="0" w:lastRow="0" w:firstColumn="0" w:lastColumn="0" w:noHBand="0" w:noVBand="1"/>
      </w:tblPr>
      <w:tblGrid>
        <w:gridCol w:w="1007"/>
        <w:gridCol w:w="2433"/>
        <w:gridCol w:w="4590"/>
        <w:gridCol w:w="1087"/>
      </w:tblGrid>
      <w:tr w:rsidR="00E8499D">
        <w:trPr>
          <w:trHeight w:val="28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Campus</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Naam</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Omschrijving</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capaciteit</w:t>
            </w:r>
          </w:p>
        </w:tc>
      </w:tr>
      <w:tr w:rsidR="00E8499D">
        <w:trPr>
          <w:trHeight w:val="30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Rekem</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Forensische zorg 1</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Medium security ZH</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40</w:t>
            </w:r>
          </w:p>
        </w:tc>
      </w:tr>
      <w:tr w:rsidR="00E8499D">
        <w:trPr>
          <w:trHeight w:val="30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Rekem</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Forensische zorg 2 en 3</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Medium security PVT</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60</w:t>
            </w:r>
          </w:p>
        </w:tc>
      </w:tr>
      <w:tr w:rsidR="00E8499D">
        <w:trPr>
          <w:trHeight w:val="28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Rekem</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Forensische zorg 4</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DD verstandelijke beperking &amp;</w:t>
            </w:r>
            <w:r>
              <w:rPr>
                <w:color w:val="000000"/>
              </w:rPr>
              <w:t xml:space="preserve"> Psychische problematiek</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20</w:t>
            </w:r>
          </w:p>
        </w:tc>
      </w:tr>
      <w:tr w:rsidR="00E8499D">
        <w:trPr>
          <w:trHeight w:val="30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Bierbeek</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FPA - FPB - FPC</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Medium security ZH</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40</w:t>
            </w:r>
          </w:p>
        </w:tc>
      </w:tr>
      <w:tr w:rsidR="00E8499D">
        <w:trPr>
          <w:trHeight w:val="28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Bierbeek</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FRA - FRB - FRC - FRW</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Medium security PVT</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60</w:t>
            </w:r>
          </w:p>
        </w:tc>
      </w:tr>
      <w:tr w:rsidR="00E8499D">
        <w:trPr>
          <w:trHeight w:val="28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Bierbeek</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Oefenhuis (op campus)</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 xml:space="preserve">Medium security BW </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highlight w:val="white"/>
              </w:rPr>
              <w:t>4</w:t>
            </w:r>
          </w:p>
        </w:tc>
      </w:tr>
      <w:tr w:rsidR="00E8499D">
        <w:trPr>
          <w:trHeight w:val="56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Bierbeek</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Golf</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DD verstandelijke beperking &amp; Psychische problematiek</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20</w:t>
            </w:r>
          </w:p>
        </w:tc>
      </w:tr>
      <w:tr w:rsidR="00E8499D">
        <w:trPr>
          <w:trHeight w:val="28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Bierbeek</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LFP</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Long stay</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30</w:t>
            </w:r>
          </w:p>
        </w:tc>
      </w:tr>
      <w:tr w:rsidR="00E8499D">
        <w:trPr>
          <w:trHeight w:val="28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Zelzate</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Encarga 1-2-3</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Medium security ZH</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40</w:t>
            </w:r>
          </w:p>
        </w:tc>
      </w:tr>
      <w:tr w:rsidR="00E8499D">
        <w:trPr>
          <w:trHeight w:val="28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Zelzate</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Esperanza 1-2</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Medium security PVT</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60</w:t>
            </w:r>
          </w:p>
        </w:tc>
      </w:tr>
      <w:tr w:rsidR="00E8499D">
        <w:trPr>
          <w:trHeight w:val="28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Zelzate</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Toekan en Ibis (op campus)</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 xml:space="preserve">Medium security IBW </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10</w:t>
            </w:r>
          </w:p>
        </w:tc>
      </w:tr>
      <w:tr w:rsidR="00E8499D">
        <w:trPr>
          <w:trHeight w:val="28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Zel</w:t>
            </w:r>
            <w:r>
              <w:rPr>
                <w:color w:val="1F497D"/>
              </w:rPr>
              <w:t>z</w:t>
            </w:r>
            <w:r>
              <w:rPr>
                <w:color w:val="000000"/>
              </w:rPr>
              <w:t>ate</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Amplia</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DD verstandelijke beperking &amp; Psychische problematiek</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20</w:t>
            </w:r>
          </w:p>
        </w:tc>
      </w:tr>
      <w:tr w:rsidR="00E8499D">
        <w:trPr>
          <w:trHeight w:val="280"/>
        </w:trPr>
        <w:tc>
          <w:tcPr>
            <w:tcW w:w="1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Zelzate</w:t>
            </w:r>
          </w:p>
        </w:tc>
        <w:tc>
          <w:tcPr>
            <w:tcW w:w="24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Levanta</w:t>
            </w:r>
          </w:p>
        </w:tc>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High risk vrouwen</w:t>
            </w:r>
          </w:p>
        </w:tc>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499D" w:rsidRDefault="0064133F">
            <w:pPr>
              <w:spacing w:after="0"/>
              <w:rPr>
                <w:rFonts w:ascii="Times New Roman" w:eastAsia="Times New Roman" w:hAnsi="Times New Roman" w:cs="Times New Roman"/>
                <w:sz w:val="24"/>
                <w:szCs w:val="24"/>
              </w:rPr>
            </w:pPr>
            <w:r>
              <w:rPr>
                <w:color w:val="000000"/>
              </w:rPr>
              <w:t>20</w:t>
            </w:r>
          </w:p>
        </w:tc>
      </w:tr>
    </w:tbl>
    <w:p w:rsidR="00E8499D" w:rsidRDefault="00E8499D">
      <w:pPr>
        <w:spacing w:after="0"/>
        <w:rPr>
          <w:rFonts w:ascii="Times New Roman" w:eastAsia="Times New Roman" w:hAnsi="Times New Roman" w:cs="Times New Roman"/>
          <w:sz w:val="24"/>
          <w:szCs w:val="24"/>
        </w:rPr>
      </w:pPr>
    </w:p>
    <w:p w:rsidR="00E8499D" w:rsidRDefault="0064133F">
      <w:pPr>
        <w:spacing w:after="0"/>
        <w:rPr>
          <w:rFonts w:ascii="Times New Roman" w:eastAsia="Times New Roman" w:hAnsi="Times New Roman" w:cs="Times New Roman"/>
          <w:sz w:val="24"/>
          <w:szCs w:val="24"/>
        </w:rPr>
      </w:pPr>
      <w:r>
        <w:rPr>
          <w:color w:val="000000"/>
        </w:rPr>
        <w:t xml:space="preserve">Alle geïnterneerden die niet in een gevangenis, FPC of ‘erkende medium security’ verblijven, kunnen een beroep doen op de </w:t>
      </w:r>
      <w:r>
        <w:rPr>
          <w:b/>
          <w:color w:val="000000"/>
        </w:rPr>
        <w:t>reguliere persoonsvolgende financiering</w:t>
      </w:r>
      <w:r>
        <w:rPr>
          <w:color w:val="000000"/>
        </w:rPr>
        <w:t xml:space="preserve"> vanuit het VAPH.</w:t>
      </w:r>
    </w:p>
    <w:p w:rsidR="00E8499D" w:rsidRDefault="00E8499D"/>
    <w:sectPr w:rsidR="00E8499D">
      <w:footerReference w:type="default" r:id="rId13"/>
      <w:headerReference w:type="first" r:id="rId14"/>
      <w:footerReference w:type="first" r:id="rId15"/>
      <w:pgSz w:w="11906" w:h="16838"/>
      <w:pgMar w:top="1134" w:right="1134" w:bottom="1871" w:left="1871" w:header="709" w:footer="85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133F">
      <w:pPr>
        <w:spacing w:after="0"/>
      </w:pPr>
      <w:r>
        <w:separator/>
      </w:r>
    </w:p>
  </w:endnote>
  <w:endnote w:type="continuationSeparator" w:id="0">
    <w:p w:rsidR="00000000" w:rsidRDefault="006413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9D" w:rsidRDefault="0064133F">
    <w:pPr>
      <w:pBdr>
        <w:top w:val="nil"/>
        <w:left w:val="nil"/>
        <w:bottom w:val="nil"/>
        <w:right w:val="nil"/>
        <w:between w:val="nil"/>
      </w:pBdr>
      <w:spacing w:after="0"/>
      <w:jc w:val="right"/>
      <w:rPr>
        <w:color w:val="000000"/>
        <w:sz w:val="20"/>
        <w:szCs w:val="20"/>
      </w:rPr>
    </w:pPr>
    <w:r>
      <w:rPr>
        <w:color w:val="000000"/>
        <w:sz w:val="20"/>
        <w:szCs w:val="20"/>
      </w:rPr>
      <w:t xml:space="preserve">pagina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14</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9D" w:rsidRDefault="0064133F">
    <w:pPr>
      <w:pBdr>
        <w:top w:val="nil"/>
        <w:left w:val="nil"/>
        <w:bottom w:val="nil"/>
        <w:right w:val="nil"/>
        <w:between w:val="nil"/>
      </w:pBdr>
      <w:spacing w:after="0"/>
      <w:jc w:val="right"/>
      <w:rPr>
        <w:color w:val="000000"/>
        <w:sz w:val="20"/>
        <w:szCs w:val="20"/>
      </w:rPr>
    </w:pPr>
    <w:r>
      <w:rPr>
        <w:color w:val="000000"/>
        <w:sz w:val="20"/>
        <w:szCs w:val="20"/>
      </w:rPr>
      <w:tab/>
      <w:t xml:space="preserve">pagina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color w:val="000000"/>
        <w:sz w:val="20"/>
        <w:szCs w:val="20"/>
      </w:rPr>
      <w:t xml:space="preserve"> van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14</w:t>
    </w:r>
    <w:r>
      <w:rPr>
        <w:color w:val="000000"/>
        <w:sz w:val="20"/>
        <w:szCs w:val="20"/>
      </w:rPr>
      <w:fldChar w:fldCharType="end"/>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270800" cy="5400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133F">
      <w:pPr>
        <w:spacing w:after="0"/>
      </w:pPr>
      <w:r>
        <w:separator/>
      </w:r>
    </w:p>
  </w:footnote>
  <w:footnote w:type="continuationSeparator" w:id="0">
    <w:p w:rsidR="00000000" w:rsidRDefault="006413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9D" w:rsidRDefault="0064133F">
    <w:pPr>
      <w:pBdr>
        <w:top w:val="nil"/>
        <w:left w:val="nil"/>
        <w:bottom w:val="nil"/>
        <w:right w:val="nil"/>
        <w:between w:val="nil"/>
      </w:pBdr>
      <w:tabs>
        <w:tab w:val="center" w:pos="4536"/>
        <w:tab w:val="right" w:pos="9072"/>
      </w:tabs>
      <w:spacing w:before="200"/>
      <w:rPr>
        <w:rFonts w:ascii="FlandersArtSans-Medium" w:eastAsia="FlandersArtSans-Medium" w:hAnsi="FlandersArtSans-Medium" w:cs="FlandersArtSans-Medium"/>
        <w:color w:val="000000"/>
      </w:rPr>
    </w:pPr>
    <w:r>
      <w:rPr>
        <w:noProof/>
        <w:color w:val="373737"/>
      </w:rPr>
      <w:drawing>
        <wp:inline distT="0" distB="0" distL="0" distR="0">
          <wp:extent cx="1382034" cy="900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82034" cy="900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98E"/>
    <w:multiLevelType w:val="multilevel"/>
    <w:tmpl w:val="048005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0E720AA"/>
    <w:multiLevelType w:val="multilevel"/>
    <w:tmpl w:val="986867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A9C0081"/>
    <w:multiLevelType w:val="multilevel"/>
    <w:tmpl w:val="E26E166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decimal"/>
      <w:lvlText w:val="%2."/>
      <w:lvlJc w:val="left"/>
      <w:pPr>
        <w:ind w:left="1440" w:hanging="360"/>
      </w:pPr>
      <w:rPr>
        <w:rFonts w:ascii="Calibri" w:eastAsia="Calibri" w:hAnsi="Calibri" w:cs="Calibri"/>
        <w:sz w:val="38"/>
        <w:szCs w:val="38"/>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4F440A6"/>
    <w:multiLevelType w:val="multilevel"/>
    <w:tmpl w:val="D99CF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A29075D"/>
    <w:multiLevelType w:val="multilevel"/>
    <w:tmpl w:val="30E068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42865199"/>
    <w:multiLevelType w:val="multilevel"/>
    <w:tmpl w:val="3BFA7A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45116476"/>
    <w:multiLevelType w:val="multilevel"/>
    <w:tmpl w:val="9B36E3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579F363B"/>
    <w:multiLevelType w:val="multilevel"/>
    <w:tmpl w:val="7AD00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70C17D49"/>
    <w:multiLevelType w:val="multilevel"/>
    <w:tmpl w:val="7FC058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B291CC0"/>
    <w:multiLevelType w:val="multilevel"/>
    <w:tmpl w:val="528076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7D050861"/>
    <w:multiLevelType w:val="multilevel"/>
    <w:tmpl w:val="584E43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2"/>
  </w:num>
  <w:num w:numId="3">
    <w:abstractNumId w:val="1"/>
  </w:num>
  <w:num w:numId="4">
    <w:abstractNumId w:val="4"/>
  </w:num>
  <w:num w:numId="5">
    <w:abstractNumId w:val="9"/>
  </w:num>
  <w:num w:numId="6">
    <w:abstractNumId w:val="8"/>
  </w:num>
  <w:num w:numId="7">
    <w:abstractNumId w:val="3"/>
  </w:num>
  <w:num w:numId="8">
    <w:abstractNumId w:val="0"/>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8499D"/>
    <w:rsid w:val="0064133F"/>
    <w:rsid w:val="00E849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2" w:hanging="432"/>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ntekst">
    <w:name w:val="Balloon Text"/>
    <w:basedOn w:val="Standaard"/>
    <w:link w:val="BallontekstChar"/>
    <w:uiPriority w:val="99"/>
    <w:semiHidden/>
    <w:unhideWhenUsed/>
    <w:rsid w:val="0064133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1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ind w:left="432" w:hanging="432"/>
      <w:outlineLvl w:val="0"/>
    </w:pPr>
    <w:rPr>
      <w:b/>
      <w:color w:val="373737"/>
      <w:sz w:val="38"/>
      <w:szCs w:val="38"/>
    </w:rPr>
  </w:style>
  <w:style w:type="paragraph" w:styleId="Kop2">
    <w:name w:val="heading 2"/>
    <w:basedOn w:val="Standaard"/>
    <w:next w:val="Standaard"/>
    <w:pPr>
      <w:keepNext/>
      <w:ind w:left="576" w:hanging="576"/>
      <w:outlineLvl w:val="1"/>
    </w:pPr>
    <w:rPr>
      <w:b/>
      <w:color w:val="373737"/>
      <w:sz w:val="34"/>
      <w:szCs w:val="34"/>
    </w:rPr>
  </w:style>
  <w:style w:type="paragraph" w:styleId="Kop3">
    <w:name w:val="heading 3"/>
    <w:basedOn w:val="Standaard"/>
    <w:next w:val="Standaard"/>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TableNormal"/>
    <w:rPr>
      <w:color w:val="000000"/>
    </w:rPr>
    <w:tblPr>
      <w:tblStyleRowBandSize w:val="1"/>
      <w:tblStyleColBandSize w:val="1"/>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ntekst">
    <w:name w:val="Balloon Text"/>
    <w:basedOn w:val="Standaard"/>
    <w:link w:val="BallontekstChar"/>
    <w:uiPriority w:val="99"/>
    <w:semiHidden/>
    <w:unhideWhenUsed/>
    <w:rsid w:val="0064133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1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vaph.be/documenten/aanvraag-tot-registratie-als-vergunde-zorgaanbieder-voor-het-aanbieden-va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vaph.be/persoonlijke-budgetten/pvb/besteden/stap-tw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middeling@vaph.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aph.be/contacteer-ons" TargetMode="External"/><Relationship Id="rId4" Type="http://schemas.openxmlformats.org/officeDocument/2006/relationships/settings" Target="settings.xml"/><Relationship Id="rId9" Type="http://schemas.openxmlformats.org/officeDocument/2006/relationships/hyperlink" Target="https://www.vaph.be/documenten/aanvraag-tot-registratie-als-vergunde-zorgaanbieder-voor-het-aanbieden-va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5027</Words>
  <Characters>27650</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dc:creator>
  <cp:lastModifiedBy>Lien Lion</cp:lastModifiedBy>
  <cp:revision>2</cp:revision>
  <dcterms:created xsi:type="dcterms:W3CDTF">2019-01-15T09:39:00Z</dcterms:created>
  <dcterms:modified xsi:type="dcterms:W3CDTF">2019-01-15T09:39:00Z</dcterms:modified>
</cp:coreProperties>
</file>