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48C8" w:rsidRDefault="00D948C8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2"/>
        <w:tblW w:w="1002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7533"/>
      </w:tblGrid>
      <w:tr w:rsidR="00D948C8" w:rsidTr="000437D1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948C8" w:rsidRDefault="00C456E4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D948C8" w:rsidRDefault="00C456E4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D948C8" w:rsidRDefault="00C456E4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7533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948C8" w:rsidRDefault="00C456E4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D948C8" w:rsidTr="000437D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C8" w:rsidRDefault="00D948C8">
            <w:pPr>
              <w:widowControl w:val="0"/>
            </w:pPr>
          </w:p>
        </w:tc>
        <w:tc>
          <w:tcPr>
            <w:tcW w:w="7533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948C8" w:rsidRDefault="00C456E4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b/>
                <w:sz w:val="26"/>
                <w:szCs w:val="26"/>
              </w:rPr>
              <w:t>Multifunctionele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Centra</w:t>
            </w:r>
            <w:proofErr w:type="spellEnd"/>
            <w:r>
              <w:rPr>
                <w:b/>
                <w:sz w:val="26"/>
                <w:szCs w:val="26"/>
              </w:rPr>
              <w:t xml:space="preserve"> van het VAPH</w:t>
            </w:r>
          </w:p>
        </w:tc>
      </w:tr>
      <w:tr w:rsidR="00D948C8" w:rsidTr="000437D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C8" w:rsidRDefault="00D948C8">
            <w:pPr>
              <w:widowControl w:val="0"/>
            </w:pPr>
          </w:p>
        </w:tc>
        <w:tc>
          <w:tcPr>
            <w:tcW w:w="7533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948C8" w:rsidRDefault="00C456E4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04/04/19</w:t>
            </w:r>
          </w:p>
        </w:tc>
      </w:tr>
      <w:tr w:rsidR="00D948C8" w:rsidTr="000437D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C8" w:rsidRDefault="00D948C8">
            <w:pPr>
              <w:widowControl w:val="0"/>
            </w:pPr>
          </w:p>
        </w:tc>
        <w:tc>
          <w:tcPr>
            <w:tcW w:w="7533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948C8" w:rsidRDefault="00C456E4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INF/19/31</w:t>
            </w:r>
          </w:p>
        </w:tc>
      </w:tr>
      <w:tr w:rsidR="00D948C8" w:rsidTr="000437D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948C8" w:rsidRDefault="00C456E4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7533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948C8" w:rsidRDefault="00C456E4">
            <w:pPr>
              <w:widowControl w:val="0"/>
            </w:pPr>
            <w:r>
              <w:t xml:space="preserve">Ann Van den </w:t>
            </w:r>
            <w:proofErr w:type="spellStart"/>
            <w:r>
              <w:t>Abbeele</w:t>
            </w:r>
            <w:proofErr w:type="spellEnd"/>
          </w:p>
        </w:tc>
      </w:tr>
      <w:tr w:rsidR="00D948C8" w:rsidTr="000437D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948C8" w:rsidRDefault="00C456E4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533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948C8" w:rsidRDefault="00C456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ann.vandenabbeele@vaph.be</w:t>
            </w:r>
          </w:p>
        </w:tc>
      </w:tr>
      <w:tr w:rsidR="00D948C8" w:rsidTr="000437D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948C8" w:rsidRDefault="00C456E4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7533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948C8" w:rsidRDefault="00C456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02/225 85 63</w:t>
            </w:r>
          </w:p>
        </w:tc>
      </w:tr>
      <w:tr w:rsidR="00D948C8" w:rsidTr="000437D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948C8" w:rsidRDefault="00C456E4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7533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948C8" w:rsidRDefault="00C456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48C8" w:rsidTr="000437D1">
        <w:tc>
          <w:tcPr>
            <w:tcW w:w="10023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948C8" w:rsidRDefault="00C456E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948C8" w:rsidTr="000437D1">
        <w:tc>
          <w:tcPr>
            <w:tcW w:w="10023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948C8" w:rsidRDefault="00C456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</w:t>
            </w:r>
            <w:proofErr w:type="spellStart"/>
            <w:r>
              <w:rPr>
                <w:sz w:val="28"/>
                <w:szCs w:val="28"/>
              </w:rPr>
              <w:t>toeleiding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naar</w:t>
            </w:r>
            <w:proofErr w:type="spellEnd"/>
            <w:r>
              <w:rPr>
                <w:sz w:val="28"/>
                <w:szCs w:val="28"/>
              </w:rPr>
              <w:t xml:space="preserve"> het </w:t>
            </w:r>
            <w:proofErr w:type="spellStart"/>
            <w:r>
              <w:rPr>
                <w:sz w:val="28"/>
                <w:szCs w:val="28"/>
              </w:rPr>
              <w:t>naschoolse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aanbod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welzijn</w:t>
            </w:r>
            <w:proofErr w:type="spellEnd"/>
            <w:r>
              <w:rPr>
                <w:sz w:val="28"/>
                <w:szCs w:val="28"/>
              </w:rPr>
              <w:t xml:space="preserve"> van </w:t>
            </w:r>
            <w:proofErr w:type="spellStart"/>
            <w:r>
              <w:rPr>
                <w:sz w:val="28"/>
                <w:szCs w:val="28"/>
              </w:rPr>
              <w:t>jongvolwassenen</w:t>
            </w:r>
            <w:proofErr w:type="spellEnd"/>
            <w:r>
              <w:rPr>
                <w:sz w:val="28"/>
                <w:szCs w:val="28"/>
              </w:rPr>
              <w:t xml:space="preserve"> met </w:t>
            </w:r>
            <w:proofErr w:type="spellStart"/>
            <w:r>
              <w:rPr>
                <w:sz w:val="28"/>
                <w:szCs w:val="28"/>
              </w:rPr>
              <w:t>een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inschrijvings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verslag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opleidingsvorm</w:t>
            </w:r>
            <w:proofErr w:type="spellEnd"/>
            <w:r>
              <w:rPr>
                <w:sz w:val="28"/>
                <w:szCs w:val="28"/>
              </w:rPr>
              <w:t xml:space="preserve"> 1 of 2, in het </w:t>
            </w:r>
            <w:proofErr w:type="spellStart"/>
            <w:r>
              <w:rPr>
                <w:sz w:val="28"/>
                <w:szCs w:val="28"/>
              </w:rPr>
              <w:t>buitengewoon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</w:t>
            </w:r>
            <w:proofErr w:type="spellEnd"/>
            <w:r>
              <w:rPr>
                <w:sz w:val="28"/>
                <w:szCs w:val="28"/>
              </w:rPr>
              <w:t xml:space="preserve"> het </w:t>
            </w:r>
            <w:proofErr w:type="spellStart"/>
            <w:r>
              <w:rPr>
                <w:sz w:val="28"/>
                <w:szCs w:val="28"/>
              </w:rPr>
              <w:t>gewoon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secundair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onderwijs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948C8" w:rsidTr="000437D1">
        <w:tc>
          <w:tcPr>
            <w:tcW w:w="10023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948C8" w:rsidRDefault="00C456E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948C8" w:rsidRDefault="00C456E4">
      <w:pPr>
        <w:jc w:val="both"/>
      </w:pPr>
      <w:proofErr w:type="spellStart"/>
      <w:r>
        <w:t>Jongeren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beperking</w:t>
      </w:r>
      <w:proofErr w:type="spellEnd"/>
      <w:r>
        <w:t xml:space="preserve"> die school </w:t>
      </w:r>
      <w:proofErr w:type="spellStart"/>
      <w:r>
        <w:t>lopen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school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buitengewoon</w:t>
      </w:r>
      <w:proofErr w:type="spellEnd"/>
      <w:r>
        <w:t xml:space="preserve"> of </w:t>
      </w:r>
      <w:proofErr w:type="spellStart"/>
      <w:r>
        <w:t>gewoon</w:t>
      </w:r>
      <w:proofErr w:type="spellEnd"/>
      <w:r>
        <w:t xml:space="preserve"> </w:t>
      </w:r>
      <w:proofErr w:type="spellStart"/>
      <w:r>
        <w:t>secundair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(</w:t>
      </w:r>
      <w:proofErr w:type="spellStart"/>
      <w:r>
        <w:t>inschrijvings</w:t>
      </w:r>
      <w:proofErr w:type="spellEnd"/>
      <w:r>
        <w:t>)</w:t>
      </w:r>
      <w:proofErr w:type="spellStart"/>
      <w:r>
        <w:t>verslag</w:t>
      </w:r>
      <w:proofErr w:type="spellEnd"/>
      <w:r>
        <w:t xml:space="preserve"> </w:t>
      </w:r>
      <w:proofErr w:type="spellStart"/>
      <w:r>
        <w:t>opleidingsvorm</w:t>
      </w:r>
      <w:proofErr w:type="spellEnd"/>
      <w:r>
        <w:t xml:space="preserve"> 1 of </w:t>
      </w:r>
      <w:proofErr w:type="spellStart"/>
      <w:r>
        <w:t>opleidingsvorm</w:t>
      </w:r>
      <w:proofErr w:type="spellEnd"/>
      <w:r>
        <w:t xml:space="preserve"> 2,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beëindigen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schoolloopbaan</w:t>
      </w:r>
      <w:proofErr w:type="spellEnd"/>
      <w:r>
        <w:t xml:space="preserve"> in heel wat </w:t>
      </w:r>
      <w:proofErr w:type="spellStart"/>
      <w:r>
        <w:t>gevallen</w:t>
      </w:r>
      <w:proofErr w:type="spellEnd"/>
      <w:r>
        <w:t xml:space="preserve"> </w:t>
      </w:r>
      <w:proofErr w:type="spellStart"/>
      <w:r>
        <w:t>nood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, </w:t>
      </w:r>
      <w:proofErr w:type="spellStart"/>
      <w:r>
        <w:t>ondersteuning</w:t>
      </w:r>
      <w:proofErr w:type="spellEnd"/>
      <w:r>
        <w:t xml:space="preserve"> of </w:t>
      </w:r>
      <w:proofErr w:type="spellStart"/>
      <w:r>
        <w:t>opvang</w:t>
      </w:r>
      <w:proofErr w:type="spellEnd"/>
      <w:r>
        <w:t>.</w:t>
      </w:r>
    </w:p>
    <w:p w:rsidR="00D948C8" w:rsidRDefault="00D948C8">
      <w:pPr>
        <w:jc w:val="both"/>
      </w:pPr>
    </w:p>
    <w:p w:rsidR="00D948C8" w:rsidRDefault="00C456E4">
      <w:pPr>
        <w:jc w:val="both"/>
      </w:pPr>
      <w:r>
        <w:t xml:space="preserve">Met </w:t>
      </w:r>
      <w:proofErr w:type="spellStart"/>
      <w:r>
        <w:t>deze</w:t>
      </w:r>
      <w:proofErr w:type="spellEnd"/>
      <w:r>
        <w:t xml:space="preserve"> brief </w:t>
      </w:r>
      <w:proofErr w:type="spellStart"/>
      <w:r>
        <w:t>willen</w:t>
      </w:r>
      <w:proofErr w:type="spellEnd"/>
      <w:r>
        <w:t xml:space="preserve"> de ministers van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van </w:t>
      </w:r>
      <w:proofErr w:type="spellStart"/>
      <w:r>
        <w:t>Welzijn</w:t>
      </w:r>
      <w:proofErr w:type="spellEnd"/>
      <w:r>
        <w:t xml:space="preserve"> de </w:t>
      </w:r>
      <w:proofErr w:type="spellStart"/>
      <w:r>
        <w:t>directies</w:t>
      </w:r>
      <w:proofErr w:type="spellEnd"/>
      <w:r>
        <w:t xml:space="preserve"> van het (</w:t>
      </w:r>
      <w:proofErr w:type="spellStart"/>
      <w:r>
        <w:t>buiten</w:t>
      </w:r>
      <w:proofErr w:type="spellEnd"/>
      <w:r>
        <w:t>)</w:t>
      </w:r>
      <w:proofErr w:type="spellStart"/>
      <w:r>
        <w:t>gewoon</w:t>
      </w:r>
      <w:proofErr w:type="spellEnd"/>
      <w:r>
        <w:t xml:space="preserve"> </w:t>
      </w:r>
      <w:proofErr w:type="spellStart"/>
      <w:r>
        <w:t>secundair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Leerlingenbegeleiding</w:t>
      </w:r>
      <w:proofErr w:type="spellEnd"/>
      <w:r>
        <w:t xml:space="preserve"> (CLB) </w:t>
      </w:r>
      <w:proofErr w:type="spellStart"/>
      <w:r>
        <w:t>wegwijs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in de </w:t>
      </w:r>
      <w:proofErr w:type="spellStart"/>
      <w:r>
        <w:t>toeleidingsmogelijkheden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aanbod</w:t>
      </w:r>
      <w:proofErr w:type="spellEnd"/>
      <w:r>
        <w:t xml:space="preserve"> van het </w:t>
      </w:r>
      <w:proofErr w:type="spellStart"/>
      <w:r>
        <w:t>Beleidsdomein</w:t>
      </w:r>
      <w:proofErr w:type="spellEnd"/>
      <w:r>
        <w:t xml:space="preserve"> </w:t>
      </w:r>
      <w:proofErr w:type="spellStart"/>
      <w:r>
        <w:t>Welzijn</w:t>
      </w:r>
      <w:proofErr w:type="spellEnd"/>
      <w:r>
        <w:t xml:space="preserve">, </w:t>
      </w:r>
      <w:proofErr w:type="spellStart"/>
      <w:r>
        <w:t>Volksgezondheid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Gezin</w:t>
      </w:r>
      <w:proofErr w:type="spellEnd"/>
      <w:r>
        <w:t xml:space="preserve">.  Het </w:t>
      </w:r>
      <w:proofErr w:type="spellStart"/>
      <w:r>
        <w:t>belang</w:t>
      </w:r>
      <w:proofErr w:type="spellEnd"/>
      <w:r>
        <w:t xml:space="preserve"> om </w:t>
      </w:r>
      <w:proofErr w:type="spellStart"/>
      <w:r>
        <w:t>tijdig</w:t>
      </w:r>
      <w:proofErr w:type="spellEnd"/>
      <w:r>
        <w:t xml:space="preserve"> (</w:t>
      </w:r>
      <w:proofErr w:type="spellStart"/>
      <w:r>
        <w:t>bij</w:t>
      </w:r>
      <w:proofErr w:type="spellEnd"/>
      <w:r>
        <w:t xml:space="preserve"> </w:t>
      </w:r>
      <w:proofErr w:type="spellStart"/>
      <w:r>
        <w:t>voorkeur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17 </w:t>
      </w:r>
      <w:proofErr w:type="spellStart"/>
      <w:r>
        <w:t>jaar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starten</w:t>
      </w:r>
      <w:proofErr w:type="spellEnd"/>
      <w:r>
        <w:t xml:space="preserve"> met het </w:t>
      </w:r>
      <w:proofErr w:type="spellStart"/>
      <w:r>
        <w:t>verkennen</w:t>
      </w:r>
      <w:proofErr w:type="spellEnd"/>
      <w:r>
        <w:t xml:space="preserve"> van de </w:t>
      </w:r>
      <w:proofErr w:type="spellStart"/>
      <w:r>
        <w:t>noden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mogelijkheden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benadrukt</w:t>
      </w:r>
      <w:proofErr w:type="spellEnd"/>
      <w:r>
        <w:t>.</w:t>
      </w:r>
    </w:p>
    <w:p w:rsidR="00D948C8" w:rsidRDefault="00D948C8">
      <w:pPr>
        <w:jc w:val="both"/>
      </w:pPr>
    </w:p>
    <w:p w:rsidR="00D948C8" w:rsidRDefault="00C456E4">
      <w:pPr>
        <w:jc w:val="both"/>
      </w:pPr>
      <w:r>
        <w:t xml:space="preserve">De school </w:t>
      </w:r>
      <w:proofErr w:type="spellStart"/>
      <w:r>
        <w:t>en</w:t>
      </w:r>
      <w:proofErr w:type="spellEnd"/>
      <w:r>
        <w:t xml:space="preserve"> het CLB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uitstekend</w:t>
      </w:r>
      <w:proofErr w:type="spellEnd"/>
      <w:r>
        <w:t xml:space="preserve"> </w:t>
      </w:r>
      <w:proofErr w:type="spellStart"/>
      <w:r>
        <w:t>geplaatst</w:t>
      </w:r>
      <w:proofErr w:type="spellEnd"/>
      <w:r>
        <w:t xml:space="preserve"> om </w:t>
      </w:r>
      <w:proofErr w:type="spellStart"/>
      <w:r>
        <w:t>ouders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leerlingen</w:t>
      </w:r>
      <w:proofErr w:type="spellEnd"/>
      <w:r>
        <w:t xml:space="preserve"> op </w:t>
      </w:r>
      <w:proofErr w:type="spellStart"/>
      <w:r>
        <w:t>weg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in het </w:t>
      </w:r>
      <w:proofErr w:type="spellStart"/>
      <w:r>
        <w:t>verkennen</w:t>
      </w:r>
      <w:proofErr w:type="spellEnd"/>
      <w:r>
        <w:t xml:space="preserve"> van de </w:t>
      </w:r>
      <w:proofErr w:type="spellStart"/>
      <w:r>
        <w:t>noden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mogelijkheden</w:t>
      </w:r>
      <w:proofErr w:type="spellEnd"/>
      <w:r>
        <w:t xml:space="preserve"> </w:t>
      </w:r>
      <w:proofErr w:type="spellStart"/>
      <w:r>
        <w:t>inzake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vervolgaanbod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school. De brief </w:t>
      </w:r>
      <w:proofErr w:type="spellStart"/>
      <w:r>
        <w:t>reikt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over </w:t>
      </w:r>
      <w:proofErr w:type="spellStart"/>
      <w:r>
        <w:t>organisaties</w:t>
      </w:r>
      <w:proofErr w:type="spellEnd"/>
      <w:r>
        <w:t xml:space="preserve"> die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over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ondersteuningsmogelijkheden</w:t>
      </w:r>
      <w:proofErr w:type="spellEnd"/>
      <w:r>
        <w:t xml:space="preserve"> (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, </w:t>
      </w:r>
      <w:proofErr w:type="spellStart"/>
      <w:r>
        <w:t>persoonsvolgend</w:t>
      </w:r>
      <w:proofErr w:type="spellEnd"/>
      <w:r>
        <w:t xml:space="preserve"> budget).</w:t>
      </w:r>
    </w:p>
    <w:p w:rsidR="00D948C8" w:rsidRDefault="00D948C8">
      <w:pPr>
        <w:jc w:val="both"/>
      </w:pPr>
    </w:p>
    <w:p w:rsidR="00D948C8" w:rsidRDefault="00D948C8">
      <w:pPr>
        <w:jc w:val="both"/>
      </w:pPr>
    </w:p>
    <w:p w:rsidR="00D948C8" w:rsidRDefault="00D948C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948C8" w:rsidRDefault="00C456E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D948C8" w:rsidRDefault="00C456E4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Administrateur-generaal</w:t>
      </w:r>
      <w:proofErr w:type="spellEnd"/>
    </w:p>
    <w:p w:rsidR="00D948C8" w:rsidRDefault="00D948C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9781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9781"/>
      </w:tblGrid>
      <w:tr w:rsidR="00D948C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C8" w:rsidRDefault="00D948C8">
            <w:pPr>
              <w:widowControl w:val="0"/>
              <w:spacing w:line="240" w:lineRule="auto"/>
              <w:rPr>
                <w:i/>
              </w:rPr>
            </w:pPr>
            <w:bookmarkStart w:id="0" w:name="_GoBack"/>
            <w:bookmarkEnd w:id="0"/>
          </w:p>
        </w:tc>
      </w:tr>
      <w:tr w:rsidR="00D948C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8C8" w:rsidRDefault="00D948C8">
            <w:pPr>
              <w:widowControl w:val="0"/>
              <w:spacing w:line="240" w:lineRule="auto"/>
              <w:rPr>
                <w:i/>
              </w:rPr>
            </w:pPr>
          </w:p>
        </w:tc>
      </w:tr>
    </w:tbl>
    <w:p w:rsidR="00D948C8" w:rsidRDefault="00D948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sectPr w:rsidR="00D948C8">
      <w:headerReference w:type="default" r:id="rId7"/>
      <w:headerReference w:type="first" r:id="rId8"/>
      <w:footerReference w:type="first" r:id="rId9"/>
      <w:pgSz w:w="11906" w:h="16838"/>
      <w:pgMar w:top="1133" w:right="1133" w:bottom="1870" w:left="992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70" w:rsidRDefault="00B41F70">
      <w:pPr>
        <w:spacing w:line="240" w:lineRule="auto"/>
      </w:pPr>
      <w:r>
        <w:separator/>
      </w:r>
    </w:p>
  </w:endnote>
  <w:endnote w:type="continuationSeparator" w:id="0">
    <w:p w:rsidR="00B41F70" w:rsidRDefault="00B41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C8" w:rsidRDefault="00D948C8">
    <w:pPr>
      <w:pBdr>
        <w:top w:val="nil"/>
        <w:left w:val="nil"/>
        <w:bottom w:val="nil"/>
        <w:right w:val="nil"/>
        <w:between w:val="nil"/>
      </w:pBdr>
    </w:pPr>
  </w:p>
  <w:p w:rsidR="00D948C8" w:rsidRDefault="00C456E4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3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0437D1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0437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70" w:rsidRDefault="00B41F70">
      <w:pPr>
        <w:spacing w:line="240" w:lineRule="auto"/>
      </w:pPr>
      <w:r>
        <w:separator/>
      </w:r>
    </w:p>
  </w:footnote>
  <w:footnote w:type="continuationSeparator" w:id="0">
    <w:p w:rsidR="00B41F70" w:rsidRDefault="00B41F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C8" w:rsidRDefault="00C456E4"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2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C8" w:rsidRDefault="00D948C8">
    <w:pPr>
      <w:pBdr>
        <w:top w:val="nil"/>
        <w:left w:val="nil"/>
        <w:bottom w:val="nil"/>
        <w:right w:val="nil"/>
        <w:between w:val="nil"/>
      </w:pBdr>
    </w:pPr>
  </w:p>
  <w:p w:rsidR="00D948C8" w:rsidRDefault="00C456E4">
    <w:pPr>
      <w:rPr>
        <w:sz w:val="54"/>
        <w:szCs w:val="54"/>
      </w:rP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48C8" w:rsidRDefault="00D948C8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48C8"/>
    <w:rsid w:val="000310BE"/>
    <w:rsid w:val="000437D1"/>
    <w:rsid w:val="0010667E"/>
    <w:rsid w:val="00B41F70"/>
    <w:rsid w:val="00C456E4"/>
    <w:rsid w:val="00D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6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6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6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axv</dc:creator>
  <cp:lastModifiedBy>Anneleen De Broeck</cp:lastModifiedBy>
  <cp:revision>3</cp:revision>
  <dcterms:created xsi:type="dcterms:W3CDTF">2019-04-29T06:50:00Z</dcterms:created>
  <dcterms:modified xsi:type="dcterms:W3CDTF">2019-04-29T06:51:00Z</dcterms:modified>
</cp:coreProperties>
</file>