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line="240" w:lineRule="auto"/>
        <w:rPr>
          <w:sz w:val="12"/>
          <w:szCs w:val="12"/>
        </w:rPr>
      </w:pPr>
      <w:r w:rsidDel="00000000" w:rsidR="00000000" w:rsidRPr="00000000">
        <w:rPr>
          <w:rtl w:val="0"/>
        </w:rPr>
      </w:r>
    </w:p>
    <w:tbl>
      <w:tblPr>
        <w:tblStyle w:val="Table1"/>
        <w:tblW w:w="8880.0" w:type="dxa"/>
        <w:jc w:val="left"/>
        <w:tblInd w:w="100.0" w:type="pct"/>
        <w:tblLayout w:type="fixed"/>
        <w:tblLook w:val="0600"/>
      </w:tblPr>
      <w:tblGrid>
        <w:gridCol w:w="2490"/>
        <w:gridCol w:w="6390"/>
        <w:tblGridChange w:id="0">
          <w:tblGrid>
            <w:gridCol w:w="2490"/>
            <w:gridCol w:w="6390"/>
          </w:tblGrid>
        </w:tblGridChange>
      </w:tblGrid>
      <w:tr>
        <w:trPr>
          <w:cantSplit w:val="0"/>
          <w:tblHeader w:val="0"/>
        </w:trPr>
        <w:tc>
          <w:tcPr>
            <w:vMerge w:val="restart"/>
            <w:shd w:fill="auto" w:val="clear"/>
            <w:tcMar>
              <w:top w:w="60.0" w:type="dxa"/>
              <w:left w:w="100.0" w:type="dxa"/>
              <w:bottom w:w="6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color w:val="666666"/>
                <w:rtl w:val="0"/>
              </w:rPr>
              <w:t xml:space="preserve">Zenithgebouw</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color w:val="666666"/>
                <w:rtl w:val="0"/>
              </w:rPr>
              <w:t xml:space="preserve">Koning Albert II-laan 37</w:t>
              <w:br w:type="textWrapping"/>
              <w:t xml:space="preserve">1030 BRUSSEL</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www.vaph.be</w:t>
            </w:r>
          </w:p>
        </w:tc>
        <w:tc>
          <w:tcPr>
            <w:shd w:fill="auto" w:val="clear"/>
            <w:tcMar>
              <w:top w:w="60.0" w:type="dxa"/>
              <w:left w:w="100.0" w:type="dxa"/>
              <w:bottom w:w="6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b w:val="1"/>
                <w:sz w:val="36"/>
                <w:szCs w:val="36"/>
              </w:rPr>
            </w:pPr>
            <w:r w:rsidDel="00000000" w:rsidR="00000000" w:rsidRPr="00000000">
              <w:rPr>
                <w:b w:val="1"/>
                <w:sz w:val="36"/>
                <w:szCs w:val="36"/>
                <w:rtl w:val="0"/>
              </w:rPr>
              <w:t xml:space="preserve">MEDEDELING</w:t>
            </w:r>
          </w:p>
        </w:tc>
      </w:tr>
      <w:tr>
        <w:trPr>
          <w:cantSplit w:val="0"/>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60.0" w:type="dxa"/>
              <w:left w:w="100.0" w:type="dxa"/>
              <w:bottom w:w="6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right"/>
              <w:rPr>
                <w:b w:val="1"/>
                <w:sz w:val="26"/>
                <w:szCs w:val="26"/>
              </w:rPr>
            </w:pPr>
            <w:r w:rsidDel="00000000" w:rsidR="00000000" w:rsidRPr="00000000">
              <w:rPr>
                <w:b w:val="1"/>
                <w:sz w:val="26"/>
                <w:szCs w:val="26"/>
                <w:rtl w:val="0"/>
              </w:rPr>
              <w:t xml:space="preserve">Gericht aan: PAB- en PVB-budgethouders</w:t>
            </w:r>
          </w:p>
        </w:tc>
      </w:tr>
      <w:tr>
        <w:trPr>
          <w:cantSplit w:val="0"/>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60.0" w:type="dxa"/>
              <w:left w:w="100.0" w:type="dxa"/>
              <w:bottom w:w="6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color w:val="666666"/>
              </w:rPr>
            </w:pPr>
            <w:r w:rsidDel="00000000" w:rsidR="00000000" w:rsidRPr="00000000">
              <w:rPr>
                <w:color w:val="666666"/>
                <w:rtl w:val="0"/>
              </w:rPr>
              <w:t xml:space="preserve">27/09/2021</w:t>
            </w:r>
          </w:p>
        </w:tc>
      </w:tr>
      <w:tr>
        <w:trPr>
          <w:cantSplit w:val="0"/>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60.0" w:type="dxa"/>
              <w:left w:w="100.0" w:type="dxa"/>
              <w:bottom w:w="6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color w:val="666666"/>
              </w:rPr>
            </w:pPr>
            <w:r w:rsidDel="00000000" w:rsidR="00000000" w:rsidRPr="00000000">
              <w:rPr>
                <w:color w:val="666666"/>
                <w:rtl w:val="0"/>
              </w:rPr>
              <w:t xml:space="preserve">VAPH/21/30</w:t>
            </w:r>
          </w:p>
        </w:tc>
      </w:tr>
      <w:tr>
        <w:trPr>
          <w:cantSplit w:val="0"/>
          <w:tblHeader w:val="0"/>
        </w:trPr>
        <w:tc>
          <w:tcPr>
            <w:shd w:fill="auto" w:val="clear"/>
            <w:tcMar>
              <w:top w:w="20.0" w:type="dxa"/>
              <w:left w:w="100.0" w:type="dxa"/>
              <w:bottom w:w="20.0" w:type="dxa"/>
              <w:right w:w="100.0" w:type="dxa"/>
            </w:tcMar>
          </w:tcPr>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jc w:val="right"/>
              <w:rPr>
                <w:b w:val="1"/>
                <w:sz w:val="20"/>
                <w:szCs w:val="20"/>
              </w:rPr>
            </w:pPr>
            <w:r w:rsidDel="00000000" w:rsidR="00000000" w:rsidRPr="00000000">
              <w:rPr>
                <w:b w:val="1"/>
                <w:sz w:val="20"/>
                <w:szCs w:val="20"/>
                <w:rtl w:val="0"/>
              </w:rPr>
              <w:t xml:space="preserve">Contactpersoon</w:t>
            </w:r>
          </w:p>
        </w:tc>
        <w:tc>
          <w:tcPr>
            <w:shd w:fill="auto" w:val="clear"/>
            <w:tcMar>
              <w:top w:w="20.0" w:type="dxa"/>
              <w:left w:w="100.0" w:type="dxa"/>
              <w:bottom w:w="20.0" w:type="dxa"/>
              <w:right w:w="100.0" w:type="dxa"/>
            </w:tcMar>
            <w:vAlign w:val="bottom"/>
          </w:tcPr>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team Budgetbesteding</w:t>
            </w:r>
          </w:p>
        </w:tc>
      </w:tr>
      <w:tr>
        <w:trPr>
          <w:cantSplit w:val="0"/>
          <w:tblHeader w:val="0"/>
        </w:trPr>
        <w:tc>
          <w:tcPr>
            <w:shd w:fill="auto" w:val="clear"/>
            <w:tcMar>
              <w:top w:w="20.0" w:type="dxa"/>
              <w:left w:w="100.0" w:type="dxa"/>
              <w:bottom w:w="20.0" w:type="dxa"/>
              <w:right w:w="100.0" w:type="dxa"/>
            </w:tcMar>
          </w:tcPr>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jc w:val="right"/>
              <w:rPr>
                <w:b w:val="1"/>
                <w:sz w:val="20"/>
                <w:szCs w:val="20"/>
              </w:rPr>
            </w:pPr>
            <w:r w:rsidDel="00000000" w:rsidR="00000000" w:rsidRPr="00000000">
              <w:rPr>
                <w:b w:val="1"/>
                <w:sz w:val="20"/>
                <w:szCs w:val="20"/>
                <w:rtl w:val="0"/>
              </w:rPr>
              <w:t xml:space="preserve">E-mail</w:t>
            </w:r>
          </w:p>
        </w:tc>
        <w:tc>
          <w:tcPr>
            <w:shd w:fill="auto" w:val="clear"/>
            <w:tcMar>
              <w:top w:w="20.0" w:type="dxa"/>
              <w:left w:w="100.0" w:type="dxa"/>
              <w:bottom w:w="20.0" w:type="dxa"/>
              <w:right w:w="100.0" w:type="dxa"/>
            </w:tcMar>
            <w:vAlign w:val="bottom"/>
          </w:tcPr>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budgetbesteding@vaph.be</w:t>
            </w:r>
          </w:p>
        </w:tc>
      </w:tr>
      <w:tr>
        <w:trPr>
          <w:cantSplit w:val="0"/>
          <w:tblHeader w:val="0"/>
        </w:trPr>
        <w:tc>
          <w:tcPr>
            <w:shd w:fill="auto" w:val="clear"/>
            <w:tcMar>
              <w:top w:w="20.0" w:type="dxa"/>
              <w:left w:w="100.0" w:type="dxa"/>
              <w:bottom w:w="20.0" w:type="dxa"/>
              <w:right w:w="100.0" w:type="dxa"/>
            </w:tcMar>
          </w:tcPr>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jc w:val="right"/>
              <w:rPr>
                <w:b w:val="1"/>
                <w:sz w:val="20"/>
                <w:szCs w:val="20"/>
              </w:rPr>
            </w:pPr>
            <w:r w:rsidDel="00000000" w:rsidR="00000000" w:rsidRPr="00000000">
              <w:rPr>
                <w:b w:val="1"/>
                <w:sz w:val="20"/>
                <w:szCs w:val="20"/>
                <w:rtl w:val="0"/>
              </w:rPr>
              <w:t xml:space="preserve">Telefoon</w:t>
            </w:r>
          </w:p>
        </w:tc>
        <w:tc>
          <w:tcPr>
            <w:shd w:fill="auto" w:val="clear"/>
            <w:tcMar>
              <w:top w:w="20.0" w:type="dxa"/>
              <w:left w:w="100.0" w:type="dxa"/>
              <w:bottom w:w="20.0" w:type="dxa"/>
              <w:right w:w="100.0" w:type="dxa"/>
            </w:tcMar>
            <w:vAlign w:val="bottom"/>
          </w:tcPr>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02 249 30 00</w:t>
            </w:r>
          </w:p>
        </w:tc>
      </w:tr>
      <w:tr>
        <w:trPr>
          <w:cantSplit w:val="0"/>
          <w:tblHeader w:val="0"/>
        </w:trPr>
        <w:tc>
          <w:tcPr>
            <w:shd w:fill="auto" w:val="clear"/>
            <w:tcMar>
              <w:top w:w="20.0" w:type="dxa"/>
              <w:left w:w="100.0" w:type="dxa"/>
              <w:bottom w:w="20.0" w:type="dxa"/>
              <w:right w:w="100.0" w:type="dxa"/>
            </w:tcMar>
          </w:tcPr>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jc w:val="right"/>
              <w:rPr>
                <w:b w:val="1"/>
                <w:sz w:val="20"/>
                <w:szCs w:val="20"/>
              </w:rPr>
            </w:pPr>
            <w:r w:rsidDel="00000000" w:rsidR="00000000" w:rsidRPr="00000000">
              <w:rPr>
                <w:b w:val="1"/>
                <w:sz w:val="20"/>
                <w:szCs w:val="20"/>
                <w:rtl w:val="0"/>
              </w:rPr>
              <w:t xml:space="preserve">Bijlagen</w:t>
            </w:r>
          </w:p>
        </w:tc>
        <w:tc>
          <w:tcPr>
            <w:shd w:fill="auto" w:val="clear"/>
            <w:tcMar>
              <w:top w:w="20.0" w:type="dxa"/>
              <w:left w:w="100.0" w:type="dxa"/>
              <w:bottom w:w="20.0" w:type="dxa"/>
              <w:right w:w="100.0" w:type="dxa"/>
            </w:tcMar>
            <w:vAlign w:val="bottom"/>
          </w:tcPr>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w:t>
            </w:r>
          </w:p>
        </w:tc>
      </w:tr>
      <w:tr>
        <w:trPr>
          <w:cantSplit w:val="0"/>
          <w:tblHeader w:val="0"/>
        </w:trPr>
        <w:tc>
          <w:tcPr>
            <w:gridSpan w:val="2"/>
            <w:shd w:fill="auto" w:val="clear"/>
            <w:tcMar>
              <w:top w:w="60.0" w:type="dxa"/>
              <w:left w:w="100.0" w:type="dxa"/>
              <w:bottom w:w="60.0" w:type="dxa"/>
              <w:right w:w="100.0" w:type="dxa"/>
            </w:tcMar>
            <w:vAlign w:val="top"/>
          </w:tcPr>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 </w:t>
            </w:r>
          </w:p>
        </w:tc>
      </w:tr>
      <w:tr>
        <w:trPr>
          <w:cantSplit w:val="0"/>
          <w:tblHeader w:val="0"/>
        </w:trPr>
        <w:tc>
          <w:tcPr>
            <w:gridSpan w:val="2"/>
            <w:shd w:fill="auto" w:val="clear"/>
            <w:tcMar>
              <w:top w:w="60.0" w:type="dxa"/>
              <w:left w:w="100.0" w:type="dxa"/>
              <w:bottom w:w="60.0" w:type="dxa"/>
              <w:right w:w="100.0" w:type="dxa"/>
            </w:tcMar>
            <w:vAlign w:val="top"/>
          </w:tcPr>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rPr>
                <w:sz w:val="34"/>
                <w:szCs w:val="34"/>
              </w:rPr>
            </w:pPr>
            <w:r w:rsidDel="00000000" w:rsidR="00000000" w:rsidRPr="00000000">
              <w:rPr>
                <w:sz w:val="34"/>
                <w:szCs w:val="34"/>
                <w:rtl w:val="0"/>
              </w:rPr>
              <w:t xml:space="preserve">Update Richtlijnen PAB en Bestedingsregels PVB</w:t>
            </w:r>
            <w:r w:rsidDel="00000000" w:rsidR="00000000" w:rsidRPr="00000000">
              <w:rPr>
                <w:rtl w:val="0"/>
              </w:rPr>
            </w:r>
          </w:p>
        </w:tc>
      </w:tr>
      <w:tr>
        <w:trPr>
          <w:cantSplit w:val="0"/>
          <w:tblHeader w:val="0"/>
        </w:trPr>
        <w:tc>
          <w:tcPr>
            <w:gridSpan w:val="2"/>
            <w:shd w:fill="auto" w:val="clear"/>
            <w:tcMar>
              <w:top w:w="60.0" w:type="dxa"/>
              <w:left w:w="100.0" w:type="dxa"/>
              <w:bottom w:w="60.0" w:type="dxa"/>
              <w:right w:w="100.0" w:type="dxa"/>
            </w:tcMar>
            <w:vAlign w:val="top"/>
          </w:tcPr>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 </w:t>
            </w:r>
          </w:p>
        </w:tc>
      </w:tr>
      <w:tr>
        <w:trPr>
          <w:cantSplit w:val="0"/>
          <w:tblHeader w:val="0"/>
        </w:trPr>
        <w:tc>
          <w:tcPr>
            <w:gridSpan w:val="2"/>
            <w:shd w:fill="auto" w:val="clear"/>
            <w:tcMar>
              <w:top w:w="60.0" w:type="dxa"/>
              <w:left w:w="100.0" w:type="dxa"/>
              <w:bottom w:w="60.0" w:type="dxa"/>
              <w:right w:w="100.0" w:type="dxa"/>
            </w:tcMar>
            <w:vAlign w:val="top"/>
          </w:tcPr>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rtl w:val="0"/>
              </w:rPr>
            </w:r>
          </w:p>
        </w:tc>
      </w:tr>
    </w:tbl>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t xml:space="preserve">Afgelopen week werden updates gepubliceerd van de beschikbare handleidingen voor het besteden van uw persoonlijke-assistentiebudget (PAB) of persoonsvolgend budget (PVB). In deze mededeling geven we een kort overzicht van de belangrijkste aanpassingen. </w:t>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spacing w:line="360" w:lineRule="auto"/>
        <w:rPr/>
      </w:pPr>
      <w:r w:rsidDel="00000000" w:rsidR="00000000" w:rsidRPr="00000000">
        <w:rPr>
          <w:rtl w:val="0"/>
        </w:rPr>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spacing w:line="360" w:lineRule="auto"/>
        <w:rPr>
          <w:b w:val="1"/>
        </w:rPr>
      </w:pPr>
      <w:r w:rsidDel="00000000" w:rsidR="00000000" w:rsidRPr="00000000">
        <w:rPr>
          <w:b w:val="1"/>
          <w:rtl w:val="0"/>
        </w:rPr>
        <w:t xml:space="preserve">Wat werd er aangepast?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b w:val="1"/>
          <w:rtl w:val="0"/>
        </w:rPr>
        <w:t xml:space="preserve">PAB: </w:t>
      </w:r>
      <w:r w:rsidDel="00000000" w:rsidR="00000000" w:rsidRPr="00000000">
        <w:rPr>
          <w:rtl w:val="0"/>
        </w:rPr>
        <w:t xml:space="preserve">https://www.vaph.be/documenten/richtlijnen-voor-de-pab-budgethouders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u w:val="none"/>
        </w:rPr>
      </w:pPr>
      <w:r w:rsidDel="00000000" w:rsidR="00000000" w:rsidRPr="00000000">
        <w:rPr>
          <w:b w:val="1"/>
          <w:rtl w:val="0"/>
        </w:rPr>
        <w:t xml:space="preserve">Gratis bijstand (p. 7)</w:t>
      </w:r>
      <w:r w:rsidDel="00000000" w:rsidR="00000000" w:rsidRPr="00000000">
        <w:rPr>
          <w:rtl w:val="0"/>
        </w:rPr>
        <w:t xml:space="preserve">:</w:t>
      </w:r>
      <w:r w:rsidDel="00000000" w:rsidR="00000000" w:rsidRPr="00000000">
        <w:rPr>
          <w:rtl w:val="0"/>
        </w:rPr>
        <w:t xml:space="preserve"> Nieuwe budgethouders PAB en PVB met een toekenning of terbeschikkingstelling vanaf 1 mei 2021 kunnen een beroep doen op gratis lidmaatschap en gratis bijstand gedurende het eerste jaar bij een bijstandsorganisatie naar keuze. </w:t>
        <w:br w:type="textWrapping"/>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pPr>
      <w:r w:rsidDel="00000000" w:rsidR="00000000" w:rsidRPr="00000000">
        <w:rPr>
          <w:rtl w:val="0"/>
        </w:rPr>
        <w:t xml:space="preserve">Gratis bijstand heeft als doel om het PVB of het PAB tijdig, correct en gericht op te starten conform de PAB-richtlijnen. </w:t>
        <w:br w:type="textWrapping"/>
        <w:br w:type="textWrapping"/>
        <w:t xml:space="preserve">Onder nieuwe budgethouders wordt verstaan budgethouders die voor het eerst een PAB toegekend krijgen of voor het eerst een PVB ter beschikking gesteld krijgen zonder dat ze vooraf een PAB of een PVB hadden. Er wordt geen rekening gehouden met een eerdere terbeschikkingstelling van een tijdelijk PVB noodsituatie. Om een beroep te kunnen doen op de gratis bijstand moet een budgethouder zich binnen het jaar na de toekenning van het PAB of de terbeschikkingstelling van het PVB aansluiten bij een bijstandsorganisatie. </w:t>
        <w:br w:type="textWrapping"/>
      </w:r>
    </w:p>
    <w:p w:rsidR="00000000" w:rsidDel="00000000" w:rsidP="00000000" w:rsidRDefault="00000000" w:rsidRPr="00000000" w14:paraId="0000002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u w:val="none"/>
        </w:rPr>
      </w:pPr>
      <w:r w:rsidDel="00000000" w:rsidR="00000000" w:rsidRPr="00000000">
        <w:rPr>
          <w:b w:val="1"/>
          <w:rtl w:val="0"/>
        </w:rPr>
        <w:t xml:space="preserve">Verklaring verdeling rollen budgethouder en assistent (p. 8): </w:t>
      </w:r>
      <w:r w:rsidDel="00000000" w:rsidR="00000000" w:rsidRPr="00000000">
        <w:rPr>
          <w:rtl w:val="0"/>
        </w:rPr>
        <w:t xml:space="preserve">Bij de opstart van een PAB in een tweeoudergezin werd vroeger gevraagd om een verklaring te bezorgen rond de verdeling van de rollen als budgethouder en als assistent (p. 8).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pPr>
      <w:r w:rsidDel="00000000" w:rsidR="00000000" w:rsidRPr="00000000">
        <w:rPr>
          <w:rtl w:val="0"/>
        </w:rPr>
        <w:t xml:space="preserve">Het is nu niet langer noodzakelijk om deze die op te sturen. Via andere formulieren (zoals het formulier ‘starten met cash’) is het immers al duidelijk wie de rol van budgethouder zal opnemen. </w:t>
        <w:br w:type="textWrapping"/>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u w:val="none"/>
        </w:rPr>
      </w:pPr>
      <w:r w:rsidDel="00000000" w:rsidR="00000000" w:rsidRPr="00000000">
        <w:rPr>
          <w:b w:val="1"/>
          <w:rtl w:val="0"/>
        </w:rPr>
        <w:t xml:space="preserve">Kortdurende ondersteuning met uw PAB (p. 12 &amp; 14): </w:t>
      </w:r>
      <w:r w:rsidDel="00000000" w:rsidR="00000000" w:rsidRPr="00000000">
        <w:rPr>
          <w:rtl w:val="0"/>
        </w:rPr>
        <w:tab/>
        <w:t xml:space="preserve">Met het PAB kunt u ook kortdurende ondersteuning kopen. Het gaat dan om: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u w:val="none"/>
        </w:rPr>
      </w:pPr>
      <w:r w:rsidDel="00000000" w:rsidR="00000000" w:rsidRPr="00000000">
        <w:rPr>
          <w:rtl w:val="0"/>
        </w:rPr>
        <w:t xml:space="preserve">kortdurend verblijf in een multifunctioneel centrum</w:t>
      </w:r>
    </w:p>
    <w:p w:rsidR="00000000" w:rsidDel="00000000" w:rsidP="00000000" w:rsidRDefault="00000000" w:rsidRPr="00000000" w14:paraId="0000002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u w:val="none"/>
        </w:rPr>
      </w:pPr>
      <w:r w:rsidDel="00000000" w:rsidR="00000000" w:rsidRPr="00000000">
        <w:rPr>
          <w:rtl w:val="0"/>
        </w:rPr>
        <w:t xml:space="preserve">kortdurende dag- of woonondersteuning bij een vergunde zorgaanbieder</w:t>
      </w:r>
    </w:p>
    <w:p w:rsidR="00000000" w:rsidDel="00000000" w:rsidP="00000000" w:rsidRDefault="00000000" w:rsidRPr="00000000" w14:paraId="0000002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u w:val="none"/>
        </w:rPr>
      </w:pPr>
      <w:r w:rsidDel="00000000" w:rsidR="00000000" w:rsidRPr="00000000">
        <w:rPr>
          <w:rtl w:val="0"/>
        </w:rPr>
        <w:t xml:space="preserve">kortdurende dagondersteuning in een geregistreerd groenezorginitiatief</w:t>
      </w:r>
    </w:p>
    <w:p w:rsidR="00000000" w:rsidDel="00000000" w:rsidP="00000000" w:rsidRDefault="00000000" w:rsidRPr="00000000" w14:paraId="0000002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u w:val="none"/>
        </w:rPr>
      </w:pPr>
      <w:r w:rsidDel="00000000" w:rsidR="00000000" w:rsidRPr="00000000">
        <w:rPr>
          <w:rtl w:val="0"/>
        </w:rPr>
        <w:t xml:space="preserve">kortdurende dagondersteuning of kortdurend verblijf in een ouderinitiatief</w:t>
      </w:r>
    </w:p>
    <w:p w:rsidR="00000000" w:rsidDel="00000000" w:rsidP="00000000" w:rsidRDefault="00000000" w:rsidRPr="00000000" w14:paraId="0000002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u w:val="none"/>
        </w:rPr>
      </w:pPr>
      <w:r w:rsidDel="00000000" w:rsidR="00000000" w:rsidRPr="00000000">
        <w:rPr>
          <w:rtl w:val="0"/>
        </w:rPr>
        <w:t xml:space="preserve">kortdurende mobiele en/of ambulante begeleiding bij een vergunde zorgaanbieder (met inbegrip van multifunctioneel centrum)</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pPr>
      <w:r w:rsidDel="00000000" w:rsidR="00000000" w:rsidRPr="00000000">
        <w:rPr>
          <w:rtl w:val="0"/>
        </w:rPr>
        <w:t xml:space="preserve">Die ondersteuning registreert u en geeft u door aan het VAPH via een gewone overeenkomst. Dat blijft van kracht. </w:t>
        <w:br w:type="textWrapping"/>
        <w:br w:type="textWrapping"/>
        <w:t xml:space="preserve">Het is echter </w:t>
      </w:r>
      <w:r w:rsidDel="00000000" w:rsidR="00000000" w:rsidRPr="00000000">
        <w:rPr>
          <w:rtl w:val="0"/>
        </w:rPr>
        <w:t xml:space="preserve">niet</w:t>
      </w:r>
      <w:r w:rsidDel="00000000" w:rsidR="00000000" w:rsidRPr="00000000">
        <w:rPr>
          <w:rtl w:val="0"/>
        </w:rPr>
        <w:t xml:space="preserve"> langer noodzakelijk om daarnaast ook het formulier ‘Overeenkomst voor kortdurende dag- en woonondersteuning - Bijlage bij een overeenkomst registreren voor de besteding van uw PAB' in te vullen en op te sturen. Dat formulier wordt geschrapt.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u w:val="none"/>
        </w:rPr>
      </w:pPr>
      <w:r w:rsidDel="00000000" w:rsidR="00000000" w:rsidRPr="00000000">
        <w:rPr>
          <w:b w:val="1"/>
          <w:rtl w:val="0"/>
        </w:rPr>
        <w:t xml:space="preserve">Verduidelijking VIA 4-middelen (p. 18):</w:t>
      </w:r>
      <w:r w:rsidDel="00000000" w:rsidR="00000000" w:rsidRPr="00000000">
        <w:rPr>
          <w:rtl w:val="0"/>
        </w:rPr>
        <w:t xml:space="preserve"> </w:t>
      </w:r>
      <w:r w:rsidDel="00000000" w:rsidR="00000000" w:rsidRPr="00000000">
        <w:rPr>
          <w:rtl w:val="0"/>
        </w:rPr>
        <w:t xml:space="preserve">enkel arbeidsovereenkomsten geven aanleiding tot het ontvangen van VIA 4-middelen. Vanaf 2022 zullen dus ook takenovereenkomsten géén aanleiding meer geven tot uitbetaling van VIA 4-middelen.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u w:val="none"/>
        </w:rPr>
      </w:pPr>
      <w:r w:rsidDel="00000000" w:rsidR="00000000" w:rsidRPr="00000000">
        <w:rPr>
          <w:b w:val="1"/>
          <w:rtl w:val="0"/>
        </w:rPr>
        <w:t xml:space="preserve">Verduidelijking laattijdige kosten (p. 21):</w:t>
      </w:r>
      <w:r w:rsidDel="00000000" w:rsidR="00000000" w:rsidRPr="00000000">
        <w:rPr>
          <w:rtl w:val="0"/>
        </w:rPr>
        <w:t xml:space="preserve"> </w:t>
      </w:r>
      <w:r w:rsidDel="00000000" w:rsidR="00000000" w:rsidRPr="00000000">
        <w:rPr>
          <w:rtl w:val="0"/>
        </w:rPr>
        <w:t xml:space="preserve">Kosten kunnen ingediend worden tot 1 april in het jaar volgend op de prestatie. In zeer uitzonderlijke gevallen kunnen kosten nog later aanvaard worden. De toegestane argumentaties worden opgelijst in de richtlijnen. </w:t>
      </w:r>
      <w:r w:rsidDel="00000000" w:rsidR="00000000" w:rsidRPr="00000000">
        <w:rPr>
          <w:rtl w:val="0"/>
        </w:rPr>
      </w:r>
    </w:p>
    <w:p w:rsidR="00000000" w:rsidDel="00000000" w:rsidP="00000000" w:rsidRDefault="00000000" w:rsidRPr="00000000" w14:paraId="00000034">
      <w:pPr>
        <w:rPr>
          <w:rFonts w:ascii="Arial" w:cs="Arial" w:eastAsia="Arial" w:hAnsi="Arial"/>
          <w:b w:val="1"/>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b w:val="1"/>
          <w:rtl w:val="0"/>
        </w:rPr>
        <w:t xml:space="preserve">PVB: </w:t>
      </w:r>
      <w:r w:rsidDel="00000000" w:rsidR="00000000" w:rsidRPr="00000000">
        <w:rPr>
          <w:rtl w:val="0"/>
        </w:rPr>
        <w:t xml:space="preserve">https://www.vaph.be/documenten/bestedingsregels-persoonsvolgend-budget</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u w:val="none"/>
        </w:rPr>
      </w:pPr>
      <w:r w:rsidDel="00000000" w:rsidR="00000000" w:rsidRPr="00000000">
        <w:rPr>
          <w:b w:val="1"/>
          <w:rtl w:val="0"/>
        </w:rPr>
        <w:t xml:space="preserve">Gratis bijstand (p. 14): </w:t>
      </w:r>
      <w:r w:rsidDel="00000000" w:rsidR="00000000" w:rsidRPr="00000000">
        <w:rPr>
          <w:rtl w:val="0"/>
        </w:rPr>
        <w:t xml:space="preserve">Nieuwe budgethouders PAB en PVB met een toekenning of terbeschikkingstelling vanaf 1 mei 2021 kunnen een beroep doen op gratis lidmaatschap en gratis bijstand gedurende het eerste jaar bij een bijstandsorganisatie naar keuze. </w:t>
        <w:br w:type="textWrapping"/>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pPr>
      <w:r w:rsidDel="00000000" w:rsidR="00000000" w:rsidRPr="00000000">
        <w:rPr>
          <w:rtl w:val="0"/>
        </w:rPr>
        <w:t xml:space="preserve">Gratis bijstand heeft als doel om het PVB of het PAB tijdig, correct en gericht op te starten conform de bestedingsregels PVB.</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720"/>
        <w:jc w:val="left"/>
        <w:rPr/>
      </w:pPr>
      <w:r w:rsidDel="00000000" w:rsidR="00000000" w:rsidRPr="00000000">
        <w:rPr>
          <w:rtl w:val="0"/>
        </w:rPr>
        <w:br w:type="textWrapping"/>
        <w:t xml:space="preserve">Onder nieuwe budgethouders wordt verstaan budgethouders die voor het eerst een PAB toegekend krijgen of voor het eerst een PVB ter beschikking gesteld krijgen zonder dat ze voorafgaand een PAB of PVB haddend. Er wordt geen rekening gehouden met een eerdere terbeschikkingstelling van een tijdelijk PVB noodsituatie. Om een beroep te kunnen doen op de gratis bijstand moet een budgethouder zich binnen het jaar na de toekenning van het PAB of de terbeschikkingstelling van het PVB aansluiten bij een bijstandsorganisatie.</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u w:val="none"/>
        </w:rPr>
      </w:pPr>
      <w:r w:rsidDel="00000000" w:rsidR="00000000" w:rsidRPr="00000000">
        <w:rPr>
          <w:b w:val="1"/>
          <w:rtl w:val="0"/>
        </w:rPr>
        <w:t xml:space="preserve">Verduidelijking laattijdige kosten (p. 13): </w:t>
      </w:r>
      <w:r w:rsidDel="00000000" w:rsidR="00000000" w:rsidRPr="00000000">
        <w:rPr>
          <w:rtl w:val="0"/>
        </w:rPr>
        <w:t xml:space="preserve">Kosten kunnen ingediend worden tot 1 april in het jaar volgend op de prestatie. In zeer uitzonderlijke gevallen kunnen kosten nog aanvaard worden na die datum. De toegestane argumentaties worden opgelijst in de bestedingsregels. </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sectPr>
      <w:headerReference r:id="rId6" w:type="default"/>
      <w:headerReference r:id="rId7" w:type="first"/>
      <w:footerReference r:id="rId8" w:type="first"/>
      <w:pgSz w:h="16838" w:w="11906" w:orient="portrait"/>
      <w:pgMar w:bottom="1870.8661417322835" w:top="1133.8582677165355" w:left="1870.8661417322835" w:right="1133.8582677165355"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1364840" cy="566738"/>
          <wp:effectExtent b="0" l="0" r="0" t="0"/>
          <wp:docPr descr="logo_vlaanderen-is-welzijn_word_300dpi.png" id="2" name="image1.png"/>
          <a:graphic>
            <a:graphicData uri="http://schemas.openxmlformats.org/drawingml/2006/picture">
              <pic:pic>
                <pic:nvPicPr>
                  <pic:cNvPr descr="logo_vlaanderen-is-welzijn_word_300dpi.png" id="0" name="image1.png"/>
                  <pic:cNvPicPr preferRelativeResize="0"/>
                </pic:nvPicPr>
                <pic:blipFill>
                  <a:blip r:embed="rId1"/>
                  <a:srcRect b="0" l="0" r="0" t="0"/>
                  <a:stretch>
                    <a:fillRect/>
                  </a:stretch>
                </pic:blipFill>
                <pic:spPr>
                  <a:xfrm>
                    <a:off x="0" y="0"/>
                    <a:ext cx="1364840" cy="566738"/>
                  </a:xfrm>
                  <a:prstGeom prst="rect"/>
                  <a:ln/>
                </pic:spPr>
              </pic:pic>
            </a:graphicData>
          </a:graphic>
        </wp:inline>
      </w:drawing>
    </w:r>
    <w:r w:rsidDel="00000000" w:rsidR="00000000" w:rsidRPr="00000000">
      <w:rPr>
        <w:rtl w:val="0"/>
      </w:rPr>
      <w:tab/>
      <w:tab/>
      <w:tab/>
      <w:tab/>
      <w:tab/>
      <w:tab/>
      <w:tab/>
      <w:t xml:space="preserve">Pagina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van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z w:val="54"/>
        <w:szCs w:val="54"/>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1405278" cy="642938"/>
          <wp:effectExtent b="0" l="0" r="0" t="0"/>
          <wp:docPr descr="logo_vaph_word_300dpi.png" id="1" name="image2.png"/>
          <a:graphic>
            <a:graphicData uri="http://schemas.openxmlformats.org/drawingml/2006/picture">
              <pic:pic>
                <pic:nvPicPr>
                  <pic:cNvPr descr="logo_vaph_word_300dpi.png" id="0" name="image2.png"/>
                  <pic:cNvPicPr preferRelativeResize="0"/>
                </pic:nvPicPr>
                <pic:blipFill>
                  <a:blip r:embed="rId1"/>
                  <a:srcRect b="0" l="0" r="0" t="0"/>
                  <a:stretch>
                    <a:fillRect/>
                  </a:stretch>
                </pic:blipFill>
                <pic:spPr>
                  <a:xfrm>
                    <a:off x="0" y="0"/>
                    <a:ext cx="1405278" cy="6429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b w:val="1"/>
      <w:sz w:val="38"/>
      <w:szCs w:val="38"/>
    </w:rPr>
  </w:style>
  <w:style w:type="paragraph" w:styleId="Heading2">
    <w:name w:val="heading 2"/>
    <w:basedOn w:val="Normal"/>
    <w:next w:val="Normal"/>
    <w:pPr>
      <w:keepNext w:val="1"/>
      <w:keepLines w:val="1"/>
      <w:pageBreakBefore w:val="0"/>
    </w:pPr>
    <w:rPr>
      <w:b w:val="1"/>
      <w:sz w:val="34"/>
      <w:szCs w:val="34"/>
    </w:rPr>
  </w:style>
  <w:style w:type="paragraph" w:styleId="Heading3">
    <w:name w:val="heading 3"/>
    <w:basedOn w:val="Normal"/>
    <w:next w:val="Normal"/>
    <w:pPr>
      <w:keepNext w:val="1"/>
      <w:keepLines w:val="1"/>
      <w:pageBreakBefore w:val="0"/>
    </w:pPr>
    <w:rPr>
      <w:b w:val="1"/>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pPr>
    <w:rPr>
      <w:rFonts w:ascii="Calibri" w:cs="Calibri" w:eastAsia="Calibri" w:hAnsi="Calibri"/>
      <w:color w:val="9d1a53"/>
      <w:sz w:val="52"/>
      <w:szCs w:val="52"/>
    </w:rPr>
  </w:style>
  <w:style w:type="paragraph" w:styleId="Subtitle">
    <w:name w:val="Subtitle"/>
    <w:basedOn w:val="Normal"/>
    <w:next w:val="Normal"/>
    <w:pPr>
      <w:keepNext w:val="1"/>
      <w:keepLines w:val="1"/>
      <w:pageBreakBefore w:val="0"/>
    </w:pPr>
    <w:rPr>
      <w:color w:val="9d1a53"/>
      <w:sz w:val="28"/>
      <w:szCs w:val="2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