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EF" w:rsidRDefault="00373DEF">
      <w:pPr>
        <w:widowControl w:val="0"/>
        <w:pBdr>
          <w:top w:val="nil"/>
          <w:left w:val="nil"/>
          <w:bottom w:val="nil"/>
          <w:right w:val="nil"/>
          <w:between w:val="nil"/>
        </w:pBdr>
        <w:spacing w:after="0" w:line="276" w:lineRule="auto"/>
        <w:rPr>
          <w:rFonts w:ascii="Arial" w:eastAsia="Arial" w:hAnsi="Arial" w:cs="Arial"/>
          <w:i/>
        </w:rPr>
      </w:pPr>
    </w:p>
    <w:p w:rsidR="00373DEF" w:rsidRDefault="00373DEF">
      <w:pPr>
        <w:widowControl w:val="0"/>
        <w:pBdr>
          <w:top w:val="nil"/>
          <w:left w:val="nil"/>
          <w:bottom w:val="nil"/>
          <w:right w:val="nil"/>
          <w:between w:val="nil"/>
        </w:pBdr>
        <w:spacing w:after="0" w:line="276" w:lineRule="auto"/>
        <w:rPr>
          <w:rFonts w:ascii="Arial" w:eastAsia="Arial" w:hAnsi="Arial" w:cs="Arial"/>
        </w:rPr>
      </w:pPr>
    </w:p>
    <w:tbl>
      <w:tblPr>
        <w:tblStyle w:val="a"/>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373DEF" w:rsidTr="00373DEF">
        <w:trPr>
          <w:trHeight w:val="260"/>
        </w:trPr>
        <w:tc>
          <w:tcPr>
            <w:tcW w:w="2676" w:type="dxa"/>
            <w:vMerge w:val="restart"/>
          </w:tcPr>
          <w:p w:rsidR="00373DEF" w:rsidRDefault="00A74C0F">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373DEF" w:rsidRDefault="00A74C0F">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373DEF" w:rsidRDefault="00A74C0F">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373DEF" w:rsidTr="00373DEF">
        <w:trPr>
          <w:trHeight w:val="260"/>
        </w:trPr>
        <w:tc>
          <w:tcPr>
            <w:tcW w:w="2676" w:type="dxa"/>
            <w:vMerge/>
          </w:tcPr>
          <w:p w:rsidR="00373DEF" w:rsidRDefault="00373DEF">
            <w:pPr>
              <w:widowControl w:val="0"/>
              <w:pBdr>
                <w:top w:val="nil"/>
                <w:left w:val="nil"/>
                <w:bottom w:val="nil"/>
                <w:right w:val="nil"/>
                <w:between w:val="nil"/>
              </w:pBdr>
              <w:spacing w:after="0" w:line="276" w:lineRule="auto"/>
              <w:rPr>
                <w:b/>
                <w:smallCaps/>
                <w:color w:val="373737"/>
                <w:sz w:val="36"/>
                <w:szCs w:val="36"/>
              </w:rPr>
            </w:pPr>
          </w:p>
        </w:tc>
        <w:tc>
          <w:tcPr>
            <w:tcW w:w="6365" w:type="dxa"/>
          </w:tcPr>
          <w:p w:rsidR="00373DEF" w:rsidRDefault="00A74C0F">
            <w:pPr>
              <w:pBdr>
                <w:top w:val="nil"/>
                <w:left w:val="nil"/>
                <w:bottom w:val="nil"/>
                <w:right w:val="nil"/>
                <w:between w:val="nil"/>
              </w:pBdr>
              <w:jc w:val="right"/>
              <w:rPr>
                <w:b/>
                <w:color w:val="373737"/>
                <w:sz w:val="26"/>
                <w:szCs w:val="26"/>
              </w:rPr>
            </w:pPr>
            <w:r>
              <w:rPr>
                <w:b/>
                <w:color w:val="373737"/>
                <w:sz w:val="26"/>
                <w:szCs w:val="26"/>
              </w:rPr>
              <w:t>Gericht aan: PAB- en PVB-budgethouders</w:t>
            </w:r>
          </w:p>
        </w:tc>
      </w:tr>
      <w:tr w:rsidR="00373DEF" w:rsidTr="00373DEF">
        <w:trPr>
          <w:trHeight w:val="260"/>
        </w:trPr>
        <w:tc>
          <w:tcPr>
            <w:tcW w:w="2676" w:type="dxa"/>
            <w:vMerge/>
          </w:tcPr>
          <w:p w:rsidR="00373DEF" w:rsidRDefault="00373DEF">
            <w:pPr>
              <w:widowControl w:val="0"/>
              <w:pBdr>
                <w:top w:val="nil"/>
                <w:left w:val="nil"/>
                <w:bottom w:val="nil"/>
                <w:right w:val="nil"/>
                <w:between w:val="nil"/>
              </w:pBdr>
              <w:spacing w:after="0" w:line="276" w:lineRule="auto"/>
              <w:rPr>
                <w:b/>
                <w:color w:val="373737"/>
                <w:sz w:val="26"/>
                <w:szCs w:val="26"/>
              </w:rPr>
            </w:pPr>
          </w:p>
        </w:tc>
        <w:tc>
          <w:tcPr>
            <w:tcW w:w="6365" w:type="dxa"/>
          </w:tcPr>
          <w:p w:rsidR="00373DEF" w:rsidRDefault="00A74C0F">
            <w:pPr>
              <w:pBdr>
                <w:top w:val="nil"/>
                <w:left w:val="nil"/>
                <w:bottom w:val="nil"/>
                <w:right w:val="nil"/>
                <w:between w:val="nil"/>
              </w:pBdr>
              <w:spacing w:after="0"/>
              <w:jc w:val="right"/>
              <w:rPr>
                <w:color w:val="808080"/>
              </w:rPr>
            </w:pPr>
            <w:r>
              <w:rPr>
                <w:color w:val="808080"/>
              </w:rPr>
              <w:t>3 februari 2021</w:t>
            </w:r>
          </w:p>
        </w:tc>
      </w:tr>
      <w:tr w:rsidR="00373DEF" w:rsidTr="00373DEF">
        <w:trPr>
          <w:trHeight w:val="260"/>
        </w:trPr>
        <w:tc>
          <w:tcPr>
            <w:tcW w:w="2676" w:type="dxa"/>
            <w:vMerge/>
          </w:tcPr>
          <w:p w:rsidR="00373DEF" w:rsidRDefault="00373DEF">
            <w:pPr>
              <w:widowControl w:val="0"/>
              <w:pBdr>
                <w:top w:val="nil"/>
                <w:left w:val="nil"/>
                <w:bottom w:val="nil"/>
                <w:right w:val="nil"/>
                <w:between w:val="nil"/>
              </w:pBdr>
              <w:spacing w:after="0" w:line="276" w:lineRule="auto"/>
              <w:rPr>
                <w:color w:val="808080"/>
              </w:rPr>
            </w:pPr>
          </w:p>
        </w:tc>
        <w:tc>
          <w:tcPr>
            <w:tcW w:w="6365" w:type="dxa"/>
          </w:tcPr>
          <w:p w:rsidR="00373DEF" w:rsidRDefault="00A74C0F">
            <w:pPr>
              <w:pBdr>
                <w:top w:val="nil"/>
                <w:left w:val="nil"/>
                <w:bottom w:val="nil"/>
                <w:right w:val="nil"/>
                <w:between w:val="nil"/>
              </w:pBdr>
              <w:spacing w:after="0"/>
              <w:jc w:val="right"/>
              <w:rPr>
                <w:color w:val="808080"/>
              </w:rPr>
            </w:pPr>
            <w:r>
              <w:rPr>
                <w:color w:val="808080"/>
              </w:rPr>
              <w:t>PAB/PVB/21/8</w:t>
            </w:r>
          </w:p>
        </w:tc>
      </w:tr>
      <w:tr w:rsidR="00373DEF" w:rsidTr="00373DEF">
        <w:trPr>
          <w:trHeight w:val="260"/>
        </w:trPr>
        <w:tc>
          <w:tcPr>
            <w:tcW w:w="2676" w:type="dxa"/>
            <w:vMerge/>
          </w:tcPr>
          <w:p w:rsidR="00373DEF" w:rsidRDefault="00373DEF">
            <w:pPr>
              <w:widowControl w:val="0"/>
              <w:pBdr>
                <w:top w:val="nil"/>
                <w:left w:val="nil"/>
                <w:bottom w:val="nil"/>
                <w:right w:val="nil"/>
                <w:between w:val="nil"/>
              </w:pBdr>
              <w:spacing w:after="0" w:line="276" w:lineRule="auto"/>
              <w:rPr>
                <w:color w:val="808080"/>
                <w:highlight w:val="yellow"/>
              </w:rPr>
            </w:pPr>
          </w:p>
        </w:tc>
        <w:tc>
          <w:tcPr>
            <w:tcW w:w="6365" w:type="dxa"/>
          </w:tcPr>
          <w:p w:rsidR="00373DEF" w:rsidRDefault="00373DEF">
            <w:pPr>
              <w:jc w:val="right"/>
            </w:pPr>
          </w:p>
        </w:tc>
      </w:tr>
      <w:tr w:rsidR="00373DEF" w:rsidTr="00373DEF">
        <w:trPr>
          <w:trHeight w:val="280"/>
        </w:trPr>
        <w:tc>
          <w:tcPr>
            <w:tcW w:w="2676" w:type="dxa"/>
            <w:tcMar>
              <w:top w:w="28" w:type="dxa"/>
              <w:bottom w:w="28" w:type="dxa"/>
            </w:tcMar>
            <w:vAlign w:val="bottom"/>
          </w:tcPr>
          <w:p w:rsidR="00373DEF" w:rsidRDefault="00A74C0F">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373DEF" w:rsidRDefault="00A74C0F">
            <w:pPr>
              <w:pBdr>
                <w:top w:val="nil"/>
                <w:left w:val="nil"/>
                <w:bottom w:val="nil"/>
                <w:right w:val="nil"/>
                <w:between w:val="nil"/>
              </w:pBdr>
              <w:spacing w:after="0"/>
              <w:rPr>
                <w:color w:val="808080"/>
                <w:sz w:val="20"/>
                <w:szCs w:val="20"/>
              </w:rPr>
            </w:pPr>
            <w:r>
              <w:rPr>
                <w:color w:val="808080"/>
                <w:sz w:val="20"/>
                <w:szCs w:val="20"/>
              </w:rPr>
              <w:t>Team Budgetbesteding</w:t>
            </w:r>
          </w:p>
        </w:tc>
      </w:tr>
      <w:tr w:rsidR="00373DEF" w:rsidTr="00373DEF">
        <w:trPr>
          <w:trHeight w:val="280"/>
        </w:trPr>
        <w:tc>
          <w:tcPr>
            <w:tcW w:w="2676" w:type="dxa"/>
            <w:tcMar>
              <w:top w:w="28" w:type="dxa"/>
              <w:bottom w:w="28" w:type="dxa"/>
            </w:tcMar>
            <w:vAlign w:val="bottom"/>
          </w:tcPr>
          <w:p w:rsidR="00373DEF" w:rsidRDefault="00A74C0F">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365" w:type="dxa"/>
            <w:tcMar>
              <w:top w:w="28" w:type="dxa"/>
              <w:bottom w:w="28" w:type="dxa"/>
            </w:tcMar>
            <w:vAlign w:val="bottom"/>
          </w:tcPr>
          <w:p w:rsidR="00373DEF" w:rsidRDefault="00A74C0F">
            <w:pPr>
              <w:pBdr>
                <w:top w:val="nil"/>
                <w:left w:val="nil"/>
                <w:bottom w:val="nil"/>
                <w:right w:val="nil"/>
                <w:between w:val="nil"/>
              </w:pBdr>
              <w:spacing w:after="0"/>
              <w:rPr>
                <w:color w:val="808080"/>
                <w:sz w:val="20"/>
                <w:szCs w:val="20"/>
              </w:rPr>
            </w:pPr>
            <w:r>
              <w:rPr>
                <w:color w:val="808080"/>
                <w:sz w:val="20"/>
                <w:szCs w:val="20"/>
              </w:rPr>
              <w:t>budgetbesteding@vaph.be</w:t>
            </w:r>
          </w:p>
        </w:tc>
      </w:tr>
      <w:tr w:rsidR="00373DEF" w:rsidTr="00373DEF">
        <w:trPr>
          <w:trHeight w:val="280"/>
        </w:trPr>
        <w:tc>
          <w:tcPr>
            <w:tcW w:w="2676" w:type="dxa"/>
            <w:tcMar>
              <w:top w:w="28" w:type="dxa"/>
              <w:bottom w:w="28" w:type="dxa"/>
            </w:tcMar>
            <w:vAlign w:val="bottom"/>
          </w:tcPr>
          <w:p w:rsidR="00373DEF" w:rsidRDefault="00A74C0F">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365" w:type="dxa"/>
            <w:tcMar>
              <w:top w:w="28" w:type="dxa"/>
              <w:bottom w:w="28" w:type="dxa"/>
            </w:tcMar>
            <w:vAlign w:val="bottom"/>
          </w:tcPr>
          <w:p w:rsidR="00373DEF" w:rsidRDefault="00A74C0F">
            <w:pPr>
              <w:pBdr>
                <w:top w:val="nil"/>
                <w:left w:val="nil"/>
                <w:bottom w:val="nil"/>
                <w:right w:val="nil"/>
                <w:between w:val="nil"/>
              </w:pBdr>
              <w:spacing w:after="0"/>
              <w:rPr>
                <w:color w:val="808080"/>
                <w:sz w:val="20"/>
                <w:szCs w:val="20"/>
              </w:rPr>
            </w:pPr>
            <w:r>
              <w:rPr>
                <w:color w:val="808080"/>
                <w:sz w:val="20"/>
                <w:szCs w:val="20"/>
              </w:rPr>
              <w:t>02 249 30 00</w:t>
            </w:r>
          </w:p>
        </w:tc>
      </w:tr>
      <w:tr w:rsidR="00373DEF" w:rsidTr="00373DEF">
        <w:trPr>
          <w:trHeight w:val="280"/>
        </w:trPr>
        <w:tc>
          <w:tcPr>
            <w:tcW w:w="2676" w:type="dxa"/>
            <w:tcMar>
              <w:top w:w="28" w:type="dxa"/>
              <w:bottom w:w="28" w:type="dxa"/>
            </w:tcMar>
            <w:vAlign w:val="bottom"/>
          </w:tcPr>
          <w:p w:rsidR="00373DEF" w:rsidRDefault="00A74C0F">
            <w:pPr>
              <w:pBdr>
                <w:top w:val="nil"/>
                <w:left w:val="nil"/>
                <w:bottom w:val="nil"/>
                <w:right w:val="nil"/>
                <w:between w:val="nil"/>
              </w:pBdr>
              <w:spacing w:after="0"/>
              <w:jc w:val="right"/>
              <w:rPr>
                <w:b/>
                <w:color w:val="373737"/>
                <w:sz w:val="20"/>
                <w:szCs w:val="20"/>
              </w:rPr>
            </w:pPr>
            <w:r>
              <w:rPr>
                <w:b/>
                <w:color w:val="373737"/>
                <w:sz w:val="20"/>
                <w:szCs w:val="20"/>
              </w:rPr>
              <w:t>Bijlagen</w:t>
            </w:r>
          </w:p>
        </w:tc>
        <w:tc>
          <w:tcPr>
            <w:tcW w:w="6365" w:type="dxa"/>
            <w:tcMar>
              <w:top w:w="28" w:type="dxa"/>
              <w:bottom w:w="28" w:type="dxa"/>
            </w:tcMar>
            <w:vAlign w:val="bottom"/>
          </w:tcPr>
          <w:p w:rsidR="00373DEF" w:rsidRDefault="00A74C0F">
            <w:pPr>
              <w:pBdr>
                <w:top w:val="nil"/>
                <w:left w:val="nil"/>
                <w:bottom w:val="nil"/>
                <w:right w:val="nil"/>
                <w:between w:val="nil"/>
              </w:pBdr>
              <w:spacing w:after="0"/>
              <w:rPr>
                <w:color w:val="808080"/>
                <w:sz w:val="20"/>
                <w:szCs w:val="20"/>
              </w:rPr>
            </w:pPr>
            <w:r>
              <w:rPr>
                <w:color w:val="808080"/>
                <w:sz w:val="20"/>
                <w:szCs w:val="20"/>
              </w:rPr>
              <w:t>0</w:t>
            </w:r>
          </w:p>
        </w:tc>
      </w:tr>
      <w:tr w:rsidR="00373DEF" w:rsidTr="00373DEF">
        <w:trPr>
          <w:trHeight w:val="340"/>
        </w:trPr>
        <w:tc>
          <w:tcPr>
            <w:tcW w:w="9041" w:type="dxa"/>
            <w:gridSpan w:val="2"/>
          </w:tcPr>
          <w:p w:rsidR="00373DEF" w:rsidRDefault="00373DEF">
            <w:pPr>
              <w:pBdr>
                <w:top w:val="nil"/>
                <w:left w:val="nil"/>
                <w:bottom w:val="nil"/>
                <w:right w:val="nil"/>
                <w:between w:val="nil"/>
              </w:pBdr>
              <w:rPr>
                <w:rFonts w:ascii="Times New Roman" w:eastAsia="Times New Roman" w:hAnsi="Times New Roman" w:cs="Times New Roman"/>
                <w:sz w:val="20"/>
                <w:szCs w:val="20"/>
              </w:rPr>
            </w:pPr>
          </w:p>
        </w:tc>
      </w:tr>
      <w:tr w:rsidR="00373DEF">
        <w:tc>
          <w:tcPr>
            <w:tcW w:w="9041" w:type="dxa"/>
            <w:gridSpan w:val="2"/>
          </w:tcPr>
          <w:p w:rsidR="00373DEF" w:rsidRDefault="00A74C0F">
            <w:pPr>
              <w:pStyle w:val="Titel"/>
              <w:spacing w:after="120"/>
            </w:pPr>
            <w:bookmarkStart w:id="0" w:name="_xaq9reysgk8y" w:colFirst="0" w:colLast="0"/>
            <w:bookmarkEnd w:id="0"/>
            <w:r>
              <w:t>Eindejaarspremie 2019 voor persoonlijke assistenten en individuele begeleiders</w:t>
            </w:r>
          </w:p>
        </w:tc>
      </w:tr>
      <w:tr w:rsidR="00373DEF">
        <w:tc>
          <w:tcPr>
            <w:tcW w:w="9041" w:type="dxa"/>
            <w:gridSpan w:val="2"/>
          </w:tcPr>
          <w:p w:rsidR="00373DEF" w:rsidRDefault="00A74C0F" w:rsidP="00036BD0">
            <w:pPr>
              <w:pBdr>
                <w:top w:val="nil"/>
                <w:left w:val="nil"/>
                <w:bottom w:val="nil"/>
                <w:right w:val="nil"/>
                <w:between w:val="nil"/>
              </w:pBdr>
              <w:spacing w:line="240" w:lineRule="atLeast"/>
              <w:rPr>
                <w:color w:val="1D1D1D"/>
              </w:rPr>
            </w:pPr>
            <w:r>
              <w:rPr>
                <w:color w:val="1D1D1D"/>
              </w:rPr>
              <w:t>Vanaf 2019 bent u als houder van een persoonlijke-assistentiebudget of persoonsvolgend budget verplicht om een eindejaarspremie te betalen aan uw p</w:t>
            </w:r>
            <w:r>
              <w:rPr>
                <w:color w:val="1D1D1D"/>
              </w:rPr>
              <w:t xml:space="preserve">ersoonlijke </w:t>
            </w:r>
            <w:r>
              <w:rPr>
                <w:color w:val="1D1D1D"/>
              </w:rPr>
              <w:t>assistenten en ind</w:t>
            </w:r>
            <w:r>
              <w:rPr>
                <w:color w:val="1D1D1D"/>
              </w:rPr>
              <w:t xml:space="preserve">ividuele </w:t>
            </w:r>
            <w:r>
              <w:rPr>
                <w:color w:val="1D1D1D"/>
              </w:rPr>
              <w:t>begeleiders die via een arbeidsovereenkomst tewerkgesteld zijn. Dat is bepaald in het 5e Vlaamse intersectorale akkoord (VIA5-akkoord) van 8 juni 2</w:t>
            </w:r>
            <w:r>
              <w:rPr>
                <w:color w:val="1D1D1D"/>
              </w:rPr>
              <w:t>018</w:t>
            </w:r>
            <w:r>
              <w:rPr>
                <w:color w:val="1D1D1D"/>
              </w:rPr>
              <w:t>. De verplichte eindejaarspremie geldt enkel voor arbeidsovereenkomsten, niet v</w:t>
            </w:r>
            <w:r w:rsidR="00036BD0">
              <w:rPr>
                <w:color w:val="1D1D1D"/>
              </w:rPr>
              <w:t>oor takenovereenkomsten</w:t>
            </w:r>
            <w:r>
              <w:rPr>
                <w:color w:val="1D1D1D"/>
              </w:rPr>
              <w:t>.</w:t>
            </w:r>
          </w:p>
          <w:p w:rsidR="00373DEF" w:rsidRDefault="00A74C0F" w:rsidP="00036BD0">
            <w:pPr>
              <w:pBdr>
                <w:top w:val="nil"/>
                <w:left w:val="nil"/>
                <w:bottom w:val="nil"/>
                <w:right w:val="nil"/>
                <w:between w:val="nil"/>
              </w:pBdr>
              <w:spacing w:line="240" w:lineRule="atLeast"/>
              <w:rPr>
                <w:color w:val="1D1D1D"/>
              </w:rPr>
            </w:pPr>
            <w:r>
              <w:rPr>
                <w:color w:val="1D1D1D"/>
              </w:rPr>
              <w:t xml:space="preserve">U moet minstens de eindejaarspremie betalen die </w:t>
            </w:r>
            <w:r>
              <w:rPr>
                <w:color w:val="222222"/>
                <w:highlight w:val="white"/>
              </w:rPr>
              <w:t>is vastgelegd</w:t>
            </w:r>
            <w:r>
              <w:rPr>
                <w:color w:val="1D1D1D"/>
              </w:rPr>
              <w:t xml:space="preserve"> in de </w:t>
            </w:r>
            <w:r>
              <w:rPr>
                <w:color w:val="222222"/>
                <w:highlight w:val="white"/>
              </w:rPr>
              <w:t xml:space="preserve">collectieve arbeidsovereenkomst (cao) van 3 december 2019 inzake de toekenning van een jaarlijkse eindejaarspremie. Die cao is van toepassing op de privépersonen </w:t>
            </w:r>
            <w:r>
              <w:rPr>
                <w:color w:val="222222"/>
                <w:highlight w:val="white"/>
              </w:rPr>
              <w:t>die voor hun eigen rekening personeel tewerkstellen voor hun persoonlijke dienst of deze van hun gezin (PAB/PVB).</w:t>
            </w:r>
          </w:p>
          <w:p w:rsidR="00373DEF" w:rsidRDefault="00A74C0F" w:rsidP="00036BD0">
            <w:pPr>
              <w:pBdr>
                <w:top w:val="nil"/>
                <w:left w:val="nil"/>
                <w:bottom w:val="nil"/>
                <w:right w:val="nil"/>
                <w:between w:val="nil"/>
              </w:pBdr>
              <w:spacing w:line="240" w:lineRule="atLeast"/>
              <w:rPr>
                <w:color w:val="1D1D1D"/>
              </w:rPr>
            </w:pPr>
            <w:bookmarkStart w:id="1" w:name="_gjdgxs" w:colFirst="0" w:colLast="0"/>
            <w:bookmarkEnd w:id="1"/>
            <w:r>
              <w:rPr>
                <w:color w:val="1D1D1D"/>
              </w:rPr>
              <w:t xml:space="preserve">Voor het jaar 2019 is het bedrag van de eindejaarspremie 124 euro bruto </w:t>
            </w:r>
            <w:r>
              <w:rPr>
                <w:color w:val="1D1D1D"/>
              </w:rPr>
              <w:t>voor een voltijdse werknemer</w:t>
            </w:r>
            <w:r>
              <w:rPr>
                <w:color w:val="1D1D1D"/>
              </w:rPr>
              <w:t>, exclusief de patronale RSZ-bijdrage. Inc</w:t>
            </w:r>
            <w:r>
              <w:rPr>
                <w:color w:val="1D1D1D"/>
              </w:rPr>
              <w:t xml:space="preserve">lusief de patronale lasten bedraagt deze premie 155,40 euro bruto. </w:t>
            </w:r>
            <w:r>
              <w:rPr>
                <w:color w:val="1D1D1D"/>
              </w:rPr>
              <w:t>Om de eindejaars</w:t>
            </w:r>
            <w:r>
              <w:rPr>
                <w:color w:val="1D1D1D"/>
              </w:rPr>
              <w:t xml:space="preserve">premie voor uw assistent of begeleider te berekenen, kunt u zich richten tot uw sociaal secretariaat. </w:t>
            </w:r>
          </w:p>
          <w:p w:rsidR="00373DEF" w:rsidRDefault="00A74C0F" w:rsidP="00036BD0">
            <w:pPr>
              <w:spacing w:after="120" w:line="240" w:lineRule="atLeast"/>
              <w:rPr>
                <w:color w:val="1D1D1D"/>
              </w:rPr>
            </w:pPr>
            <w:r>
              <w:rPr>
                <w:color w:val="1D1D1D"/>
              </w:rPr>
              <w:t>Het staat u natuurlijk vrij om een hogere eindejaarspremie te betalen. De totale kost van de eindejaarspremie geeft u in als kost voor uw persoonlijke-assistentiebudget of persoonsvolgend budget.</w:t>
            </w:r>
          </w:p>
          <w:p w:rsidR="00373DEF" w:rsidRDefault="00A74C0F" w:rsidP="00036BD0">
            <w:pPr>
              <w:keepNext/>
              <w:keepLines/>
              <w:pBdr>
                <w:top w:val="nil"/>
                <w:left w:val="nil"/>
                <w:bottom w:val="nil"/>
                <w:right w:val="nil"/>
                <w:between w:val="nil"/>
              </w:pBdr>
              <w:spacing w:line="240" w:lineRule="atLeast"/>
              <w:rPr>
                <w:rFonts w:ascii="Times New Roman" w:eastAsia="Times New Roman" w:hAnsi="Times New Roman" w:cs="Times New Roman"/>
                <w:sz w:val="24"/>
                <w:szCs w:val="24"/>
              </w:rPr>
            </w:pPr>
            <w:r>
              <w:rPr>
                <w:color w:val="1D1D1D"/>
              </w:rPr>
              <w:t xml:space="preserve">Als u dat wenst, kunt u als werkgever </w:t>
            </w:r>
            <w:r>
              <w:rPr>
                <w:color w:val="1D1D1D"/>
              </w:rPr>
              <w:t>aan uw assistent of begeleider ook nog een andere premie</w:t>
            </w:r>
            <w:r w:rsidR="00036BD0">
              <w:rPr>
                <w:color w:val="1D1D1D"/>
              </w:rPr>
              <w:t xml:space="preserve"> </w:t>
            </w:r>
            <w:r>
              <w:rPr>
                <w:color w:val="1D1D1D"/>
              </w:rPr>
              <w:lastRenderedPageBreak/>
              <w:t>betalen</w:t>
            </w:r>
            <w:r>
              <w:rPr>
                <w:color w:val="1D1D1D"/>
              </w:rPr>
              <w:t xml:space="preserve">. </w:t>
            </w:r>
            <w:r>
              <w:rPr>
                <w:color w:val="1D1D1D"/>
              </w:rPr>
              <w:t xml:space="preserve">U </w:t>
            </w:r>
            <w:r>
              <w:rPr>
                <w:color w:val="1D1D1D"/>
              </w:rPr>
              <w:t xml:space="preserve">kunt </w:t>
            </w:r>
            <w:r>
              <w:rPr>
                <w:color w:val="1D1D1D"/>
              </w:rPr>
              <w:t>verschillende premies namelijk combineren. De verplichte eindejaarspremie en de andere premies mogen echter samen niet meer bedragen dan 1 overeengekomen gemiddel</w:t>
            </w:r>
            <w:r>
              <w:rPr>
                <w:color w:val="1D1D1D"/>
              </w:rPr>
              <w:t xml:space="preserve">d </w:t>
            </w:r>
            <w:r>
              <w:rPr>
                <w:color w:val="1D1D1D"/>
              </w:rPr>
              <w:t xml:space="preserve">maandloon. </w:t>
            </w:r>
          </w:p>
          <w:p w:rsidR="00373DEF" w:rsidRDefault="00A74C0F" w:rsidP="00036BD0">
            <w:pPr>
              <w:pStyle w:val="Kop1"/>
              <w:spacing w:before="240" w:line="240" w:lineRule="atLeast"/>
              <w:ind w:left="0" w:firstLine="0"/>
              <w:outlineLvl w:val="0"/>
            </w:pPr>
            <w:bookmarkStart w:id="2" w:name="_9n4em0e58t4" w:colFirst="0" w:colLast="0"/>
            <w:bookmarkEnd w:id="2"/>
            <w:r>
              <w:t>Wanneer</w:t>
            </w:r>
            <w:r>
              <w:t xml:space="preserve"> krijgt u de tegemoetkoming voor de eindejaarspremie van het VAPH?</w:t>
            </w:r>
          </w:p>
          <w:p w:rsidR="00373DEF" w:rsidRDefault="00A74C0F" w:rsidP="00036BD0">
            <w:pPr>
              <w:spacing w:after="120" w:line="240" w:lineRule="atLeast"/>
              <w:rPr>
                <w:color w:val="1D1D1D"/>
              </w:rPr>
            </w:pPr>
            <w:r>
              <w:rPr>
                <w:b/>
                <w:color w:val="1D1D1D"/>
              </w:rPr>
              <w:t>In februari 2021 zal het totaalbedrag van uw jaarbudget voor 2019 verhoogd worden.</w:t>
            </w:r>
            <w:r>
              <w:rPr>
                <w:color w:val="1D1D1D"/>
              </w:rPr>
              <w:t xml:space="preserve"> De verhoging zal in het PAB- of PVB-overzicht in het e-loket mijnvaph.be zichtbaar zijn. U kunt de budgetl</w:t>
            </w:r>
            <w:r>
              <w:rPr>
                <w:color w:val="1D1D1D"/>
              </w:rPr>
              <w:t>ijn van 2019 terugvinden in mijnvaph.be onder ‘Archief’.</w:t>
            </w:r>
          </w:p>
          <w:p w:rsidR="00036BD0" w:rsidRDefault="00A74C0F" w:rsidP="00036BD0">
            <w:pPr>
              <w:spacing w:line="240" w:lineRule="atLeast"/>
              <w:rPr>
                <w:color w:val="1D1D1D"/>
              </w:rPr>
            </w:pPr>
            <w:r>
              <w:rPr>
                <w:color w:val="1D1D1D"/>
              </w:rPr>
              <w:t xml:space="preserve">Het VAPH zal de budgetlijn van 2019 verhogen met het bedrag van de tegemoetkoming voor de eindejaarspremie die u volgens de cao van 3 december 2019 aan uw begeleider of assistent moet betalen. </w:t>
            </w:r>
          </w:p>
          <w:p w:rsidR="00373DEF" w:rsidRDefault="00A74C0F" w:rsidP="00036BD0">
            <w:pPr>
              <w:spacing w:line="240" w:lineRule="atLeast"/>
              <w:rPr>
                <w:color w:val="1D1D1D"/>
              </w:rPr>
            </w:pPr>
            <w:r>
              <w:rPr>
                <w:noProof/>
                <w:color w:val="1D1D1D"/>
              </w:rPr>
              <w:drawing>
                <wp:inline distT="114300" distB="114300" distL="114300" distR="114300" wp14:anchorId="014BB3CA" wp14:editId="503CF0DF">
                  <wp:extent cx="5600700" cy="1270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00700" cy="1270000"/>
                          </a:xfrm>
                          <a:prstGeom prst="rect">
                            <a:avLst/>
                          </a:prstGeom>
                          <a:ln/>
                        </pic:spPr>
                      </pic:pic>
                    </a:graphicData>
                  </a:graphic>
                </wp:inline>
              </w:drawing>
            </w:r>
          </w:p>
          <w:p w:rsidR="00373DEF" w:rsidRDefault="00A74C0F" w:rsidP="00036BD0">
            <w:pPr>
              <w:spacing w:line="240" w:lineRule="atLeast"/>
              <w:rPr>
                <w:color w:val="1D1D1D"/>
              </w:rPr>
            </w:pPr>
            <w:r>
              <w:rPr>
                <w:color w:val="1D1D1D"/>
              </w:rPr>
              <w:t>De v</w:t>
            </w:r>
            <w:r>
              <w:rPr>
                <w:color w:val="1D1D1D"/>
              </w:rPr>
              <w:t>erhoging van het jaarbudget voor 2020 als tegemoetkoming voor de eindejaarspremie van 2020 is momenteel nog niet gebeurd. Dat wordt gepland als alle tewerkstellingsgegevens uit 2020 gekend zijn bij het VAPH. Zodra er meer duidelijkheid is over de eindejaar</w:t>
            </w:r>
            <w:r>
              <w:rPr>
                <w:color w:val="1D1D1D"/>
              </w:rPr>
              <w:t>spremie voor 2020, zal het VAPH daarover communiceren.</w:t>
            </w:r>
          </w:p>
          <w:p w:rsidR="00373DEF" w:rsidRDefault="00A74C0F" w:rsidP="00036BD0">
            <w:pPr>
              <w:pStyle w:val="Kop1"/>
              <w:pBdr>
                <w:top w:val="nil"/>
                <w:left w:val="nil"/>
                <w:bottom w:val="nil"/>
                <w:right w:val="nil"/>
                <w:between w:val="nil"/>
              </w:pBdr>
              <w:spacing w:before="240" w:line="240" w:lineRule="atLeast"/>
              <w:ind w:left="0" w:firstLine="0"/>
              <w:outlineLvl w:val="0"/>
            </w:pPr>
            <w:bookmarkStart w:id="3" w:name="_lj59c6k4h7by" w:colFirst="0" w:colLast="0"/>
            <w:bookmarkEnd w:id="3"/>
            <w:r>
              <w:t>Hoe registreert u de eindejaarspremie als kost PAB of PVB?</w:t>
            </w:r>
          </w:p>
          <w:p w:rsidR="00373DEF" w:rsidRDefault="00A74C0F" w:rsidP="00036BD0">
            <w:pPr>
              <w:spacing w:after="120" w:line="240" w:lineRule="atLeast"/>
              <w:rPr>
                <w:color w:val="1D1D1D"/>
              </w:rPr>
            </w:pPr>
            <w:r>
              <w:rPr>
                <w:color w:val="1D1D1D"/>
              </w:rPr>
              <w:t>U moet vanaf 2019 een eindejaarspremie betalen. U kunt dit nu pas in orde brengen, maar u moet de kosten voor de eindejaarspremie van 2019 wel</w:t>
            </w:r>
            <w:r>
              <w:rPr>
                <w:color w:val="1D1D1D"/>
              </w:rPr>
              <w:t xml:space="preserve"> nog indienen op de budgetlijn van 2019. U registreert de kosten voor de uitbetaling van een eindejaarspremie onder de arbeidsovereenkomst van uw persoonlijke assistent of individuele begeleider.</w:t>
            </w:r>
          </w:p>
          <w:p w:rsidR="00373DEF" w:rsidRDefault="00A74C0F" w:rsidP="00036BD0">
            <w:pPr>
              <w:spacing w:after="120" w:line="240" w:lineRule="atLeast"/>
              <w:rPr>
                <w:color w:val="1D1D1D"/>
              </w:rPr>
            </w:pPr>
            <w:r>
              <w:rPr>
                <w:color w:val="1D1D1D"/>
              </w:rPr>
              <w:t xml:space="preserve">U registreert de verplichte eindejaarspremie onder het type </w:t>
            </w:r>
            <w:r>
              <w:rPr>
                <w:color w:val="1D1D1D"/>
              </w:rPr>
              <w:t>kost ‘eindejaarspremie’ bij de overeenkomst met een individuele begeleider of student. U gebruikt als referentie ‘verplichte eindejaarspremie’.</w:t>
            </w:r>
          </w:p>
          <w:p w:rsidR="00373DEF" w:rsidRDefault="00A74C0F" w:rsidP="00036BD0">
            <w:pPr>
              <w:spacing w:after="120" w:line="240" w:lineRule="atLeast"/>
              <w:rPr>
                <w:color w:val="1D1D1D"/>
              </w:rPr>
            </w:pPr>
            <w:r>
              <w:rPr>
                <w:b/>
                <w:color w:val="1D1D1D"/>
              </w:rPr>
              <w:t>Let op:</w:t>
            </w:r>
            <w:r>
              <w:rPr>
                <w:color w:val="1D1D1D"/>
              </w:rPr>
              <w:t xml:space="preserve"> Er zal een reden gevraagd worden voor de laattijdige registratie van deze kost. U duidt als reden: ‘ande</w:t>
            </w:r>
            <w:r>
              <w:rPr>
                <w:color w:val="1D1D1D"/>
              </w:rPr>
              <w:t xml:space="preserve">re’ aan en noteert daarbij als reden ‘verplichte eindejaarspremie’. </w:t>
            </w:r>
          </w:p>
          <w:p w:rsidR="00373DEF" w:rsidRDefault="00A74C0F" w:rsidP="00036BD0">
            <w:pPr>
              <w:pStyle w:val="Kop1"/>
              <w:pBdr>
                <w:top w:val="nil"/>
                <w:left w:val="nil"/>
                <w:bottom w:val="nil"/>
                <w:right w:val="nil"/>
                <w:between w:val="nil"/>
              </w:pBdr>
              <w:spacing w:before="240" w:line="240" w:lineRule="atLeast"/>
              <w:ind w:left="0" w:firstLine="0"/>
              <w:outlineLvl w:val="0"/>
            </w:pPr>
            <w:bookmarkStart w:id="4" w:name="_hc0gwvcc0ne0" w:colFirst="0" w:colLast="0"/>
            <w:bookmarkEnd w:id="4"/>
            <w:r>
              <w:t>Moet u nog iets doorgeven aan uw sociaal secretariaat in verband met de verplichte eindejaarspremie?</w:t>
            </w:r>
          </w:p>
          <w:p w:rsidR="00373DEF" w:rsidRDefault="00A74C0F" w:rsidP="00036BD0">
            <w:pPr>
              <w:spacing w:line="240" w:lineRule="atLeast"/>
              <w:rPr>
                <w:color w:val="1D1D1D"/>
              </w:rPr>
            </w:pPr>
            <w:r>
              <w:rPr>
                <w:color w:val="1D1D1D"/>
              </w:rPr>
              <w:t xml:space="preserve">Er is een bijkomende aangifte nodig van de VIA-deelcode 209 waaronder de begeleider of assistent tewerkgesteld is. Die code moet, voor iedere werknemer die u via een </w:t>
            </w:r>
            <w:r>
              <w:rPr>
                <w:color w:val="1D1D1D"/>
              </w:rPr>
              <w:lastRenderedPageBreak/>
              <w:t xml:space="preserve">arbeidsovereenkomst in dienst hebt, ingevuld worden in de DMFA (multifunctionele aangifte </w:t>
            </w:r>
            <w:r>
              <w:rPr>
                <w:color w:val="1D1D1D"/>
              </w:rPr>
              <w:t>of vroegere RSZ-kwartaalaangifte).</w:t>
            </w:r>
          </w:p>
          <w:p w:rsidR="00373DEF" w:rsidRDefault="00A74C0F" w:rsidP="00036BD0">
            <w:pPr>
              <w:spacing w:line="240" w:lineRule="atLeast"/>
              <w:rPr>
                <w:color w:val="1D1D1D"/>
              </w:rPr>
            </w:pPr>
            <w:r>
              <w:rPr>
                <w:color w:val="1D1D1D"/>
              </w:rPr>
              <w:t>Als u samenwerkt met een sociaal secretariaat, zal het sociaal secretariaat dat voor u in orde brengen.</w:t>
            </w:r>
          </w:p>
          <w:p w:rsidR="00373DEF" w:rsidRDefault="00A74C0F" w:rsidP="00036BD0">
            <w:pPr>
              <w:spacing w:line="240" w:lineRule="atLeast"/>
            </w:pPr>
            <w:r>
              <w:rPr>
                <w:b/>
                <w:color w:val="1D1D1D"/>
              </w:rPr>
              <w:t>Let op:</w:t>
            </w:r>
            <w:r>
              <w:rPr>
                <w:color w:val="1D1D1D"/>
              </w:rPr>
              <w:t xml:space="preserve"> Het is belangrijk dat de VIA-deelcode correct ingevuld wordt. Die mag enkel worden doorgegeven in het geval v</w:t>
            </w:r>
            <w:r>
              <w:rPr>
                <w:color w:val="1D1D1D"/>
              </w:rPr>
              <w:t xml:space="preserve">an een arbeidsovereenkomst. Voor meer informatie kunt u terecht bij uw sociaal secretariaat of op de </w:t>
            </w:r>
            <w:hyperlink r:id="rId8">
              <w:r>
                <w:rPr>
                  <w:color w:val="23789C"/>
                  <w:u w:val="single"/>
                </w:rPr>
                <w:t>website van de Rijksdienst voor Sociale Zekerheid</w:t>
              </w:r>
            </w:hyperlink>
            <w:r>
              <w:rPr>
                <w:rFonts w:ascii="Arial" w:eastAsia="Arial" w:hAnsi="Arial" w:cs="Arial"/>
                <w:color w:val="1D1D1D"/>
                <w:sz w:val="24"/>
                <w:szCs w:val="24"/>
              </w:rPr>
              <w:t>.</w:t>
            </w:r>
          </w:p>
          <w:p w:rsidR="00373DEF" w:rsidRDefault="00A74C0F" w:rsidP="00036BD0">
            <w:pPr>
              <w:pStyle w:val="Kop1"/>
              <w:spacing w:after="120" w:line="240" w:lineRule="atLeast"/>
              <w:outlineLvl w:val="0"/>
              <w:rPr>
                <w:color w:val="1D1D1D"/>
              </w:rPr>
            </w:pPr>
            <w:bookmarkStart w:id="5" w:name="_n0q2mbpen3rt" w:colFirst="0" w:colLast="0"/>
            <w:bookmarkEnd w:id="5"/>
            <w:r>
              <w:t>Hebt u nog vragen?</w:t>
            </w:r>
          </w:p>
        </w:tc>
      </w:tr>
      <w:tr w:rsidR="00373DEF" w:rsidTr="00373DEF">
        <w:trPr>
          <w:trHeight w:val="340"/>
        </w:trPr>
        <w:tc>
          <w:tcPr>
            <w:tcW w:w="9041" w:type="dxa"/>
            <w:gridSpan w:val="2"/>
          </w:tcPr>
          <w:p w:rsidR="00373DEF" w:rsidRDefault="00A74C0F">
            <w:pPr>
              <w:rPr>
                <w:sz w:val="24"/>
                <w:szCs w:val="24"/>
              </w:rPr>
            </w:pPr>
            <w:r>
              <w:lastRenderedPageBreak/>
              <w:t>Het team Budgetbesteding van het VAPH is telefonisch bereikbaar op het nummer 02 249 30 00, van 8.30 tot 12.00 uur en van 13.00 tot 17.00 uur (op vrijdag en tijdens de maanden juli en augustus tot 16.00 uur). Aarzel niet</w:t>
            </w:r>
            <w:bookmarkStart w:id="6" w:name="_GoBack"/>
            <w:bookmarkEnd w:id="6"/>
            <w:r>
              <w:t xml:space="preserve"> om contact op te nemen als u vragen</w:t>
            </w:r>
            <w:r>
              <w:t xml:space="preserve"> hebt. U kunt het team Budgetbesteding ook bereiken via budgetbesteding@vaph.be.</w:t>
            </w:r>
          </w:p>
        </w:tc>
      </w:tr>
    </w:tbl>
    <w:p w:rsidR="00373DEF" w:rsidRDefault="00373DEF"/>
    <w:sectPr w:rsidR="00373DEF">
      <w:footerReference w:type="default" r:id="rId9"/>
      <w:headerReference w:type="first" r:id="rId10"/>
      <w:footerReference w:type="first" r:id="rId11"/>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0F" w:rsidRDefault="00A74C0F">
      <w:pPr>
        <w:spacing w:after="0"/>
      </w:pPr>
      <w:r>
        <w:separator/>
      </w:r>
    </w:p>
  </w:endnote>
  <w:endnote w:type="continuationSeparator" w:id="0">
    <w:p w:rsidR="00A74C0F" w:rsidRDefault="00A74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EF" w:rsidRDefault="00A74C0F">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036BD0">
      <w:rPr>
        <w:color w:val="000000"/>
        <w:sz w:val="20"/>
        <w:szCs w:val="20"/>
      </w:rPr>
      <w:fldChar w:fldCharType="separate"/>
    </w:r>
    <w:r w:rsidR="00D900DD">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036BD0">
      <w:rPr>
        <w:color w:val="000000"/>
        <w:sz w:val="20"/>
        <w:szCs w:val="20"/>
      </w:rPr>
      <w:fldChar w:fldCharType="separate"/>
    </w:r>
    <w:r w:rsidR="00D900DD">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EF" w:rsidRDefault="00A74C0F">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036BD0">
      <w:rPr>
        <w:color w:val="000000"/>
        <w:sz w:val="20"/>
        <w:szCs w:val="20"/>
      </w:rPr>
      <w:fldChar w:fldCharType="separate"/>
    </w:r>
    <w:r w:rsidR="00D900DD">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036BD0">
      <w:rPr>
        <w:color w:val="000000"/>
        <w:sz w:val="20"/>
        <w:szCs w:val="20"/>
      </w:rPr>
      <w:fldChar w:fldCharType="separate"/>
    </w:r>
    <w:r w:rsidR="00D900DD">
      <w:rPr>
        <w:noProof/>
        <w:color w:val="000000"/>
        <w:sz w:val="20"/>
        <w:szCs w:val="20"/>
      </w:rPr>
      <w:t>3</w:t>
    </w:r>
    <w:r>
      <w:rPr>
        <w:color w:val="000000"/>
        <w:sz w:val="20"/>
        <w:szCs w:val="20"/>
      </w:rPr>
      <w:fldChar w:fldCharType="end"/>
    </w:r>
    <w:r>
      <w:rPr>
        <w:noProof/>
      </w:rPr>
      <w:drawing>
        <wp:anchor distT="0" distB="0" distL="114300" distR="114300" simplePos="0" relativeHeight="251658240" behindDoc="0" locked="0" layoutInCell="1" hidden="0" allowOverlap="1" wp14:anchorId="23FCF36B" wp14:editId="3A130B5D">
          <wp:simplePos x="0" y="0"/>
          <wp:positionH relativeFrom="column">
            <wp:posOffset>3</wp:posOffset>
          </wp:positionH>
          <wp:positionV relativeFrom="paragraph">
            <wp:posOffset>0</wp:posOffset>
          </wp:positionV>
          <wp:extent cx="1270800" cy="54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0F" w:rsidRDefault="00A74C0F">
      <w:pPr>
        <w:spacing w:after="0"/>
      </w:pPr>
      <w:r>
        <w:separator/>
      </w:r>
    </w:p>
  </w:footnote>
  <w:footnote w:type="continuationSeparator" w:id="0">
    <w:p w:rsidR="00A74C0F" w:rsidRDefault="00A74C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EF" w:rsidRDefault="00A74C0F">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3DEF"/>
    <w:rsid w:val="00036BD0"/>
    <w:rsid w:val="00373DEF"/>
    <w:rsid w:val="00A74C0F"/>
    <w:rsid w:val="00D90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036BD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6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036BD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ecurity.be/employer/instructions/dmfa/nl/latest/instructions/fill_in_dmfa/dmfa_fillinrules/nssoinformation/sectordetai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4</cp:revision>
  <cp:lastPrinted>2021-02-03T12:09:00Z</cp:lastPrinted>
  <dcterms:created xsi:type="dcterms:W3CDTF">2021-02-03T12:07:00Z</dcterms:created>
  <dcterms:modified xsi:type="dcterms:W3CDTF">2021-02-03T12:11:00Z</dcterms:modified>
</cp:coreProperties>
</file>