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1A" w:rsidRDefault="0012201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12201A" w:rsidTr="0012201A">
        <w:trPr>
          <w:trHeight w:val="270"/>
        </w:trPr>
        <w:tc>
          <w:tcPr>
            <w:tcW w:w="2676" w:type="dxa"/>
            <w:vMerge w:val="restart"/>
          </w:tcPr>
          <w:p w:rsidR="0012201A" w:rsidRDefault="002F3C3D">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12201A" w:rsidRDefault="002F3C3D">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12201A" w:rsidRDefault="002F3C3D">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12201A" w:rsidTr="0012201A">
        <w:trPr>
          <w:trHeight w:val="270"/>
        </w:trPr>
        <w:tc>
          <w:tcPr>
            <w:tcW w:w="2676" w:type="dxa"/>
            <w:vMerge/>
          </w:tcPr>
          <w:p w:rsidR="0012201A" w:rsidRDefault="0012201A">
            <w:pPr>
              <w:widowControl w:val="0"/>
              <w:pBdr>
                <w:top w:val="nil"/>
                <w:left w:val="nil"/>
                <w:bottom w:val="nil"/>
                <w:right w:val="nil"/>
                <w:between w:val="nil"/>
              </w:pBdr>
              <w:spacing w:after="0" w:line="276" w:lineRule="auto"/>
              <w:rPr>
                <w:b/>
                <w:smallCaps/>
                <w:color w:val="373737"/>
                <w:sz w:val="36"/>
                <w:szCs w:val="36"/>
              </w:rPr>
            </w:pPr>
          </w:p>
        </w:tc>
        <w:tc>
          <w:tcPr>
            <w:tcW w:w="6365" w:type="dxa"/>
          </w:tcPr>
          <w:p w:rsidR="0012201A" w:rsidRDefault="002F3C3D">
            <w:pPr>
              <w:pBdr>
                <w:top w:val="nil"/>
                <w:left w:val="nil"/>
                <w:bottom w:val="nil"/>
                <w:right w:val="nil"/>
                <w:between w:val="nil"/>
              </w:pBdr>
              <w:jc w:val="right"/>
              <w:rPr>
                <w:b/>
                <w:color w:val="373737"/>
                <w:sz w:val="26"/>
                <w:szCs w:val="26"/>
              </w:rPr>
            </w:pPr>
            <w:r>
              <w:rPr>
                <w:b/>
                <w:color w:val="373737"/>
                <w:sz w:val="26"/>
                <w:szCs w:val="26"/>
              </w:rPr>
              <w:t>Gericht aan: PAB-budgethouders</w:t>
            </w:r>
          </w:p>
        </w:tc>
      </w:tr>
      <w:tr w:rsidR="0012201A" w:rsidTr="0012201A">
        <w:trPr>
          <w:trHeight w:val="270"/>
        </w:trPr>
        <w:tc>
          <w:tcPr>
            <w:tcW w:w="2676" w:type="dxa"/>
            <w:vMerge/>
          </w:tcPr>
          <w:p w:rsidR="0012201A" w:rsidRDefault="0012201A">
            <w:pPr>
              <w:widowControl w:val="0"/>
              <w:pBdr>
                <w:top w:val="nil"/>
                <w:left w:val="nil"/>
                <w:bottom w:val="nil"/>
                <w:right w:val="nil"/>
                <w:between w:val="nil"/>
              </w:pBdr>
              <w:spacing w:after="0" w:line="276" w:lineRule="auto"/>
              <w:rPr>
                <w:b/>
                <w:color w:val="373737"/>
                <w:sz w:val="26"/>
                <w:szCs w:val="26"/>
              </w:rPr>
            </w:pPr>
          </w:p>
        </w:tc>
        <w:tc>
          <w:tcPr>
            <w:tcW w:w="6365" w:type="dxa"/>
          </w:tcPr>
          <w:p w:rsidR="0012201A" w:rsidRDefault="002F3C3D">
            <w:pPr>
              <w:pBdr>
                <w:top w:val="nil"/>
                <w:left w:val="nil"/>
                <w:bottom w:val="nil"/>
                <w:right w:val="nil"/>
                <w:between w:val="nil"/>
              </w:pBdr>
              <w:spacing w:after="0"/>
              <w:jc w:val="right"/>
              <w:rPr>
                <w:color w:val="808080"/>
              </w:rPr>
            </w:pPr>
            <w:r>
              <w:rPr>
                <w:color w:val="808080"/>
              </w:rPr>
              <w:t xml:space="preserve">12 </w:t>
            </w:r>
            <w:r>
              <w:rPr>
                <w:color w:val="808080"/>
              </w:rPr>
              <w:t>maart 2021</w:t>
            </w:r>
          </w:p>
        </w:tc>
      </w:tr>
      <w:tr w:rsidR="0012201A" w:rsidTr="0012201A">
        <w:trPr>
          <w:trHeight w:val="270"/>
        </w:trPr>
        <w:tc>
          <w:tcPr>
            <w:tcW w:w="2676" w:type="dxa"/>
            <w:vMerge/>
          </w:tcPr>
          <w:p w:rsidR="0012201A" w:rsidRDefault="0012201A">
            <w:pPr>
              <w:widowControl w:val="0"/>
              <w:pBdr>
                <w:top w:val="nil"/>
                <w:left w:val="nil"/>
                <w:bottom w:val="nil"/>
                <w:right w:val="nil"/>
                <w:between w:val="nil"/>
              </w:pBdr>
              <w:spacing w:after="0" w:line="276" w:lineRule="auto"/>
              <w:rPr>
                <w:color w:val="808080"/>
              </w:rPr>
            </w:pPr>
          </w:p>
        </w:tc>
        <w:tc>
          <w:tcPr>
            <w:tcW w:w="6365" w:type="dxa"/>
          </w:tcPr>
          <w:p w:rsidR="0012201A" w:rsidRDefault="002F3C3D">
            <w:pPr>
              <w:pBdr>
                <w:top w:val="nil"/>
                <w:left w:val="nil"/>
                <w:bottom w:val="nil"/>
                <w:right w:val="nil"/>
                <w:between w:val="nil"/>
              </w:pBdr>
              <w:spacing w:after="0"/>
              <w:jc w:val="right"/>
              <w:rPr>
                <w:color w:val="808080"/>
              </w:rPr>
            </w:pPr>
            <w:r>
              <w:rPr>
                <w:color w:val="808080"/>
              </w:rPr>
              <w:t>PAB/21/</w:t>
            </w:r>
            <w:r>
              <w:rPr>
                <w:color w:val="808080"/>
              </w:rPr>
              <w:t>10</w:t>
            </w:r>
          </w:p>
        </w:tc>
      </w:tr>
      <w:tr w:rsidR="0012201A" w:rsidTr="0012201A">
        <w:trPr>
          <w:trHeight w:val="270"/>
        </w:trPr>
        <w:tc>
          <w:tcPr>
            <w:tcW w:w="2676" w:type="dxa"/>
            <w:vMerge/>
          </w:tcPr>
          <w:p w:rsidR="0012201A" w:rsidRDefault="0012201A">
            <w:pPr>
              <w:widowControl w:val="0"/>
              <w:pBdr>
                <w:top w:val="nil"/>
                <w:left w:val="nil"/>
                <w:bottom w:val="nil"/>
                <w:right w:val="nil"/>
                <w:between w:val="nil"/>
              </w:pBdr>
              <w:spacing w:after="0" w:line="276" w:lineRule="auto"/>
              <w:rPr>
                <w:color w:val="808080"/>
              </w:rPr>
            </w:pPr>
          </w:p>
        </w:tc>
        <w:tc>
          <w:tcPr>
            <w:tcW w:w="6365" w:type="dxa"/>
          </w:tcPr>
          <w:p w:rsidR="0012201A" w:rsidRDefault="0012201A">
            <w:pPr>
              <w:jc w:val="right"/>
            </w:pPr>
          </w:p>
        </w:tc>
      </w:tr>
      <w:tr w:rsidR="0012201A" w:rsidTr="0012201A">
        <w:trPr>
          <w:trHeight w:val="284"/>
        </w:trPr>
        <w:tc>
          <w:tcPr>
            <w:tcW w:w="2676" w:type="dxa"/>
            <w:tcMar>
              <w:top w:w="28" w:type="dxa"/>
              <w:bottom w:w="28" w:type="dxa"/>
            </w:tcMar>
            <w:vAlign w:val="bottom"/>
          </w:tcPr>
          <w:p w:rsidR="0012201A" w:rsidRDefault="002F3C3D">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12201A" w:rsidRDefault="002F3C3D">
            <w:pPr>
              <w:pBdr>
                <w:top w:val="nil"/>
                <w:left w:val="nil"/>
                <w:bottom w:val="nil"/>
                <w:right w:val="nil"/>
                <w:between w:val="nil"/>
              </w:pBdr>
              <w:spacing w:after="0"/>
              <w:rPr>
                <w:color w:val="808080"/>
                <w:sz w:val="20"/>
                <w:szCs w:val="20"/>
              </w:rPr>
            </w:pPr>
            <w:r>
              <w:rPr>
                <w:color w:val="808080"/>
                <w:sz w:val="20"/>
                <w:szCs w:val="20"/>
              </w:rPr>
              <w:t xml:space="preserve">Team </w:t>
            </w:r>
            <w:r>
              <w:rPr>
                <w:color w:val="808080"/>
                <w:sz w:val="20"/>
                <w:szCs w:val="20"/>
              </w:rPr>
              <w:t>B</w:t>
            </w:r>
            <w:r>
              <w:rPr>
                <w:color w:val="808080"/>
                <w:sz w:val="20"/>
                <w:szCs w:val="20"/>
              </w:rPr>
              <w:t>udgetbesteding</w:t>
            </w:r>
          </w:p>
        </w:tc>
      </w:tr>
      <w:tr w:rsidR="0012201A" w:rsidTr="0012201A">
        <w:trPr>
          <w:trHeight w:val="284"/>
        </w:trPr>
        <w:tc>
          <w:tcPr>
            <w:tcW w:w="2676" w:type="dxa"/>
            <w:tcMar>
              <w:top w:w="28" w:type="dxa"/>
              <w:bottom w:w="28" w:type="dxa"/>
            </w:tcMar>
            <w:vAlign w:val="bottom"/>
          </w:tcPr>
          <w:p w:rsidR="0012201A" w:rsidRDefault="002F3C3D">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365" w:type="dxa"/>
            <w:tcMar>
              <w:top w:w="28" w:type="dxa"/>
              <w:bottom w:w="28" w:type="dxa"/>
            </w:tcMar>
            <w:vAlign w:val="bottom"/>
          </w:tcPr>
          <w:p w:rsidR="0012201A" w:rsidRDefault="002F3C3D">
            <w:pPr>
              <w:pBdr>
                <w:top w:val="nil"/>
                <w:left w:val="nil"/>
                <w:bottom w:val="nil"/>
                <w:right w:val="nil"/>
                <w:between w:val="nil"/>
              </w:pBdr>
              <w:spacing w:after="0"/>
              <w:rPr>
                <w:color w:val="808080"/>
                <w:sz w:val="20"/>
                <w:szCs w:val="20"/>
              </w:rPr>
            </w:pPr>
            <w:r>
              <w:rPr>
                <w:color w:val="808080"/>
                <w:sz w:val="20"/>
                <w:szCs w:val="20"/>
              </w:rPr>
              <w:t>budgetbesteding@vaph.be</w:t>
            </w:r>
          </w:p>
        </w:tc>
      </w:tr>
      <w:tr w:rsidR="0012201A" w:rsidTr="0012201A">
        <w:trPr>
          <w:trHeight w:val="284"/>
        </w:trPr>
        <w:tc>
          <w:tcPr>
            <w:tcW w:w="2676" w:type="dxa"/>
            <w:tcMar>
              <w:top w:w="28" w:type="dxa"/>
              <w:bottom w:w="28" w:type="dxa"/>
            </w:tcMar>
            <w:vAlign w:val="bottom"/>
          </w:tcPr>
          <w:p w:rsidR="0012201A" w:rsidRDefault="002F3C3D">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365" w:type="dxa"/>
            <w:tcMar>
              <w:top w:w="28" w:type="dxa"/>
              <w:bottom w:w="28" w:type="dxa"/>
            </w:tcMar>
            <w:vAlign w:val="bottom"/>
          </w:tcPr>
          <w:p w:rsidR="0012201A" w:rsidRDefault="002F3C3D">
            <w:pPr>
              <w:pBdr>
                <w:top w:val="nil"/>
                <w:left w:val="nil"/>
                <w:bottom w:val="nil"/>
                <w:right w:val="nil"/>
                <w:between w:val="nil"/>
              </w:pBdr>
              <w:spacing w:after="0"/>
              <w:rPr>
                <w:color w:val="808080"/>
                <w:sz w:val="20"/>
                <w:szCs w:val="20"/>
              </w:rPr>
            </w:pPr>
            <w:r>
              <w:rPr>
                <w:color w:val="808080"/>
                <w:sz w:val="20"/>
                <w:szCs w:val="20"/>
              </w:rPr>
              <w:t>02 249 30 00</w:t>
            </w:r>
          </w:p>
        </w:tc>
      </w:tr>
      <w:tr w:rsidR="0012201A" w:rsidTr="0012201A">
        <w:trPr>
          <w:trHeight w:val="284"/>
        </w:trPr>
        <w:tc>
          <w:tcPr>
            <w:tcW w:w="2676" w:type="dxa"/>
            <w:tcMar>
              <w:top w:w="28" w:type="dxa"/>
              <w:bottom w:w="28" w:type="dxa"/>
            </w:tcMar>
            <w:vAlign w:val="bottom"/>
          </w:tcPr>
          <w:p w:rsidR="0012201A" w:rsidRDefault="0012201A">
            <w:pPr>
              <w:pBdr>
                <w:top w:val="nil"/>
                <w:left w:val="nil"/>
                <w:bottom w:val="nil"/>
                <w:right w:val="nil"/>
                <w:between w:val="nil"/>
              </w:pBdr>
              <w:spacing w:after="0"/>
              <w:jc w:val="right"/>
              <w:rPr>
                <w:b/>
                <w:color w:val="373737"/>
                <w:sz w:val="20"/>
                <w:szCs w:val="20"/>
              </w:rPr>
            </w:pPr>
          </w:p>
        </w:tc>
        <w:tc>
          <w:tcPr>
            <w:tcW w:w="6365" w:type="dxa"/>
            <w:tcMar>
              <w:top w:w="28" w:type="dxa"/>
              <w:bottom w:w="28" w:type="dxa"/>
            </w:tcMar>
            <w:vAlign w:val="bottom"/>
          </w:tcPr>
          <w:p w:rsidR="0012201A" w:rsidRDefault="0012201A">
            <w:pPr>
              <w:pBdr>
                <w:top w:val="nil"/>
                <w:left w:val="nil"/>
                <w:bottom w:val="nil"/>
                <w:right w:val="nil"/>
                <w:between w:val="nil"/>
              </w:pBdr>
              <w:spacing w:after="0"/>
              <w:rPr>
                <w:color w:val="808080"/>
                <w:sz w:val="20"/>
                <w:szCs w:val="20"/>
              </w:rPr>
            </w:pPr>
          </w:p>
        </w:tc>
      </w:tr>
      <w:tr w:rsidR="0012201A">
        <w:tc>
          <w:tcPr>
            <w:tcW w:w="9041" w:type="dxa"/>
            <w:gridSpan w:val="2"/>
          </w:tcPr>
          <w:p w:rsidR="0012201A" w:rsidRDefault="002F3C3D">
            <w:pPr>
              <w:pStyle w:val="Titel"/>
              <w:spacing w:after="0"/>
            </w:pPr>
            <w:bookmarkStart w:id="0" w:name="_t25vbvs55v2p" w:colFirst="0" w:colLast="0"/>
            <w:bookmarkEnd w:id="0"/>
            <w:r>
              <w:t>Nieuwe versie richtlijnen voor de PAB-budgethouders</w:t>
            </w:r>
          </w:p>
        </w:tc>
      </w:tr>
    </w:tbl>
    <w:p w:rsidR="0012201A" w:rsidRDefault="002F3C3D" w:rsidP="008F2F26">
      <w:pPr>
        <w:spacing w:before="120" w:after="120"/>
      </w:pPr>
      <w:r>
        <w:rPr>
          <w:color w:val="000000"/>
        </w:rPr>
        <w:t>Er werd een ni</w:t>
      </w:r>
      <w:r w:rsidR="008F2F26">
        <w:rPr>
          <w:color w:val="000000"/>
        </w:rPr>
        <w:t xml:space="preserve">euwe versie van de richtlijnen </w:t>
      </w:r>
      <w:r>
        <w:rPr>
          <w:color w:val="000000"/>
        </w:rPr>
        <w:t>gepubliceerd op 1</w:t>
      </w:r>
      <w:r>
        <w:t>2</w:t>
      </w:r>
      <w:r>
        <w:rPr>
          <w:color w:val="000000"/>
        </w:rPr>
        <w:t xml:space="preserve"> maart 2021</w:t>
      </w:r>
      <w:r w:rsidR="008F2F26">
        <w:rPr>
          <w:color w:val="000000"/>
        </w:rPr>
        <w:t>.</w:t>
      </w:r>
    </w:p>
    <w:p w:rsidR="0012201A" w:rsidRDefault="002F3C3D" w:rsidP="008F2F26">
      <w:pPr>
        <w:spacing w:before="120" w:after="120"/>
        <w:rPr>
          <w:b/>
        </w:rPr>
      </w:pPr>
      <w:r>
        <w:rPr>
          <w:b/>
          <w:color w:val="000000"/>
        </w:rPr>
        <w:t>Wat is er gewijzi</w:t>
      </w:r>
      <w:r w:rsidR="008F2F26">
        <w:rPr>
          <w:b/>
          <w:color w:val="000000"/>
        </w:rPr>
        <w:t xml:space="preserve">gd ten opzichte van de vorige </w:t>
      </w:r>
      <w:r>
        <w:rPr>
          <w:b/>
          <w:color w:val="000000"/>
        </w:rPr>
        <w:t>versie?</w:t>
      </w:r>
    </w:p>
    <w:tbl>
      <w:tblPr>
        <w:tblStyle w:val="a0"/>
        <w:tblW w:w="9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041"/>
        <w:gridCol w:w="4041"/>
      </w:tblGrid>
      <w:tr w:rsidR="008F2F26" w:rsidRPr="008F2F26" w:rsidTr="008F2F26">
        <w:trPr>
          <w:trHeight w:val="467"/>
        </w:trPr>
        <w:tc>
          <w:tcPr>
            <w:tcW w:w="959" w:type="dxa"/>
            <w:shd w:val="clear" w:color="auto" w:fill="FFFFFF"/>
            <w:tcMar>
              <w:top w:w="0" w:type="dxa"/>
              <w:left w:w="108" w:type="dxa"/>
              <w:bottom w:w="0" w:type="dxa"/>
              <w:right w:w="108" w:type="dxa"/>
            </w:tcMar>
          </w:tcPr>
          <w:p w:rsidR="0012201A" w:rsidRPr="008F2F26" w:rsidRDefault="002F3C3D">
            <w:pPr>
              <w:jc w:val="center"/>
              <w:rPr>
                <w:b/>
              </w:rPr>
            </w:pPr>
            <w:r w:rsidRPr="008F2F26">
              <w:rPr>
                <w:b/>
              </w:rPr>
              <w:t>Pagina</w:t>
            </w:r>
          </w:p>
        </w:tc>
        <w:tc>
          <w:tcPr>
            <w:tcW w:w="4041" w:type="dxa"/>
            <w:shd w:val="clear" w:color="auto" w:fill="FFFFFF"/>
            <w:tcMar>
              <w:top w:w="0" w:type="dxa"/>
              <w:left w:w="108" w:type="dxa"/>
              <w:bottom w:w="0" w:type="dxa"/>
              <w:right w:w="108" w:type="dxa"/>
            </w:tcMar>
          </w:tcPr>
          <w:p w:rsidR="0012201A" w:rsidRPr="008F2F26" w:rsidRDefault="002F3C3D">
            <w:pPr>
              <w:rPr>
                <w:b/>
              </w:rPr>
            </w:pPr>
            <w:r w:rsidRPr="008F2F26">
              <w:rPr>
                <w:b/>
              </w:rPr>
              <w:t>Hoofdstuk</w:t>
            </w:r>
          </w:p>
        </w:tc>
        <w:tc>
          <w:tcPr>
            <w:tcW w:w="4041" w:type="dxa"/>
            <w:shd w:val="clear" w:color="auto" w:fill="FFFFFF"/>
            <w:tcMar>
              <w:top w:w="0" w:type="dxa"/>
              <w:left w:w="108" w:type="dxa"/>
              <w:bottom w:w="0" w:type="dxa"/>
              <w:right w:w="108" w:type="dxa"/>
            </w:tcMar>
          </w:tcPr>
          <w:p w:rsidR="0012201A" w:rsidRPr="008F2F26" w:rsidRDefault="002F3C3D">
            <w:pPr>
              <w:rPr>
                <w:b/>
              </w:rPr>
            </w:pPr>
            <w:r w:rsidRPr="008F2F26">
              <w:rPr>
                <w:b/>
              </w:rPr>
              <w:t>Wijziging</w:t>
            </w:r>
          </w:p>
        </w:tc>
      </w:tr>
      <w:tr w:rsidR="008F2F26" w:rsidRPr="008F2F26" w:rsidTr="008F2F26">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10</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3.3.1 Een arbeidsovereenkomst met een individuele begeleider of student</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Aanvulling rond </w:t>
            </w:r>
            <w:proofErr w:type="spellStart"/>
            <w:r w:rsidRPr="008F2F26">
              <w:t>BIS-nummer</w:t>
            </w:r>
            <w:proofErr w:type="spellEnd"/>
            <w:r w:rsidRPr="008F2F26">
              <w:t xml:space="preserve"> buitenlandse begeleider - aanvulling rond ondernemingsnummer budgethouder</w:t>
            </w:r>
          </w:p>
        </w:tc>
      </w:tr>
      <w:tr w:rsidR="008F2F26" w:rsidRPr="008F2F26" w:rsidTr="008F2F26">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10</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3.3.2 </w:t>
            </w:r>
            <w:r w:rsidRPr="008F2F26">
              <w:t>E</w:t>
            </w:r>
            <w:r w:rsidRPr="008F2F26">
              <w:t>en overeenkomst met een familielid verwant tot de tweede graad of een gezinslid van de budgethouder</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Aanvulling rond ondernemingsnummer budgethouder</w:t>
            </w:r>
          </w:p>
        </w:tc>
      </w:tr>
      <w:tr w:rsidR="008F2F26" w:rsidRPr="008F2F26" w:rsidTr="008F2F26">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11</w:t>
            </w:r>
          </w:p>
        </w:tc>
        <w:tc>
          <w:tcPr>
            <w:tcW w:w="4041" w:type="dxa"/>
            <w:shd w:val="clear" w:color="auto" w:fill="FFFFFF"/>
            <w:tcMar>
              <w:top w:w="0" w:type="dxa"/>
              <w:left w:w="108" w:type="dxa"/>
              <w:bottom w:w="0" w:type="dxa"/>
              <w:right w:w="108" w:type="dxa"/>
            </w:tcMar>
          </w:tcPr>
          <w:p w:rsidR="0012201A" w:rsidRPr="008F2F26" w:rsidRDefault="002F3C3D" w:rsidP="008F2F26">
            <w:pPr>
              <w:keepLines/>
              <w:tabs>
                <w:tab w:val="left" w:pos="1005"/>
              </w:tabs>
              <w:spacing w:after="0"/>
            </w:pPr>
            <w:r w:rsidRPr="008F2F26">
              <w:t>3.3.6 E</w:t>
            </w:r>
            <w:r w:rsidRPr="008F2F26">
              <w:t>en overeenkomst voor kortdurend verblijf in een multifunctioneel centrum</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Wijziging naam bijlage f</w:t>
            </w:r>
            <w:r w:rsidRPr="008F2F26">
              <w:t>ormulier</w:t>
            </w:r>
          </w:p>
        </w:tc>
      </w:tr>
      <w:tr w:rsidR="008F2F26" w:rsidRPr="008F2F26" w:rsidTr="008F2F26">
        <w:trPr>
          <w:trHeight w:val="599"/>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12</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3.3.7 Een overeenkomst met een vergunde zorgaanbieder voor  kortdurende woon- of </w:t>
            </w:r>
            <w:proofErr w:type="spellStart"/>
            <w:r w:rsidRPr="008F2F26">
              <w:t>dagondersteuning</w:t>
            </w:r>
            <w:proofErr w:type="spellEnd"/>
            <w:r w:rsidRPr="008F2F26">
              <w:t xml:space="preserve"> (max. 92 dagen)</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Wijziging naam bijlage formulier + periode van 3 maanden gewijzigd naar 92 dagen</w:t>
            </w:r>
          </w:p>
        </w:tc>
      </w:tr>
      <w:tr w:rsidR="008F2F26" w:rsidRPr="008F2F26" w:rsidTr="008F2F26">
        <w:trPr>
          <w:trHeight w:val="617"/>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13</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3.3.12 E</w:t>
            </w:r>
            <w:r w:rsidRPr="008F2F26">
              <w:t>en overeenkomst in het kader van onbelast bijklussen</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Schrappen van mogelijk</w:t>
            </w:r>
            <w:r w:rsidR="008F2F26">
              <w:t>heid</w:t>
            </w:r>
            <w:r w:rsidRPr="008F2F26">
              <w:t xml:space="preserve"> tot bijklussen van burger tot burger</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13</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3.3.13 Een overeenkomst met een vergunde zorgaanbieder (inclusief multifunctioneel centrum)  voor mobiele en ambulante </w:t>
            </w:r>
            <w:r w:rsidR="008F2F26">
              <w:t>begeleiding</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Nieuw type overeenkomst</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lastRenderedPageBreak/>
              <w:t>14</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3.3.14 Een overeenkomst met een geregistreerd </w:t>
            </w:r>
            <w:proofErr w:type="spellStart"/>
            <w:r w:rsidRPr="008F2F26">
              <w:t>groenezorginitiatief</w:t>
            </w:r>
            <w:proofErr w:type="spellEnd"/>
            <w:r w:rsidRPr="008F2F26">
              <w:t xml:space="preserve"> voor </w:t>
            </w:r>
            <w:proofErr w:type="spellStart"/>
            <w:r w:rsidRPr="008F2F26">
              <w:t>dagondersteuning</w:t>
            </w:r>
            <w:proofErr w:type="spellEnd"/>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Nieuw type overeenkomst</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14</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3.3.15 </w:t>
            </w:r>
            <w:r w:rsidRPr="008F2F26">
              <w:t>E</w:t>
            </w:r>
            <w:r w:rsidRPr="008F2F26">
              <w:t xml:space="preserve">en overeenkomst met een geregistreerd ouderinitiatief voor </w:t>
            </w:r>
            <w:proofErr w:type="spellStart"/>
            <w:r w:rsidRPr="008F2F26">
              <w:t>dagondersteuning</w:t>
            </w:r>
            <w:proofErr w:type="spellEnd"/>
            <w:r w:rsidRPr="008F2F26">
              <w:t xml:space="preserve"> en kortdurend verblijf</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Nieu</w:t>
            </w:r>
            <w:r w:rsidRPr="008F2F26">
              <w:t>w type overeenkomst</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16</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4.3 Waar mag ik mijn PAB nog inzetten?</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bookmarkStart w:id="1" w:name="_gjdgxs" w:colFirst="0" w:colLast="0"/>
            <w:bookmarkEnd w:id="1"/>
            <w:r w:rsidRPr="008F2F26">
              <w:t>Uitbreiding met nieuwe bestedingsmogelijkheden</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23</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7.4.12 </w:t>
            </w:r>
            <w:r w:rsidRPr="008F2F26">
              <w:t>E</w:t>
            </w:r>
            <w:r w:rsidRPr="008F2F26">
              <w:t>en overeenkomst met een vergunde zorgaanbieder (inclusief multifunctioneel centrum)  voor mobiele en ambulante begeleiding.</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Uitbreidin</w:t>
            </w:r>
            <w:r w:rsidRPr="008F2F26">
              <w:t>g kosten die in aanmerking worden genomen voor de besteding van het PAB</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23</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 7.4.13 </w:t>
            </w:r>
            <w:r w:rsidRPr="008F2F26">
              <w:t>E</w:t>
            </w:r>
            <w:r w:rsidRPr="008F2F26">
              <w:t xml:space="preserve">en overeenkomst met een geregistreerd </w:t>
            </w:r>
            <w:proofErr w:type="spellStart"/>
            <w:r w:rsidRPr="008F2F26">
              <w:t>groenezorginitiatief</w:t>
            </w:r>
            <w:proofErr w:type="spellEnd"/>
            <w:r w:rsidRPr="008F2F26">
              <w:t xml:space="preserve"> voor </w:t>
            </w:r>
            <w:proofErr w:type="spellStart"/>
            <w:r w:rsidRPr="008F2F26">
              <w:t>dagondersteuning</w:t>
            </w:r>
            <w:proofErr w:type="spellEnd"/>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Uitbreiding kosten die in aanmerking worden genomen voor de besteding van het PAB</w:t>
            </w:r>
          </w:p>
        </w:tc>
      </w:tr>
      <w:tr w:rsidR="008F2F26" w:rsidRPr="008F2F26" w:rsidTr="008F2F26">
        <w:trPr>
          <w:trHeight w:val="80"/>
        </w:trPr>
        <w:tc>
          <w:tcPr>
            <w:tcW w:w="959"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23</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 xml:space="preserve">7.4.14 </w:t>
            </w:r>
            <w:r w:rsidRPr="008F2F26">
              <w:t>E</w:t>
            </w:r>
            <w:r w:rsidRPr="008F2F26">
              <w:t xml:space="preserve">en overeenkomst met een geregistreerd ouderinitiatief voor </w:t>
            </w:r>
            <w:proofErr w:type="spellStart"/>
            <w:r w:rsidRPr="008F2F26">
              <w:t>dagondersteuning</w:t>
            </w:r>
            <w:proofErr w:type="spellEnd"/>
            <w:r w:rsidRPr="008F2F26">
              <w:t xml:space="preserve"> en kortdurend verblijf</w:t>
            </w:r>
          </w:p>
        </w:tc>
        <w:tc>
          <w:tcPr>
            <w:tcW w:w="4041" w:type="dxa"/>
            <w:shd w:val="clear" w:color="auto" w:fill="FFFFFF"/>
            <w:tcMar>
              <w:top w:w="0" w:type="dxa"/>
              <w:left w:w="108" w:type="dxa"/>
              <w:bottom w:w="0" w:type="dxa"/>
              <w:right w:w="108" w:type="dxa"/>
            </w:tcMar>
          </w:tcPr>
          <w:p w:rsidR="0012201A" w:rsidRPr="008F2F26" w:rsidRDefault="002F3C3D" w:rsidP="008F2F26">
            <w:pPr>
              <w:keepLines/>
              <w:spacing w:after="0"/>
            </w:pPr>
            <w:r w:rsidRPr="008F2F26">
              <w:t>Uitbreiding kosten die in aanmerking worden genomen voor de besteding van het PAB</w:t>
            </w:r>
          </w:p>
        </w:tc>
      </w:tr>
    </w:tbl>
    <w:p w:rsidR="0012201A" w:rsidRDefault="002F3C3D">
      <w:pPr>
        <w:spacing w:before="280" w:after="0"/>
        <w:rPr>
          <w:b/>
          <w:color w:val="000000"/>
        </w:rPr>
      </w:pPr>
      <w:r>
        <w:rPr>
          <w:color w:val="000000"/>
        </w:rPr>
        <w:br/>
      </w:r>
      <w:r>
        <w:rPr>
          <w:b/>
          <w:color w:val="000000"/>
        </w:rPr>
        <w:t xml:space="preserve">Hebt u nog vragen? </w:t>
      </w:r>
    </w:p>
    <w:p w:rsidR="0012201A" w:rsidRDefault="002F3C3D">
      <w:pPr>
        <w:spacing w:before="280" w:after="0" w:line="276" w:lineRule="auto"/>
      </w:pPr>
      <w:r>
        <w:t>Het team Budgetbesteding van het VAPH is tele</w:t>
      </w:r>
      <w:r>
        <w:t>fonisch bereikbaar op het nummer 02 249 30 00, van 8.30 tot 12.00 uur en van 13.00 tot 17.00 uur (op vrijdag en tijdens de maanden juli en augustus tot 16.00 uur). Aarzel niet om contact op te nemen als u vragen hebt. U kunt het team Budgetbesteding ook be</w:t>
      </w:r>
      <w:r>
        <w:t xml:space="preserve">reiken via </w:t>
      </w:r>
      <w:hyperlink r:id="rId7" w:history="1">
        <w:r w:rsidR="008F2F26" w:rsidRPr="00A938A5">
          <w:rPr>
            <w:rStyle w:val="Hyperlink"/>
          </w:rPr>
          <w:t>budgetbesteding@vaph.be</w:t>
        </w:r>
      </w:hyperlink>
      <w:r>
        <w:t>.</w:t>
      </w:r>
      <w:r w:rsidR="008F2F26">
        <w:t xml:space="preserve"> </w:t>
      </w:r>
      <w:bookmarkStart w:id="2" w:name="_GoBack"/>
      <w:bookmarkEnd w:id="2"/>
      <w:r>
        <w:t xml:space="preserve"> </w:t>
      </w:r>
    </w:p>
    <w:p w:rsidR="0012201A" w:rsidRDefault="0012201A"/>
    <w:sectPr w:rsidR="0012201A">
      <w:footerReference w:type="default" r:id="rId8"/>
      <w:headerReference w:type="first" r:id="rId9"/>
      <w:footerReference w:type="first" r:id="rId10"/>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3D" w:rsidRDefault="002F3C3D">
      <w:pPr>
        <w:spacing w:after="0"/>
      </w:pPr>
      <w:r>
        <w:separator/>
      </w:r>
    </w:p>
  </w:endnote>
  <w:endnote w:type="continuationSeparator" w:id="0">
    <w:p w:rsidR="002F3C3D" w:rsidRDefault="002F3C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1A" w:rsidRDefault="002F3C3D">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8F2F26">
      <w:rPr>
        <w:color w:val="000000"/>
        <w:sz w:val="20"/>
        <w:szCs w:val="20"/>
      </w:rPr>
      <w:fldChar w:fldCharType="separate"/>
    </w:r>
    <w:r w:rsidR="00966661">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F2F26">
      <w:rPr>
        <w:color w:val="000000"/>
        <w:sz w:val="20"/>
        <w:szCs w:val="20"/>
      </w:rPr>
      <w:fldChar w:fldCharType="separate"/>
    </w:r>
    <w:r w:rsidR="00966661">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1A" w:rsidRDefault="002F3C3D">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8F2F26">
      <w:rPr>
        <w:color w:val="000000"/>
        <w:sz w:val="20"/>
        <w:szCs w:val="20"/>
      </w:rPr>
      <w:fldChar w:fldCharType="separate"/>
    </w:r>
    <w:r w:rsidR="00966661">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F2F26">
      <w:rPr>
        <w:color w:val="000000"/>
        <w:sz w:val="20"/>
        <w:szCs w:val="20"/>
      </w:rPr>
      <w:fldChar w:fldCharType="separate"/>
    </w:r>
    <w:r w:rsidR="00966661">
      <w:rPr>
        <w:noProof/>
        <w:color w:val="000000"/>
        <w:sz w:val="20"/>
        <w:szCs w:val="20"/>
      </w:rPr>
      <w:t>2</w:t>
    </w:r>
    <w:r>
      <w:rPr>
        <w:color w:val="000000"/>
        <w:sz w:val="20"/>
        <w:szCs w:val="20"/>
      </w:rPr>
      <w:fldChar w:fldCharType="end"/>
    </w:r>
    <w:r>
      <w:rPr>
        <w:noProof/>
      </w:rPr>
      <w:drawing>
        <wp:anchor distT="0" distB="0" distL="114300" distR="114300" simplePos="0" relativeHeight="251658240" behindDoc="0" locked="0" layoutInCell="1" hidden="0" allowOverlap="1" wp14:anchorId="796915BC" wp14:editId="4F73CA94">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3D" w:rsidRDefault="002F3C3D">
      <w:pPr>
        <w:spacing w:after="0"/>
      </w:pPr>
      <w:r>
        <w:separator/>
      </w:r>
    </w:p>
  </w:footnote>
  <w:footnote w:type="continuationSeparator" w:id="0">
    <w:p w:rsidR="002F3C3D" w:rsidRDefault="002F3C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1A" w:rsidRDefault="002F3C3D">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201A"/>
    <w:rsid w:val="0012201A"/>
    <w:rsid w:val="002F3C3D"/>
    <w:rsid w:val="00753349"/>
    <w:rsid w:val="008F2F26"/>
    <w:rsid w:val="00966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8F2F2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F26"/>
    <w:rPr>
      <w:rFonts w:ascii="Tahoma" w:hAnsi="Tahoma" w:cs="Tahoma"/>
      <w:sz w:val="16"/>
      <w:szCs w:val="16"/>
    </w:rPr>
  </w:style>
  <w:style w:type="character" w:styleId="Hyperlink">
    <w:name w:val="Hyperlink"/>
    <w:basedOn w:val="Standaardalinea-lettertype"/>
    <w:uiPriority w:val="99"/>
    <w:unhideWhenUsed/>
    <w:rsid w:val="008F2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8F2F2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F26"/>
    <w:rPr>
      <w:rFonts w:ascii="Tahoma" w:hAnsi="Tahoma" w:cs="Tahoma"/>
      <w:sz w:val="16"/>
      <w:szCs w:val="16"/>
    </w:rPr>
  </w:style>
  <w:style w:type="character" w:styleId="Hyperlink">
    <w:name w:val="Hyperlink"/>
    <w:basedOn w:val="Standaardalinea-lettertype"/>
    <w:uiPriority w:val="99"/>
    <w:unhideWhenUsed/>
    <w:rsid w:val="008F2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getbesteding@vaph.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5</cp:revision>
  <cp:lastPrinted>2021-03-12T13:46:00Z</cp:lastPrinted>
  <dcterms:created xsi:type="dcterms:W3CDTF">2021-03-12T13:42:00Z</dcterms:created>
  <dcterms:modified xsi:type="dcterms:W3CDTF">2021-03-12T13:47:00Z</dcterms:modified>
</cp:coreProperties>
</file>