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3C" w:rsidRDefault="00A53A3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646"/>
      </w:tblGrid>
      <w:tr w:rsidR="00A53A3C" w:rsidTr="00A53A3C">
        <w:trPr>
          <w:trHeight w:val="270"/>
        </w:trPr>
        <w:tc>
          <w:tcPr>
            <w:tcW w:w="2676" w:type="dxa"/>
            <w:vMerge w:val="restart"/>
          </w:tcPr>
          <w:p w:rsidR="00A53A3C" w:rsidRDefault="000B534E">
            <w:pPr>
              <w:pBdr>
                <w:top w:val="nil"/>
                <w:left w:val="nil"/>
                <w:bottom w:val="nil"/>
                <w:right w:val="nil"/>
                <w:between w:val="nil"/>
              </w:pBdr>
              <w:spacing w:after="0"/>
              <w:rPr>
                <w:color w:val="808080"/>
              </w:rPr>
            </w:pPr>
            <w:proofErr w:type="spellStart"/>
            <w:r>
              <w:rPr>
                <w:color w:val="808080"/>
              </w:rPr>
              <w:t>Zenithgebouw</w:t>
            </w:r>
            <w:proofErr w:type="spellEnd"/>
            <w:r>
              <w:rPr>
                <w:color w:val="808080"/>
              </w:rPr>
              <w:br/>
              <w:t>Koning Albert II-laan 37</w:t>
            </w:r>
          </w:p>
          <w:p w:rsidR="00A53A3C" w:rsidRDefault="000B534E">
            <w:pPr>
              <w:pBdr>
                <w:top w:val="nil"/>
                <w:left w:val="nil"/>
                <w:bottom w:val="nil"/>
                <w:right w:val="nil"/>
                <w:between w:val="nil"/>
              </w:pBdr>
              <w:spacing w:after="0"/>
              <w:rPr>
                <w:color w:val="808080"/>
              </w:rPr>
            </w:pPr>
            <w:bookmarkStart w:id="0" w:name="_gjdgxs" w:colFirst="0" w:colLast="0"/>
            <w:bookmarkEnd w:id="0"/>
            <w:r>
              <w:rPr>
                <w:color w:val="808080"/>
              </w:rPr>
              <w:t>1030 BRUSSEL</w:t>
            </w:r>
            <w:r>
              <w:rPr>
                <w:color w:val="808080"/>
              </w:rPr>
              <w:br/>
            </w:r>
            <w:r>
              <w:t>www.vaph.be</w:t>
            </w:r>
          </w:p>
        </w:tc>
        <w:tc>
          <w:tcPr>
            <w:tcW w:w="6646" w:type="dxa"/>
          </w:tcPr>
          <w:p w:rsidR="00A53A3C" w:rsidRDefault="000B534E">
            <w:pPr>
              <w:pBdr>
                <w:top w:val="nil"/>
                <w:left w:val="nil"/>
                <w:bottom w:val="nil"/>
                <w:right w:val="nil"/>
                <w:between w:val="nil"/>
              </w:pBdr>
              <w:jc w:val="right"/>
              <w:rPr>
                <w:b/>
                <w:smallCaps/>
                <w:color w:val="373737"/>
                <w:sz w:val="36"/>
                <w:szCs w:val="36"/>
              </w:rPr>
            </w:pPr>
            <w:r>
              <w:rPr>
                <w:b/>
                <w:smallCaps/>
                <w:color w:val="373737"/>
                <w:sz w:val="36"/>
                <w:szCs w:val="36"/>
              </w:rPr>
              <w:t>Mededeling</w:t>
            </w:r>
          </w:p>
        </w:tc>
      </w:tr>
      <w:tr w:rsidR="00A53A3C" w:rsidTr="00A53A3C">
        <w:trPr>
          <w:trHeight w:val="270"/>
        </w:trPr>
        <w:tc>
          <w:tcPr>
            <w:tcW w:w="2676" w:type="dxa"/>
            <w:vMerge/>
          </w:tcPr>
          <w:p w:rsidR="00A53A3C" w:rsidRDefault="00A53A3C">
            <w:pPr>
              <w:widowControl w:val="0"/>
              <w:pBdr>
                <w:top w:val="nil"/>
                <w:left w:val="nil"/>
                <w:bottom w:val="nil"/>
                <w:right w:val="nil"/>
                <w:between w:val="nil"/>
              </w:pBdr>
              <w:spacing w:after="0" w:line="276" w:lineRule="auto"/>
              <w:rPr>
                <w:b/>
                <w:smallCaps/>
                <w:color w:val="373737"/>
                <w:sz w:val="36"/>
                <w:szCs w:val="36"/>
              </w:rPr>
            </w:pPr>
          </w:p>
        </w:tc>
        <w:tc>
          <w:tcPr>
            <w:tcW w:w="6646" w:type="dxa"/>
          </w:tcPr>
          <w:p w:rsidR="00A53A3C" w:rsidRDefault="000B534E">
            <w:pPr>
              <w:pBdr>
                <w:top w:val="nil"/>
                <w:left w:val="nil"/>
                <w:bottom w:val="nil"/>
                <w:right w:val="nil"/>
                <w:between w:val="nil"/>
              </w:pBdr>
              <w:jc w:val="right"/>
              <w:rPr>
                <w:b/>
                <w:color w:val="373737"/>
                <w:sz w:val="26"/>
                <w:szCs w:val="26"/>
              </w:rPr>
            </w:pPr>
            <w:r>
              <w:rPr>
                <w:b/>
                <w:color w:val="373737"/>
                <w:sz w:val="26"/>
                <w:szCs w:val="26"/>
              </w:rPr>
              <w:t>Gericht aan: PVB-budgethouders</w:t>
            </w:r>
          </w:p>
        </w:tc>
      </w:tr>
      <w:tr w:rsidR="00A53A3C" w:rsidTr="00A53A3C">
        <w:trPr>
          <w:trHeight w:val="270"/>
        </w:trPr>
        <w:tc>
          <w:tcPr>
            <w:tcW w:w="2676" w:type="dxa"/>
            <w:vMerge/>
          </w:tcPr>
          <w:p w:rsidR="00A53A3C" w:rsidRDefault="00A53A3C">
            <w:pPr>
              <w:widowControl w:val="0"/>
              <w:pBdr>
                <w:top w:val="nil"/>
                <w:left w:val="nil"/>
                <w:bottom w:val="nil"/>
                <w:right w:val="nil"/>
                <w:between w:val="nil"/>
              </w:pBdr>
              <w:spacing w:after="0" w:line="276" w:lineRule="auto"/>
              <w:rPr>
                <w:b/>
                <w:color w:val="373737"/>
                <w:sz w:val="26"/>
                <w:szCs w:val="26"/>
              </w:rPr>
            </w:pPr>
          </w:p>
        </w:tc>
        <w:tc>
          <w:tcPr>
            <w:tcW w:w="6646" w:type="dxa"/>
          </w:tcPr>
          <w:p w:rsidR="00A53A3C" w:rsidRDefault="000B534E">
            <w:pPr>
              <w:pBdr>
                <w:top w:val="nil"/>
                <w:left w:val="nil"/>
                <w:bottom w:val="nil"/>
                <w:right w:val="nil"/>
                <w:between w:val="nil"/>
              </w:pBdr>
              <w:spacing w:after="0"/>
              <w:jc w:val="right"/>
              <w:rPr>
                <w:color w:val="808080"/>
              </w:rPr>
            </w:pPr>
            <w:r>
              <w:rPr>
                <w:color w:val="808080"/>
              </w:rPr>
              <w:t>20 januari 2021</w:t>
            </w:r>
          </w:p>
        </w:tc>
      </w:tr>
      <w:tr w:rsidR="00A53A3C" w:rsidTr="00A53A3C">
        <w:trPr>
          <w:trHeight w:val="270"/>
        </w:trPr>
        <w:tc>
          <w:tcPr>
            <w:tcW w:w="2676" w:type="dxa"/>
            <w:vMerge/>
          </w:tcPr>
          <w:p w:rsidR="00A53A3C" w:rsidRDefault="00A53A3C">
            <w:pPr>
              <w:widowControl w:val="0"/>
              <w:pBdr>
                <w:top w:val="nil"/>
                <w:left w:val="nil"/>
                <w:bottom w:val="nil"/>
                <w:right w:val="nil"/>
                <w:between w:val="nil"/>
              </w:pBdr>
              <w:spacing w:after="0" w:line="276" w:lineRule="auto"/>
              <w:rPr>
                <w:color w:val="808080"/>
              </w:rPr>
            </w:pPr>
          </w:p>
        </w:tc>
        <w:tc>
          <w:tcPr>
            <w:tcW w:w="6646" w:type="dxa"/>
          </w:tcPr>
          <w:p w:rsidR="00A53A3C" w:rsidRDefault="00823801">
            <w:pPr>
              <w:pBdr>
                <w:top w:val="nil"/>
                <w:left w:val="nil"/>
                <w:bottom w:val="nil"/>
                <w:right w:val="nil"/>
                <w:between w:val="nil"/>
              </w:pBdr>
              <w:spacing w:after="0"/>
              <w:jc w:val="right"/>
              <w:rPr>
                <w:color w:val="808080"/>
              </w:rPr>
            </w:pPr>
            <w:r>
              <w:rPr>
                <w:color w:val="808080"/>
              </w:rPr>
              <w:t>PVB/21/6</w:t>
            </w:r>
            <w:bookmarkStart w:id="1" w:name="_GoBack"/>
            <w:bookmarkEnd w:id="1"/>
          </w:p>
        </w:tc>
      </w:tr>
      <w:tr w:rsidR="00A53A3C" w:rsidTr="00A53A3C">
        <w:trPr>
          <w:trHeight w:val="270"/>
        </w:trPr>
        <w:tc>
          <w:tcPr>
            <w:tcW w:w="2676" w:type="dxa"/>
            <w:vMerge/>
          </w:tcPr>
          <w:p w:rsidR="00A53A3C" w:rsidRDefault="00A53A3C">
            <w:pPr>
              <w:widowControl w:val="0"/>
              <w:pBdr>
                <w:top w:val="nil"/>
                <w:left w:val="nil"/>
                <w:bottom w:val="nil"/>
                <w:right w:val="nil"/>
                <w:between w:val="nil"/>
              </w:pBdr>
              <w:spacing w:after="0" w:line="276" w:lineRule="auto"/>
              <w:rPr>
                <w:color w:val="808080"/>
                <w:highlight w:val="yellow"/>
              </w:rPr>
            </w:pPr>
          </w:p>
        </w:tc>
        <w:tc>
          <w:tcPr>
            <w:tcW w:w="6646" w:type="dxa"/>
          </w:tcPr>
          <w:p w:rsidR="00A53A3C" w:rsidRDefault="00A53A3C">
            <w:pPr>
              <w:jc w:val="right"/>
            </w:pPr>
          </w:p>
        </w:tc>
      </w:tr>
      <w:tr w:rsidR="00A53A3C" w:rsidTr="00A53A3C">
        <w:trPr>
          <w:trHeight w:val="284"/>
        </w:trPr>
        <w:tc>
          <w:tcPr>
            <w:tcW w:w="2676" w:type="dxa"/>
            <w:tcMar>
              <w:top w:w="28" w:type="dxa"/>
              <w:bottom w:w="28" w:type="dxa"/>
            </w:tcMar>
            <w:vAlign w:val="bottom"/>
          </w:tcPr>
          <w:p w:rsidR="00A53A3C" w:rsidRDefault="000B534E">
            <w:pPr>
              <w:pBdr>
                <w:top w:val="nil"/>
                <w:left w:val="nil"/>
                <w:bottom w:val="nil"/>
                <w:right w:val="nil"/>
                <w:between w:val="nil"/>
              </w:pBdr>
              <w:spacing w:after="0"/>
              <w:jc w:val="right"/>
              <w:rPr>
                <w:b/>
                <w:color w:val="373737"/>
                <w:sz w:val="20"/>
                <w:szCs w:val="20"/>
              </w:rPr>
            </w:pPr>
            <w:r>
              <w:rPr>
                <w:b/>
                <w:color w:val="373737"/>
                <w:sz w:val="20"/>
                <w:szCs w:val="20"/>
              </w:rPr>
              <w:t>Contactpersoon</w:t>
            </w:r>
          </w:p>
        </w:tc>
        <w:tc>
          <w:tcPr>
            <w:tcW w:w="6646" w:type="dxa"/>
            <w:tcMar>
              <w:top w:w="28" w:type="dxa"/>
              <w:bottom w:w="28" w:type="dxa"/>
            </w:tcMar>
            <w:vAlign w:val="bottom"/>
          </w:tcPr>
          <w:p w:rsidR="00A53A3C" w:rsidRDefault="000B534E">
            <w:pPr>
              <w:pBdr>
                <w:top w:val="nil"/>
                <w:left w:val="nil"/>
                <w:bottom w:val="nil"/>
                <w:right w:val="nil"/>
                <w:between w:val="nil"/>
              </w:pBdr>
              <w:spacing w:after="0"/>
              <w:rPr>
                <w:color w:val="808080"/>
                <w:sz w:val="20"/>
                <w:szCs w:val="20"/>
              </w:rPr>
            </w:pPr>
            <w:r>
              <w:rPr>
                <w:color w:val="808080"/>
                <w:sz w:val="20"/>
                <w:szCs w:val="20"/>
              </w:rPr>
              <w:t>Team Budgetbesteding</w:t>
            </w:r>
          </w:p>
        </w:tc>
      </w:tr>
      <w:tr w:rsidR="00A53A3C" w:rsidTr="00A53A3C">
        <w:trPr>
          <w:trHeight w:val="284"/>
        </w:trPr>
        <w:tc>
          <w:tcPr>
            <w:tcW w:w="2676" w:type="dxa"/>
            <w:tcMar>
              <w:top w:w="28" w:type="dxa"/>
              <w:bottom w:w="28" w:type="dxa"/>
            </w:tcMar>
            <w:vAlign w:val="bottom"/>
          </w:tcPr>
          <w:p w:rsidR="00A53A3C" w:rsidRDefault="000B534E">
            <w:pPr>
              <w:pBdr>
                <w:top w:val="nil"/>
                <w:left w:val="nil"/>
                <w:bottom w:val="nil"/>
                <w:right w:val="nil"/>
                <w:between w:val="nil"/>
              </w:pBdr>
              <w:spacing w:after="0"/>
              <w:jc w:val="right"/>
              <w:rPr>
                <w:b/>
                <w:color w:val="373737"/>
                <w:sz w:val="20"/>
                <w:szCs w:val="20"/>
              </w:rPr>
            </w:pPr>
            <w:r>
              <w:rPr>
                <w:b/>
                <w:color w:val="373737"/>
                <w:sz w:val="20"/>
                <w:szCs w:val="20"/>
              </w:rPr>
              <w:t>E-mail</w:t>
            </w:r>
          </w:p>
        </w:tc>
        <w:tc>
          <w:tcPr>
            <w:tcW w:w="6646" w:type="dxa"/>
            <w:tcMar>
              <w:top w:w="28" w:type="dxa"/>
              <w:bottom w:w="28" w:type="dxa"/>
            </w:tcMar>
            <w:vAlign w:val="bottom"/>
          </w:tcPr>
          <w:p w:rsidR="00A53A3C" w:rsidRDefault="000B534E">
            <w:pPr>
              <w:pBdr>
                <w:top w:val="nil"/>
                <w:left w:val="nil"/>
                <w:bottom w:val="nil"/>
                <w:right w:val="nil"/>
                <w:between w:val="nil"/>
              </w:pBdr>
              <w:spacing w:after="0"/>
              <w:rPr>
                <w:color w:val="808080"/>
                <w:sz w:val="20"/>
                <w:szCs w:val="20"/>
              </w:rPr>
            </w:pPr>
            <w:r>
              <w:rPr>
                <w:color w:val="808080"/>
                <w:sz w:val="20"/>
                <w:szCs w:val="20"/>
              </w:rPr>
              <w:t>budgetbesteding@vaph.be</w:t>
            </w:r>
          </w:p>
        </w:tc>
      </w:tr>
      <w:tr w:rsidR="00A53A3C" w:rsidTr="00A53A3C">
        <w:trPr>
          <w:trHeight w:val="284"/>
        </w:trPr>
        <w:tc>
          <w:tcPr>
            <w:tcW w:w="2676" w:type="dxa"/>
            <w:tcMar>
              <w:top w:w="28" w:type="dxa"/>
              <w:bottom w:w="28" w:type="dxa"/>
            </w:tcMar>
            <w:vAlign w:val="bottom"/>
          </w:tcPr>
          <w:p w:rsidR="00A53A3C" w:rsidRDefault="000B534E">
            <w:pPr>
              <w:pBdr>
                <w:top w:val="nil"/>
                <w:left w:val="nil"/>
                <w:bottom w:val="nil"/>
                <w:right w:val="nil"/>
                <w:between w:val="nil"/>
              </w:pBdr>
              <w:spacing w:after="0"/>
              <w:jc w:val="right"/>
              <w:rPr>
                <w:b/>
                <w:color w:val="373737"/>
                <w:sz w:val="20"/>
                <w:szCs w:val="20"/>
              </w:rPr>
            </w:pPr>
            <w:r>
              <w:rPr>
                <w:b/>
                <w:color w:val="373737"/>
                <w:sz w:val="20"/>
                <w:szCs w:val="20"/>
              </w:rPr>
              <w:t>Telefoon</w:t>
            </w:r>
          </w:p>
        </w:tc>
        <w:tc>
          <w:tcPr>
            <w:tcW w:w="6646" w:type="dxa"/>
            <w:tcMar>
              <w:top w:w="28" w:type="dxa"/>
              <w:bottom w:w="28" w:type="dxa"/>
            </w:tcMar>
            <w:vAlign w:val="bottom"/>
          </w:tcPr>
          <w:p w:rsidR="00A53A3C" w:rsidRDefault="000B534E">
            <w:pPr>
              <w:pBdr>
                <w:top w:val="nil"/>
                <w:left w:val="nil"/>
                <w:bottom w:val="nil"/>
                <w:right w:val="nil"/>
                <w:between w:val="nil"/>
              </w:pBdr>
              <w:spacing w:after="0"/>
              <w:rPr>
                <w:color w:val="808080"/>
                <w:sz w:val="20"/>
                <w:szCs w:val="20"/>
              </w:rPr>
            </w:pPr>
            <w:r>
              <w:rPr>
                <w:color w:val="808080"/>
                <w:sz w:val="20"/>
                <w:szCs w:val="20"/>
              </w:rPr>
              <w:t>02 249 30 00</w:t>
            </w:r>
          </w:p>
        </w:tc>
      </w:tr>
      <w:tr w:rsidR="00A53A3C" w:rsidTr="00A53A3C">
        <w:trPr>
          <w:trHeight w:val="284"/>
        </w:trPr>
        <w:tc>
          <w:tcPr>
            <w:tcW w:w="2676" w:type="dxa"/>
            <w:tcMar>
              <w:top w:w="28" w:type="dxa"/>
              <w:bottom w:w="28" w:type="dxa"/>
            </w:tcMar>
            <w:vAlign w:val="bottom"/>
          </w:tcPr>
          <w:p w:rsidR="00A53A3C" w:rsidRDefault="00A53A3C">
            <w:pPr>
              <w:pBdr>
                <w:top w:val="nil"/>
                <w:left w:val="nil"/>
                <w:bottom w:val="nil"/>
                <w:right w:val="nil"/>
                <w:between w:val="nil"/>
              </w:pBdr>
              <w:spacing w:after="0"/>
              <w:jc w:val="right"/>
              <w:rPr>
                <w:b/>
                <w:color w:val="373737"/>
                <w:sz w:val="20"/>
                <w:szCs w:val="20"/>
              </w:rPr>
            </w:pPr>
          </w:p>
        </w:tc>
        <w:tc>
          <w:tcPr>
            <w:tcW w:w="6646" w:type="dxa"/>
            <w:tcMar>
              <w:top w:w="28" w:type="dxa"/>
              <w:bottom w:w="28" w:type="dxa"/>
            </w:tcMar>
            <w:vAlign w:val="bottom"/>
          </w:tcPr>
          <w:p w:rsidR="00A53A3C" w:rsidRDefault="00A53A3C">
            <w:pPr>
              <w:pBdr>
                <w:top w:val="nil"/>
                <w:left w:val="nil"/>
                <w:bottom w:val="nil"/>
                <w:right w:val="nil"/>
                <w:between w:val="nil"/>
              </w:pBdr>
              <w:spacing w:after="0"/>
              <w:rPr>
                <w:color w:val="808080"/>
                <w:sz w:val="20"/>
                <w:szCs w:val="20"/>
              </w:rPr>
            </w:pPr>
          </w:p>
        </w:tc>
      </w:tr>
      <w:tr w:rsidR="00A53A3C">
        <w:tc>
          <w:tcPr>
            <w:tcW w:w="9322" w:type="dxa"/>
            <w:gridSpan w:val="2"/>
          </w:tcPr>
          <w:p w:rsidR="00A53A3C" w:rsidRDefault="000B534E" w:rsidP="00BC16C0">
            <w:pPr>
              <w:pBdr>
                <w:top w:val="nil"/>
                <w:left w:val="nil"/>
                <w:bottom w:val="nil"/>
                <w:right w:val="nil"/>
                <w:between w:val="nil"/>
              </w:pBdr>
              <w:spacing w:before="120" w:after="120"/>
              <w:rPr>
                <w:rFonts w:ascii="Times New Roman" w:eastAsia="Times New Roman" w:hAnsi="Times New Roman" w:cs="Times New Roman"/>
                <w:sz w:val="28"/>
                <w:szCs w:val="28"/>
              </w:rPr>
            </w:pPr>
            <w:r>
              <w:rPr>
                <w:b/>
                <w:sz w:val="28"/>
                <w:szCs w:val="28"/>
              </w:rPr>
              <w:t>Nieuwe versie bestedingsregels persoonsvolgend budget</w:t>
            </w:r>
          </w:p>
        </w:tc>
      </w:tr>
    </w:tbl>
    <w:p w:rsidR="00A53A3C" w:rsidRDefault="000B534E" w:rsidP="00BC16C0">
      <w:pPr>
        <w:spacing w:before="240"/>
        <w:rPr>
          <w:rFonts w:ascii="Times New Roman" w:eastAsia="Times New Roman" w:hAnsi="Times New Roman" w:cs="Times New Roman"/>
          <w:sz w:val="24"/>
          <w:szCs w:val="24"/>
        </w:rPr>
      </w:pPr>
      <w:r>
        <w:rPr>
          <w:color w:val="000000"/>
        </w:rPr>
        <w:t xml:space="preserve">Er werd een nieuwe versie van de bestedingsregels gepubliceerd op </w:t>
      </w:r>
      <w:r>
        <w:t>20</w:t>
      </w:r>
      <w:r>
        <w:rPr>
          <w:color w:val="000000"/>
        </w:rPr>
        <w:t xml:space="preserve"> </w:t>
      </w:r>
      <w:r>
        <w:t>januari 2021.</w:t>
      </w:r>
    </w:p>
    <w:p w:rsidR="00A53A3C" w:rsidRDefault="000B534E" w:rsidP="00BC16C0">
      <w:pPr>
        <w:spacing w:before="240"/>
        <w:rPr>
          <w:rFonts w:ascii="Times New Roman" w:eastAsia="Times New Roman" w:hAnsi="Times New Roman" w:cs="Times New Roman"/>
          <w:b/>
          <w:sz w:val="24"/>
          <w:szCs w:val="24"/>
        </w:rPr>
      </w:pPr>
      <w:r>
        <w:rPr>
          <w:b/>
          <w:color w:val="000000"/>
        </w:rPr>
        <w:t>Wat is er gewijzigd ten opzichte van de vorige versie?</w:t>
      </w:r>
    </w:p>
    <w:tbl>
      <w:tblPr>
        <w:tblStyle w:val="a0"/>
        <w:tblW w:w="8850" w:type="dxa"/>
        <w:tblInd w:w="142" w:type="dxa"/>
        <w:tblLayout w:type="fixed"/>
        <w:tblLook w:val="0400" w:firstRow="0" w:lastRow="0" w:firstColumn="0" w:lastColumn="0" w:noHBand="0" w:noVBand="1"/>
      </w:tblPr>
      <w:tblGrid>
        <w:gridCol w:w="1066"/>
        <w:gridCol w:w="3892"/>
        <w:gridCol w:w="3892"/>
      </w:tblGrid>
      <w:tr w:rsidR="00A53A3C">
        <w:trPr>
          <w:trHeight w:val="227"/>
        </w:trPr>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jc w:val="center"/>
              <w:rPr>
                <w:b/>
                <w:color w:val="222222"/>
              </w:rPr>
            </w:pPr>
            <w:r>
              <w:rPr>
                <w:b/>
                <w:color w:val="222222"/>
              </w:rPr>
              <w:t>Pagina</w:t>
            </w:r>
          </w:p>
        </w:tc>
        <w:tc>
          <w:tcPr>
            <w:tcW w:w="38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b/>
                <w:color w:val="222222"/>
              </w:rPr>
            </w:pPr>
            <w:r>
              <w:rPr>
                <w:b/>
                <w:color w:val="222222"/>
              </w:rPr>
              <w:t>Hoofdstuk</w:t>
            </w:r>
          </w:p>
        </w:tc>
        <w:tc>
          <w:tcPr>
            <w:tcW w:w="38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b/>
                <w:color w:val="222222"/>
              </w:rPr>
            </w:pPr>
            <w:r>
              <w:rPr>
                <w:b/>
                <w:color w:val="222222"/>
              </w:rPr>
              <w:t>Wijziging</w:t>
            </w:r>
          </w:p>
        </w:tc>
      </w:tr>
      <w:tr w:rsidR="00A53A3C">
        <w:trPr>
          <w:trHeight w:val="613"/>
        </w:trPr>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2-3</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1 Wat is het persoonsvolgend budget?</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Bedragen in euro’s aangepast naar aanleiding van de indexering 2021</w:t>
            </w:r>
          </w:p>
        </w:tc>
      </w:tr>
      <w:tr w:rsidR="00A53A3C">
        <w:trPr>
          <w:trHeight w:val="613"/>
        </w:trPr>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5-6</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5.1 Uw persoonsvolgend budget besteden in cash</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Verlaging van de beheerkosten van 11,94 % naar 10,35 %</w:t>
            </w:r>
          </w:p>
        </w:tc>
      </w:tr>
      <w:tr w:rsidR="00A53A3C">
        <w:trPr>
          <w:trHeight w:val="227"/>
        </w:trPr>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7</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5.4 Het vrij besteedbaar deel van uw budget</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spacing w:after="0"/>
              <w:rPr>
                <w:color w:val="222222"/>
              </w:rPr>
            </w:pPr>
            <w:r>
              <w:rPr>
                <w:color w:val="222222"/>
              </w:rPr>
              <w:t>Wijzigingen naar aanleiding van de berekening van de hoogte van het vrij besteedbaar deel</w:t>
            </w:r>
          </w:p>
        </w:tc>
      </w:tr>
      <w:tr w:rsidR="00A53A3C">
        <w:trPr>
          <w:trHeight w:val="227"/>
        </w:trPr>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8</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6.1.2 Cashovereenkomsten</w:t>
            </w:r>
            <w:r>
              <w:rPr>
                <w:color w:val="222222"/>
              </w:rPr>
              <w:br/>
            </w:r>
            <w:r>
              <w:rPr>
                <w:color w:val="222222"/>
              </w:rPr>
              <w:br/>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Aanvulling in verband  met dienstencheques, overeenkomst bijklussen, overeenkomst met een woonzorgcentrum</w:t>
            </w:r>
          </w:p>
        </w:tc>
      </w:tr>
      <w:tr w:rsidR="00A53A3C">
        <w:trPr>
          <w:trHeight w:val="227"/>
        </w:trPr>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10</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373737"/>
              </w:rPr>
              <w:t>6.2.5 Cashovereenkomst bij een persoon of organisatie die zorg en ondersteuning biedt maar die niet door het VAPH vergund is</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Aanvulling rond het ondernemingsnummer</w:t>
            </w:r>
          </w:p>
        </w:tc>
      </w:tr>
      <w:tr w:rsidR="00A53A3C">
        <w:trPr>
          <w:trHeight w:val="227"/>
        </w:trPr>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lastRenderedPageBreak/>
              <w:t>10-11-12</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7 Welke kosten worden in aanmerking genomen voor de besteding van uw budget in cash?</w:t>
            </w:r>
          </w:p>
          <w:p w:rsidR="00A53A3C" w:rsidRDefault="000B534E" w:rsidP="00BC16C0">
            <w:pPr>
              <w:rPr>
                <w:i/>
                <w:color w:val="222222"/>
              </w:rPr>
            </w:pPr>
            <w:r>
              <w:rPr>
                <w:i/>
                <w:color w:val="222222"/>
              </w:rPr>
              <w:t>Overeenkomst met een gezinslid van de budgethouder of met een familielid dat verwant is met de budgethouder tot de tweede graad, overeenkomst met een individuele begeleider/student in loonverband</w:t>
            </w:r>
          </w:p>
          <w:p w:rsidR="00A53A3C" w:rsidRDefault="000B534E" w:rsidP="00BC16C0">
            <w:pPr>
              <w:rPr>
                <w:i/>
                <w:color w:val="222222"/>
              </w:rPr>
            </w:pPr>
            <w:r>
              <w:rPr>
                <w:i/>
                <w:color w:val="222222"/>
              </w:rPr>
              <w:t>Overeenkomst voor vervoer van personen met een handicap</w:t>
            </w:r>
          </w:p>
          <w:p w:rsidR="00A53A3C" w:rsidRDefault="000B534E" w:rsidP="00BC16C0">
            <w:pPr>
              <w:rPr>
                <w:color w:val="222222"/>
              </w:rPr>
            </w:pPr>
            <w:r>
              <w:rPr>
                <w:i/>
                <w:color w:val="222222"/>
              </w:rPr>
              <w:t>Overeenkomst met een woonzorgcentrum</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A53A3C" w:rsidP="00BC16C0">
            <w:pPr>
              <w:spacing w:after="0"/>
              <w:rPr>
                <w:color w:val="222222"/>
              </w:rPr>
            </w:pPr>
          </w:p>
          <w:p w:rsidR="00A53A3C" w:rsidRDefault="00A53A3C" w:rsidP="00BC16C0">
            <w:pPr>
              <w:spacing w:after="0"/>
              <w:rPr>
                <w:color w:val="222222"/>
              </w:rPr>
            </w:pPr>
          </w:p>
          <w:p w:rsidR="00A53A3C" w:rsidRDefault="00A53A3C" w:rsidP="00BC16C0">
            <w:pPr>
              <w:spacing w:after="0"/>
              <w:rPr>
                <w:color w:val="222222"/>
              </w:rPr>
            </w:pPr>
          </w:p>
          <w:p w:rsidR="00A53A3C" w:rsidRDefault="00A53A3C" w:rsidP="00BC16C0">
            <w:pPr>
              <w:spacing w:after="0"/>
              <w:rPr>
                <w:color w:val="222222"/>
              </w:rPr>
            </w:pPr>
          </w:p>
          <w:p w:rsidR="00A53A3C" w:rsidRDefault="000B534E" w:rsidP="00BC16C0">
            <w:pPr>
              <w:spacing w:after="0"/>
              <w:rPr>
                <w:color w:val="222222"/>
              </w:rPr>
            </w:pPr>
            <w:r>
              <w:rPr>
                <w:color w:val="222222"/>
              </w:rPr>
              <w:t>Aanvullingen in verband met de eindejaarspremie en andere premies, aanvulling in verband met consumptiecheques</w:t>
            </w:r>
          </w:p>
          <w:p w:rsidR="00A53A3C" w:rsidRDefault="00A53A3C" w:rsidP="00BC16C0">
            <w:pPr>
              <w:spacing w:after="0"/>
              <w:rPr>
                <w:color w:val="222222"/>
              </w:rPr>
            </w:pPr>
          </w:p>
          <w:p w:rsidR="00A53A3C" w:rsidRDefault="00A53A3C" w:rsidP="00BC16C0">
            <w:pPr>
              <w:spacing w:after="0"/>
              <w:rPr>
                <w:color w:val="222222"/>
              </w:rPr>
            </w:pPr>
          </w:p>
          <w:p w:rsidR="00A53A3C" w:rsidRDefault="00A53A3C" w:rsidP="00BC16C0">
            <w:pPr>
              <w:spacing w:after="0"/>
              <w:rPr>
                <w:color w:val="222222"/>
              </w:rPr>
            </w:pPr>
          </w:p>
          <w:p w:rsidR="00A53A3C" w:rsidRDefault="000B534E" w:rsidP="00BC16C0">
            <w:pPr>
              <w:spacing w:after="0"/>
              <w:rPr>
                <w:color w:val="222222"/>
              </w:rPr>
            </w:pPr>
            <w:r>
              <w:rPr>
                <w:color w:val="222222"/>
              </w:rPr>
              <w:t>Aanvulling rond reis-en verplaatsingskosten</w:t>
            </w:r>
          </w:p>
          <w:p w:rsidR="00A53A3C" w:rsidRDefault="00A53A3C" w:rsidP="00BC16C0">
            <w:pPr>
              <w:spacing w:after="0"/>
              <w:rPr>
                <w:color w:val="222222"/>
              </w:rPr>
            </w:pPr>
          </w:p>
          <w:p w:rsidR="00A53A3C" w:rsidRDefault="000B534E" w:rsidP="00BC16C0">
            <w:pPr>
              <w:spacing w:after="0"/>
              <w:rPr>
                <w:color w:val="222222"/>
              </w:rPr>
            </w:pPr>
            <w:r>
              <w:rPr>
                <w:color w:val="222222"/>
              </w:rPr>
              <w:t>Aanvulling rond de aanvaarde kosten</w:t>
            </w:r>
          </w:p>
          <w:p w:rsidR="00A53A3C" w:rsidRDefault="00A53A3C" w:rsidP="00BC16C0">
            <w:pPr>
              <w:spacing w:after="0"/>
              <w:rPr>
                <w:color w:val="222222"/>
              </w:rPr>
            </w:pPr>
          </w:p>
        </w:tc>
      </w:tr>
      <w:tr w:rsidR="00A53A3C">
        <w:trPr>
          <w:trHeight w:val="227"/>
        </w:trPr>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rPr>
                <w:color w:val="222222"/>
              </w:rPr>
              <w:t>12</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rPr>
                <w:color w:val="222222"/>
              </w:rPr>
            </w:pPr>
            <w:r>
              <w:t xml:space="preserve">8 Wanneer verzendt u de kostenstaat? </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53A3C" w:rsidRDefault="000B534E" w:rsidP="00BC16C0">
            <w:pPr>
              <w:spacing w:after="0"/>
              <w:rPr>
                <w:color w:val="222222"/>
              </w:rPr>
            </w:pPr>
            <w:r>
              <w:rPr>
                <w:color w:val="222222"/>
              </w:rPr>
              <w:t>Uiterste indieningsdatum van kosten gewijzigd van 1 maart naar 1 april</w:t>
            </w:r>
          </w:p>
        </w:tc>
      </w:tr>
    </w:tbl>
    <w:p w:rsidR="00A53A3C" w:rsidRDefault="000B534E">
      <w:pPr>
        <w:spacing w:before="280" w:after="0"/>
        <w:rPr>
          <w:b/>
          <w:color w:val="000000"/>
        </w:rPr>
      </w:pPr>
      <w:r>
        <w:rPr>
          <w:b/>
          <w:color w:val="000000"/>
        </w:rPr>
        <w:t xml:space="preserve">Hebt u nog vragen? </w:t>
      </w:r>
    </w:p>
    <w:p w:rsidR="00A53A3C" w:rsidRDefault="000B534E">
      <w:pPr>
        <w:spacing w:before="280" w:after="0" w:line="276" w:lineRule="auto"/>
        <w:rPr>
          <w:rFonts w:ascii="Times New Roman" w:eastAsia="Times New Roman" w:hAnsi="Times New Roman" w:cs="Times New Roman"/>
          <w:sz w:val="24"/>
          <w:szCs w:val="24"/>
        </w:rPr>
      </w:pPr>
      <w:r>
        <w:t xml:space="preserve">Het team Budgetbesteding van het VAPH is telefonisch bereikbaar op het nummer 02 249 30 00, van 8.30 tot 12.00 uur en van 13.00 tot 17.00 uur (op vrijdag en tijdens de maanden juli en augustus tot 16.00 uur). Aarzel niet om contact op te nemen als u vragen hebt. U kunt het team Budgetbesteding ook bereiken via budgetbesteding@vaph.be. </w:t>
      </w:r>
    </w:p>
    <w:sectPr w:rsidR="00A53A3C">
      <w:footerReference w:type="default" r:id="rId7"/>
      <w:headerReference w:type="first" r:id="rId8"/>
      <w:footerReference w:type="first" r:id="rId9"/>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31" w:rsidRDefault="004E4531">
      <w:pPr>
        <w:spacing w:after="0"/>
      </w:pPr>
      <w:r>
        <w:separator/>
      </w:r>
    </w:p>
  </w:endnote>
  <w:endnote w:type="continuationSeparator" w:id="0">
    <w:p w:rsidR="004E4531" w:rsidRDefault="004E45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3C" w:rsidRDefault="000B534E">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340308">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340308">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3C" w:rsidRDefault="000B534E">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340308">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340308">
      <w:rPr>
        <w:noProof/>
        <w:color w:val="000000"/>
        <w:sz w:val="20"/>
        <w:szCs w:val="20"/>
      </w:rPr>
      <w:t>2</w:t>
    </w:r>
    <w:r>
      <w:rPr>
        <w:color w:val="000000"/>
        <w:sz w:val="20"/>
        <w:szCs w:val="20"/>
      </w:rPr>
      <w:fldChar w:fldCharType="end"/>
    </w:r>
    <w:r>
      <w:rPr>
        <w:noProof/>
      </w:rPr>
      <w:drawing>
        <wp:anchor distT="0" distB="0" distL="114300" distR="114300" simplePos="0" relativeHeight="251658240" behindDoc="0" locked="0" layoutInCell="1" hidden="0" allowOverlap="1" wp14:anchorId="541CA24E" wp14:editId="698B7688">
          <wp:simplePos x="0" y="0"/>
          <wp:positionH relativeFrom="column">
            <wp:posOffset>1</wp:posOffset>
          </wp:positionH>
          <wp:positionV relativeFrom="paragraph">
            <wp:posOffset>0</wp:posOffset>
          </wp:positionV>
          <wp:extent cx="1270800" cy="540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31" w:rsidRDefault="004E4531">
      <w:pPr>
        <w:spacing w:after="0"/>
      </w:pPr>
      <w:r>
        <w:separator/>
      </w:r>
    </w:p>
  </w:footnote>
  <w:footnote w:type="continuationSeparator" w:id="0">
    <w:p w:rsidR="004E4531" w:rsidRDefault="004E45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3C" w:rsidRDefault="000B534E">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53A3C"/>
    <w:rsid w:val="000B534E"/>
    <w:rsid w:val="00340308"/>
    <w:rsid w:val="004E4531"/>
    <w:rsid w:val="00823801"/>
    <w:rsid w:val="00A53A3C"/>
    <w:rsid w:val="00BC16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tblPr>
      <w:tblStyleRowBandSize w:val="1"/>
      <w:tblStyleColBandSize w:val="1"/>
    </w:tblPr>
  </w:style>
  <w:style w:type="paragraph" w:styleId="Ballontekst">
    <w:name w:val="Balloon Text"/>
    <w:basedOn w:val="Standaard"/>
    <w:link w:val="BallontekstChar"/>
    <w:uiPriority w:val="99"/>
    <w:semiHidden/>
    <w:unhideWhenUsed/>
    <w:rsid w:val="00BC16C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tblPr>
      <w:tblStyleRowBandSize w:val="1"/>
      <w:tblStyleColBandSize w:val="1"/>
    </w:tblPr>
  </w:style>
  <w:style w:type="paragraph" w:styleId="Ballontekst">
    <w:name w:val="Balloon Text"/>
    <w:basedOn w:val="Standaard"/>
    <w:link w:val="BallontekstChar"/>
    <w:uiPriority w:val="99"/>
    <w:semiHidden/>
    <w:unhideWhenUsed/>
    <w:rsid w:val="00BC16C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Annelies De Mulder</cp:lastModifiedBy>
  <cp:revision>5</cp:revision>
  <cp:lastPrinted>2021-01-26T15:33:00Z</cp:lastPrinted>
  <dcterms:created xsi:type="dcterms:W3CDTF">2021-01-20T09:01:00Z</dcterms:created>
  <dcterms:modified xsi:type="dcterms:W3CDTF">2021-01-26T15:33:00Z</dcterms:modified>
</cp:coreProperties>
</file>