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B8C" w:rsidRPr="00E6515F" w:rsidRDefault="00CD1B8C">
      <w:pPr>
        <w:widowControl w:val="0"/>
        <w:pBdr>
          <w:top w:val="nil"/>
          <w:left w:val="nil"/>
          <w:bottom w:val="nil"/>
          <w:right w:val="nil"/>
          <w:between w:val="nil"/>
        </w:pBdr>
        <w:spacing w:line="240" w:lineRule="auto"/>
        <w:rPr>
          <w:sz w:val="12"/>
          <w:szCs w:val="12"/>
          <w:lang w:val="nl-BE"/>
        </w:rPr>
      </w:pPr>
    </w:p>
    <w:p w:rsidR="00476AD2" w:rsidRDefault="00476AD2"/>
    <w:sdt>
      <w:sdtPr>
        <w:rPr>
          <w:rFonts w:eastAsia="Calibri" w:cs="Times New Roman"/>
          <w:color w:val="auto"/>
          <w:spacing w:val="0"/>
          <w:kern w:val="0"/>
          <w:sz w:val="22"/>
          <w:szCs w:val="22"/>
        </w:rPr>
        <w:id w:val="1695496094"/>
        <w:docPartObj>
          <w:docPartGallery w:val="Cover Pages"/>
          <w:docPartUnique/>
        </w:docPartObj>
      </w:sdtPr>
      <w:sdtEndPr>
        <w:rPr>
          <w:rFonts w:cs="Calibri"/>
          <w:lang w:val="en" w:eastAsia="nl-BE"/>
        </w:r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tblGrid>
          <w:tr w:rsidR="00476AD2" w:rsidRPr="00490F75" w:rsidTr="00A667BD">
            <w:trPr>
              <w:trHeight w:val="5674"/>
            </w:trPr>
            <w:tc>
              <w:tcPr>
                <w:tcW w:w="9778" w:type="dxa"/>
                <w:vAlign w:val="bottom"/>
              </w:tcPr>
              <w:p w:rsidR="00476AD2" w:rsidRPr="00AD04E5" w:rsidRDefault="00476AD2" w:rsidP="00476AD2">
                <w:pPr>
                  <w:pStyle w:val="Voorblad-Titel"/>
                </w:pPr>
                <w:r>
                  <w:t>R</w:t>
                </w:r>
                <w:r w:rsidRPr="00476AD2">
                  <w:t xml:space="preserve">ealisaties </w:t>
                </w:r>
                <w:r w:rsidR="00126E79">
                  <w:t xml:space="preserve">en evoluties </w:t>
                </w:r>
                <w:r>
                  <w:t xml:space="preserve">binnen de ondersteuning voor personen met een handicap </w:t>
                </w:r>
              </w:p>
            </w:tc>
          </w:tr>
          <w:tr w:rsidR="00476AD2" w:rsidRPr="00490F75" w:rsidTr="00A667BD">
            <w:trPr>
              <w:trHeight w:val="397"/>
            </w:trPr>
            <w:tc>
              <w:tcPr>
                <w:tcW w:w="9778" w:type="dxa"/>
              </w:tcPr>
              <w:p w:rsidR="00476AD2" w:rsidRDefault="00126E79" w:rsidP="00126E79">
                <w:pPr>
                  <w:pStyle w:val="Voorblad-Ondertitel"/>
                </w:pPr>
                <w:r>
                  <w:t>Een terugblik op de voorbije legislaturen</w:t>
                </w:r>
                <w:r w:rsidR="00476AD2">
                  <w:t xml:space="preserve"> </w:t>
                </w:r>
              </w:p>
            </w:tc>
          </w:tr>
          <w:tr w:rsidR="00476AD2" w:rsidRPr="00476AD2" w:rsidTr="00A667BD">
            <w:trPr>
              <w:trHeight w:val="397"/>
            </w:trPr>
            <w:tc>
              <w:tcPr>
                <w:tcW w:w="9778" w:type="dxa"/>
                <w:vAlign w:val="bottom"/>
              </w:tcPr>
              <w:p w:rsidR="00476AD2" w:rsidRDefault="00943B0C" w:rsidP="00A667BD">
                <w:pPr>
                  <w:pStyle w:val="Voorblad-Auteurs"/>
                </w:pPr>
                <w:sdt>
                  <w:sdtPr>
                    <w:id w:val="1475487564"/>
                    <w:date w:fullDate="2019-03-04T00:00:00Z">
                      <w:dateFormat w:val="d MMMM yyyy"/>
                      <w:lid w:val="nl-BE"/>
                      <w:storeMappedDataAs w:val="dateTime"/>
                      <w:calendar w:val="gregorian"/>
                    </w:date>
                  </w:sdtPr>
                  <w:sdtEndPr/>
                  <w:sdtContent>
                    <w:r w:rsidR="009970EB">
                      <w:t>4 maart 2019</w:t>
                    </w:r>
                  </w:sdtContent>
                </w:sdt>
              </w:p>
            </w:tc>
          </w:tr>
          <w:tr w:rsidR="00476AD2" w:rsidRPr="004C2D9F" w:rsidTr="00A667BD">
            <w:trPr>
              <w:trHeight w:val="5596"/>
            </w:trPr>
            <w:tc>
              <w:tcPr>
                <w:tcW w:w="9778" w:type="dxa"/>
                <w:vAlign w:val="bottom"/>
              </w:tcPr>
              <w:p w:rsidR="00515901" w:rsidRDefault="00476AD2" w:rsidP="00A667BD">
                <w:pPr>
                  <w:pStyle w:val="Voorblad-Auteurs"/>
                </w:pPr>
                <w:r>
                  <w:t>VAPH</w:t>
                </w:r>
                <w:r w:rsidR="00A667BD">
                  <w:t xml:space="preserve"> (t</w:t>
                </w:r>
                <w:r>
                  <w:t xml:space="preserve">eam </w:t>
                </w:r>
                <w:r w:rsidR="00A667BD">
                  <w:t>C</w:t>
                </w:r>
                <w:r>
                  <w:t xml:space="preserve">ijfers, </w:t>
                </w:r>
                <w:r w:rsidR="00A667BD">
                  <w:t>B</w:t>
                </w:r>
                <w:r>
                  <w:t xml:space="preserve">oekhouding en </w:t>
                </w:r>
                <w:r w:rsidR="00A667BD">
                  <w:t>B</w:t>
                </w:r>
                <w:r>
                  <w:t xml:space="preserve">udget </w:t>
                </w:r>
                <w:r w:rsidR="00A667BD">
                  <w:t>en</w:t>
                </w:r>
                <w:r w:rsidR="00F25788">
                  <w:t xml:space="preserve"> </w:t>
                </w:r>
                <w:r>
                  <w:t xml:space="preserve">team </w:t>
                </w:r>
                <w:r w:rsidR="00A667BD">
                  <w:t>B</w:t>
                </w:r>
                <w:r>
                  <w:t>eleid m.m.v. alle afdelingen</w:t>
                </w:r>
                <w:r w:rsidR="00A667BD">
                  <w:t>)</w:t>
                </w:r>
                <w:r>
                  <w:t xml:space="preserve"> </w:t>
                </w:r>
              </w:p>
              <w:p w:rsidR="00476AD2" w:rsidRDefault="00476AD2" w:rsidP="00A667BD">
                <w:pPr>
                  <w:pStyle w:val="Voorblad-Auteurs"/>
                </w:pPr>
              </w:p>
            </w:tc>
          </w:tr>
          <w:tr w:rsidR="00476AD2" w:rsidTr="00A667BD">
            <w:trPr>
              <w:trHeight w:val="397"/>
            </w:trPr>
            <w:tc>
              <w:tcPr>
                <w:tcW w:w="9778" w:type="dxa"/>
                <w:vAlign w:val="bottom"/>
              </w:tcPr>
              <w:p w:rsidR="00476AD2" w:rsidRDefault="00943B0C" w:rsidP="00476AD2">
                <w:pPr>
                  <w:pStyle w:val="Voorblad-Datumversienummer"/>
                </w:pPr>
              </w:p>
            </w:tc>
          </w:tr>
        </w:tbl>
      </w:sdtContent>
    </w:sdt>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CD1B8C" w:rsidRPr="00E6515F">
        <w:trPr>
          <w:trHeight w:val="540"/>
        </w:trPr>
        <w:tc>
          <w:tcPr>
            <w:tcW w:w="8880" w:type="dxa"/>
            <w:shd w:val="clear" w:color="auto" w:fill="auto"/>
            <w:tcMar>
              <w:top w:w="60" w:type="dxa"/>
              <w:left w:w="100" w:type="dxa"/>
              <w:bottom w:w="60" w:type="dxa"/>
              <w:right w:w="100" w:type="dxa"/>
            </w:tcMar>
          </w:tcPr>
          <w:p w:rsidR="00CD1B8C" w:rsidRPr="00E6515F" w:rsidRDefault="00CD1B8C" w:rsidP="00476AD2">
            <w:pPr>
              <w:widowControl w:val="0"/>
              <w:pBdr>
                <w:top w:val="nil"/>
                <w:left w:val="nil"/>
                <w:bottom w:val="nil"/>
                <w:right w:val="nil"/>
                <w:between w:val="nil"/>
              </w:pBdr>
              <w:rPr>
                <w:b/>
                <w:sz w:val="34"/>
                <w:szCs w:val="34"/>
                <w:lang w:val="nl-BE"/>
              </w:rPr>
            </w:pPr>
          </w:p>
        </w:tc>
      </w:tr>
    </w:tbl>
    <w:p w:rsidR="00476AD2" w:rsidRDefault="00261B37" w:rsidP="00261B37">
      <w:pPr>
        <w:pStyle w:val="Kop1"/>
        <w:widowControl w:val="0"/>
        <w:numPr>
          <w:ilvl w:val="0"/>
          <w:numId w:val="1"/>
        </w:numPr>
        <w:pBdr>
          <w:top w:val="nil"/>
          <w:left w:val="nil"/>
          <w:bottom w:val="nil"/>
          <w:right w:val="nil"/>
          <w:between w:val="nil"/>
        </w:pBdr>
        <w:spacing w:line="360" w:lineRule="auto"/>
        <w:ind w:left="544" w:hanging="570"/>
        <w:rPr>
          <w:lang w:val="nl-BE"/>
        </w:rPr>
      </w:pPr>
      <w:bookmarkStart w:id="0" w:name="_7erazgjsrgmm" w:colFirst="0" w:colLast="0"/>
      <w:bookmarkStart w:id="1" w:name="_Toc536797790"/>
      <w:bookmarkStart w:id="2" w:name="_Toc528227878"/>
      <w:bookmarkEnd w:id="0"/>
      <w:r w:rsidRPr="00E6515F">
        <w:rPr>
          <w:lang w:val="nl-BE"/>
        </w:rPr>
        <w:t>Inleiding</w:t>
      </w:r>
      <w:bookmarkEnd w:id="1"/>
    </w:p>
    <w:p w:rsidR="001521F4" w:rsidRPr="00E6515F" w:rsidRDefault="002A3D34" w:rsidP="00261B37">
      <w:pPr>
        <w:rPr>
          <w:lang w:val="nl-BE"/>
        </w:rPr>
      </w:pPr>
      <w:r>
        <w:rPr>
          <w:lang w:val="nl-BE"/>
        </w:rPr>
        <w:t>Het einde van de legislatuur 2014</w:t>
      </w:r>
      <w:r w:rsidR="00A667BD">
        <w:rPr>
          <w:lang w:val="nl-BE"/>
        </w:rPr>
        <w:t>-</w:t>
      </w:r>
      <w:r>
        <w:rPr>
          <w:lang w:val="nl-BE"/>
        </w:rPr>
        <w:t xml:space="preserve">2019 </w:t>
      </w:r>
      <w:r w:rsidR="00A667BD">
        <w:rPr>
          <w:lang w:val="nl-BE"/>
        </w:rPr>
        <w:t xml:space="preserve">van de Vlaamse Regering </w:t>
      </w:r>
      <w:r>
        <w:rPr>
          <w:lang w:val="nl-BE"/>
        </w:rPr>
        <w:t xml:space="preserve">komt stilaan in zicht. Traditioneel blikt het VAPH terug op de realisaties van de voorbije periode. In dit document vindt u </w:t>
      </w:r>
      <w:r w:rsidR="00A65DB8" w:rsidRPr="00E6515F">
        <w:rPr>
          <w:lang w:val="nl-BE"/>
        </w:rPr>
        <w:t>enerzijds</w:t>
      </w:r>
      <w:r w:rsidR="00261B37" w:rsidRPr="00E6515F">
        <w:rPr>
          <w:lang w:val="nl-BE"/>
        </w:rPr>
        <w:t xml:space="preserve"> een uitvoerige inhoudelijke analyse van de vele wijzigingen </w:t>
      </w:r>
      <w:r>
        <w:rPr>
          <w:lang w:val="nl-BE"/>
        </w:rPr>
        <w:t>die het beleid d</w:t>
      </w:r>
      <w:r w:rsidR="00C67BDF">
        <w:rPr>
          <w:lang w:val="nl-BE"/>
        </w:rPr>
        <w:t>e</w:t>
      </w:r>
      <w:r>
        <w:rPr>
          <w:lang w:val="nl-BE"/>
        </w:rPr>
        <w:t xml:space="preserve"> voorbije jaren gekenmerkt hebben. </w:t>
      </w:r>
      <w:r w:rsidR="00A65DB8" w:rsidRPr="00E6515F">
        <w:rPr>
          <w:lang w:val="nl-BE"/>
        </w:rPr>
        <w:t>Anderzijds werden de</w:t>
      </w:r>
      <w:r w:rsidR="00261B37" w:rsidRPr="00E6515F">
        <w:rPr>
          <w:lang w:val="nl-BE"/>
        </w:rPr>
        <w:t xml:space="preserve"> effecten van d</w:t>
      </w:r>
      <w:r w:rsidR="001B23E1">
        <w:rPr>
          <w:lang w:val="nl-BE"/>
        </w:rPr>
        <w:t>ie</w:t>
      </w:r>
      <w:r w:rsidR="00261B37" w:rsidRPr="00E6515F">
        <w:rPr>
          <w:lang w:val="nl-BE"/>
        </w:rPr>
        <w:t xml:space="preserve"> belangrijke wijzigingen cijfermatig in kaart </w:t>
      </w:r>
      <w:r w:rsidR="00A65DB8" w:rsidRPr="00E6515F">
        <w:rPr>
          <w:lang w:val="nl-BE"/>
        </w:rPr>
        <w:t>gebracht</w:t>
      </w:r>
      <w:r w:rsidR="00261B37" w:rsidRPr="00E6515F">
        <w:rPr>
          <w:lang w:val="nl-BE"/>
        </w:rPr>
        <w:t xml:space="preserve">. </w:t>
      </w:r>
    </w:p>
    <w:p w:rsidR="001521F4" w:rsidRPr="00E6515F" w:rsidRDefault="001521F4" w:rsidP="00261B37">
      <w:pPr>
        <w:rPr>
          <w:lang w:val="nl-BE"/>
        </w:rPr>
      </w:pPr>
    </w:p>
    <w:p w:rsidR="001521F4" w:rsidRDefault="001521F4" w:rsidP="00261B37">
      <w:pPr>
        <w:rPr>
          <w:lang w:val="nl-BE"/>
        </w:rPr>
      </w:pPr>
      <w:r w:rsidRPr="00E6515F">
        <w:rPr>
          <w:lang w:val="nl-BE"/>
        </w:rPr>
        <w:t>In het inhoudelijk</w:t>
      </w:r>
      <w:r w:rsidR="00C17340" w:rsidRPr="00E6515F">
        <w:rPr>
          <w:lang w:val="nl-BE"/>
        </w:rPr>
        <w:t>e</w:t>
      </w:r>
      <w:r w:rsidRPr="00E6515F">
        <w:rPr>
          <w:lang w:val="nl-BE"/>
        </w:rPr>
        <w:t xml:space="preserve"> luik </w:t>
      </w:r>
      <w:r w:rsidR="001B23E1">
        <w:rPr>
          <w:lang w:val="nl-BE"/>
        </w:rPr>
        <w:t>ligt de focus</w:t>
      </w:r>
      <w:r w:rsidRPr="00E6515F">
        <w:rPr>
          <w:lang w:val="nl-BE"/>
        </w:rPr>
        <w:t xml:space="preserve"> op de strategische doelstellingen </w:t>
      </w:r>
      <w:r w:rsidR="001B23E1">
        <w:rPr>
          <w:lang w:val="nl-BE"/>
        </w:rPr>
        <w:t xml:space="preserve">en de </w:t>
      </w:r>
      <w:r w:rsidRPr="00E6515F">
        <w:rPr>
          <w:lang w:val="nl-BE"/>
        </w:rPr>
        <w:t>daaraan gekoppelde operationele doelstellingen van de afgelopen legislatuur</w:t>
      </w:r>
      <w:r w:rsidR="001B23E1">
        <w:rPr>
          <w:lang w:val="nl-BE"/>
        </w:rPr>
        <w:t>,</w:t>
      </w:r>
      <w:r w:rsidRPr="00E6515F">
        <w:rPr>
          <w:lang w:val="nl-BE"/>
        </w:rPr>
        <w:t xml:space="preserve"> zoals vastgelegd in de beleidsbrief 2018-2019 van het </w:t>
      </w:r>
      <w:r w:rsidR="00F25788">
        <w:rPr>
          <w:lang w:val="nl-BE"/>
        </w:rPr>
        <w:t>D</w:t>
      </w:r>
      <w:r w:rsidR="00F25788" w:rsidRPr="00E6515F">
        <w:rPr>
          <w:lang w:val="nl-BE"/>
        </w:rPr>
        <w:t xml:space="preserve">epartement </w:t>
      </w:r>
      <w:r w:rsidRPr="00E6515F">
        <w:rPr>
          <w:lang w:val="nl-BE"/>
        </w:rPr>
        <w:t xml:space="preserve">Welzijn, </w:t>
      </w:r>
      <w:r w:rsidR="00E6515F" w:rsidRPr="00E6515F">
        <w:rPr>
          <w:lang w:val="nl-BE"/>
        </w:rPr>
        <w:t>V</w:t>
      </w:r>
      <w:r w:rsidRPr="00E6515F">
        <w:rPr>
          <w:lang w:val="nl-BE"/>
        </w:rPr>
        <w:t xml:space="preserve">olksgezondheid en </w:t>
      </w:r>
      <w:r w:rsidR="00E6515F" w:rsidRPr="00E6515F">
        <w:rPr>
          <w:lang w:val="nl-BE"/>
        </w:rPr>
        <w:t>G</w:t>
      </w:r>
      <w:r w:rsidRPr="00E6515F">
        <w:rPr>
          <w:lang w:val="nl-BE"/>
        </w:rPr>
        <w:t xml:space="preserve">ezin. Er wordt verduidelijkt op welke manier er in de voorbije jaren concreet ingezet is op </w:t>
      </w:r>
      <w:r w:rsidR="001B23E1">
        <w:rPr>
          <w:lang w:val="nl-BE"/>
        </w:rPr>
        <w:t>de realisatie</w:t>
      </w:r>
      <w:r w:rsidRPr="00E6515F">
        <w:rPr>
          <w:lang w:val="nl-BE"/>
        </w:rPr>
        <w:t xml:space="preserve"> van </w:t>
      </w:r>
      <w:r w:rsidR="001B23E1">
        <w:rPr>
          <w:lang w:val="nl-BE"/>
        </w:rPr>
        <w:t>die</w:t>
      </w:r>
      <w:r w:rsidR="001B23E1" w:rsidRPr="00E6515F">
        <w:rPr>
          <w:lang w:val="nl-BE"/>
        </w:rPr>
        <w:t xml:space="preserve"> </w:t>
      </w:r>
      <w:r w:rsidRPr="00E6515F">
        <w:rPr>
          <w:lang w:val="nl-BE"/>
        </w:rPr>
        <w:t xml:space="preserve">doelstellingen. </w:t>
      </w:r>
    </w:p>
    <w:p w:rsidR="001B23E1" w:rsidRPr="00E6515F" w:rsidRDefault="001B23E1" w:rsidP="00261B37">
      <w:pPr>
        <w:rPr>
          <w:lang w:val="nl-BE"/>
        </w:rPr>
      </w:pPr>
    </w:p>
    <w:p w:rsidR="00261B37" w:rsidRDefault="001B23E1" w:rsidP="00261B37">
      <w:pPr>
        <w:rPr>
          <w:lang w:val="nl-BE"/>
        </w:rPr>
      </w:pPr>
      <w:r>
        <w:rPr>
          <w:lang w:val="nl-BE"/>
        </w:rPr>
        <w:t>Het cijferluik omvat een</w:t>
      </w:r>
      <w:r w:rsidR="00261B37" w:rsidRPr="00E6515F">
        <w:rPr>
          <w:lang w:val="nl-BE"/>
        </w:rPr>
        <w:t xml:space="preserve"> terugblik op de voorbije twee legislaturen</w:t>
      </w:r>
      <w:r w:rsidR="001521F4" w:rsidRPr="00E6515F">
        <w:rPr>
          <w:lang w:val="nl-BE"/>
        </w:rPr>
        <w:t>, onder de voog</w:t>
      </w:r>
      <w:r w:rsidR="00C17340" w:rsidRPr="00E6515F">
        <w:rPr>
          <w:lang w:val="nl-BE"/>
        </w:rPr>
        <w:t>d</w:t>
      </w:r>
      <w:r w:rsidR="001521F4" w:rsidRPr="00E6515F">
        <w:rPr>
          <w:lang w:val="nl-BE"/>
        </w:rPr>
        <w:t xml:space="preserve">ij van </w:t>
      </w:r>
      <w:r w:rsidR="00126E79">
        <w:rPr>
          <w:lang w:val="nl-BE"/>
        </w:rPr>
        <w:t xml:space="preserve">dezelfde </w:t>
      </w:r>
      <w:r w:rsidRPr="001B23E1">
        <w:rPr>
          <w:lang w:val="nl-BE"/>
        </w:rPr>
        <w:t>Vlaams minister van Welzijn, Volksgezondheid en Gezin</w:t>
      </w:r>
      <w:r w:rsidR="00261B37" w:rsidRPr="00E6515F">
        <w:rPr>
          <w:lang w:val="nl-BE"/>
        </w:rPr>
        <w:t xml:space="preserve">. Door de </w:t>
      </w:r>
      <w:r>
        <w:rPr>
          <w:lang w:val="nl-BE"/>
        </w:rPr>
        <w:t>vele</w:t>
      </w:r>
      <w:r w:rsidRPr="00E6515F">
        <w:rPr>
          <w:lang w:val="nl-BE"/>
        </w:rPr>
        <w:t xml:space="preserve"> </w:t>
      </w:r>
      <w:r w:rsidR="00261B37" w:rsidRPr="00E6515F">
        <w:rPr>
          <w:lang w:val="nl-BE"/>
        </w:rPr>
        <w:t xml:space="preserve">wijzigingen is het niet eenvoudig om </w:t>
      </w:r>
      <w:r w:rsidR="003964E0">
        <w:rPr>
          <w:lang w:val="nl-BE"/>
        </w:rPr>
        <w:t xml:space="preserve">de </w:t>
      </w:r>
      <w:r w:rsidR="00261B37" w:rsidRPr="00E6515F">
        <w:rPr>
          <w:lang w:val="nl-BE"/>
        </w:rPr>
        <w:t xml:space="preserve">cijfers over </w:t>
      </w:r>
      <w:r>
        <w:rPr>
          <w:lang w:val="nl-BE"/>
        </w:rPr>
        <w:t>d</w:t>
      </w:r>
      <w:r w:rsidR="009E0B94">
        <w:rPr>
          <w:lang w:val="nl-BE"/>
        </w:rPr>
        <w:t>i</w:t>
      </w:r>
      <w:r>
        <w:rPr>
          <w:lang w:val="nl-BE"/>
        </w:rPr>
        <w:t>e</w:t>
      </w:r>
      <w:r w:rsidRPr="00E6515F">
        <w:rPr>
          <w:lang w:val="nl-BE"/>
        </w:rPr>
        <w:t xml:space="preserve"> </w:t>
      </w:r>
      <w:r w:rsidR="00261B37" w:rsidRPr="00E6515F">
        <w:rPr>
          <w:lang w:val="nl-BE"/>
        </w:rPr>
        <w:t xml:space="preserve">periode vergelijkbaar te maken. </w:t>
      </w:r>
    </w:p>
    <w:p w:rsidR="001B23E1" w:rsidRPr="00E6515F" w:rsidRDefault="001B23E1" w:rsidP="00261B37">
      <w:pPr>
        <w:rPr>
          <w:lang w:val="nl-BE"/>
        </w:rPr>
      </w:pPr>
    </w:p>
    <w:p w:rsidR="00C17340" w:rsidRPr="00E6515F" w:rsidRDefault="00C17340" w:rsidP="00C17340">
      <w:pPr>
        <w:rPr>
          <w:lang w:val="nl-BE"/>
        </w:rPr>
      </w:pPr>
      <w:r w:rsidRPr="00E6515F">
        <w:rPr>
          <w:lang w:val="nl-BE"/>
        </w:rPr>
        <w:t xml:space="preserve">Als </w:t>
      </w:r>
      <w:r w:rsidR="00234CB4">
        <w:rPr>
          <w:lang w:val="nl-BE"/>
        </w:rPr>
        <w:t>bijlage vindt u een</w:t>
      </w:r>
      <w:r w:rsidRPr="00E6515F">
        <w:rPr>
          <w:lang w:val="nl-BE"/>
        </w:rPr>
        <w:t xml:space="preserve">  overzicht van de relevante</w:t>
      </w:r>
      <w:r w:rsidR="009044A8" w:rsidRPr="00E6515F">
        <w:rPr>
          <w:lang w:val="nl-BE"/>
        </w:rPr>
        <w:t xml:space="preserve"> regelgeving. Het gaat </w:t>
      </w:r>
      <w:r w:rsidR="00234CB4">
        <w:rPr>
          <w:lang w:val="nl-BE"/>
        </w:rPr>
        <w:t>om</w:t>
      </w:r>
      <w:r w:rsidRPr="00E6515F">
        <w:rPr>
          <w:lang w:val="nl-BE"/>
        </w:rPr>
        <w:t xml:space="preserve"> de ministeriële besluiten, </w:t>
      </w:r>
      <w:r w:rsidR="009044A8" w:rsidRPr="00E6515F">
        <w:rPr>
          <w:lang w:val="nl-BE"/>
        </w:rPr>
        <w:t xml:space="preserve">de </w:t>
      </w:r>
      <w:r w:rsidRPr="00E6515F">
        <w:rPr>
          <w:lang w:val="nl-BE"/>
        </w:rPr>
        <w:t xml:space="preserve">besluiten van de Vlaamse </w:t>
      </w:r>
      <w:r w:rsidR="00234CB4">
        <w:rPr>
          <w:lang w:val="nl-BE"/>
        </w:rPr>
        <w:t>R</w:t>
      </w:r>
      <w:r w:rsidRPr="00E6515F">
        <w:rPr>
          <w:lang w:val="nl-BE"/>
        </w:rPr>
        <w:t xml:space="preserve">egering en de decreten die in de afgelopen legislatuur werden opgemaakt. </w:t>
      </w:r>
      <w:r w:rsidR="00234CB4">
        <w:rPr>
          <w:lang w:val="nl-BE"/>
        </w:rPr>
        <w:t>Daarnaast vindt u ook een afkortingenlijst.</w:t>
      </w:r>
    </w:p>
    <w:p w:rsidR="00C17340" w:rsidRPr="00E6515F" w:rsidRDefault="00C17340" w:rsidP="00261B37">
      <w:pPr>
        <w:rPr>
          <w:lang w:val="nl-BE"/>
        </w:rPr>
      </w:pPr>
    </w:p>
    <w:p w:rsidR="002A3D34" w:rsidRDefault="00AA46CB" w:rsidP="005A17C5">
      <w:pPr>
        <w:rPr>
          <w:lang w:val="nl-BE"/>
        </w:rPr>
      </w:pPr>
      <w:r w:rsidRPr="00AA46CB">
        <w:rPr>
          <w:lang w:val="nl-BE"/>
        </w:rPr>
        <w:t>Dit uitvoerige document werd geschreven door het team Cijfers, Boekhouding en Budget en het team Beleid, dankzij de inbreng van verschillende afdelingen en teams van het VAPH die hun steentje bijgedragen hebben</w:t>
      </w:r>
      <w:r>
        <w:rPr>
          <w:lang w:val="nl-BE"/>
        </w:rPr>
        <w:t xml:space="preserve">. </w:t>
      </w:r>
    </w:p>
    <w:p w:rsidR="002A3D34" w:rsidRDefault="002A3D34" w:rsidP="005A17C5">
      <w:pPr>
        <w:rPr>
          <w:lang w:val="nl-BE"/>
        </w:rPr>
      </w:pPr>
    </w:p>
    <w:p w:rsidR="00C27F61" w:rsidRPr="00E6515F" w:rsidRDefault="00C27F61" w:rsidP="005A17C5">
      <w:pPr>
        <w:rPr>
          <w:lang w:val="nl-BE"/>
        </w:rPr>
      </w:pPr>
      <w:r w:rsidRPr="00E6515F">
        <w:rPr>
          <w:lang w:val="nl-BE"/>
        </w:rPr>
        <w:t xml:space="preserve">In dit document zijn geen predicties naar de toekomst opgenomen. </w:t>
      </w:r>
      <w:r w:rsidR="002A3D34">
        <w:rPr>
          <w:lang w:val="nl-BE"/>
        </w:rPr>
        <w:t xml:space="preserve">Het VAPH bereidt in de loop van de komende maanden een </w:t>
      </w:r>
      <w:proofErr w:type="spellStart"/>
      <w:r w:rsidR="002A3D34">
        <w:rPr>
          <w:lang w:val="nl-BE"/>
        </w:rPr>
        <w:t>meerjarenanalyse</w:t>
      </w:r>
      <w:proofErr w:type="spellEnd"/>
      <w:r w:rsidR="002A3D34">
        <w:rPr>
          <w:lang w:val="nl-BE"/>
        </w:rPr>
        <w:t xml:space="preserve"> en </w:t>
      </w:r>
      <w:r w:rsidR="00234CB4">
        <w:rPr>
          <w:lang w:val="nl-BE"/>
        </w:rPr>
        <w:t>-</w:t>
      </w:r>
      <w:r w:rsidR="002A3D34">
        <w:rPr>
          <w:lang w:val="nl-BE"/>
        </w:rPr>
        <w:t xml:space="preserve">planning voor. </w:t>
      </w:r>
    </w:p>
    <w:p w:rsidR="00C27F61" w:rsidRPr="00E6515F" w:rsidRDefault="00C27F61" w:rsidP="00261B37">
      <w:pPr>
        <w:rPr>
          <w:lang w:val="nl-BE"/>
        </w:rPr>
      </w:pPr>
    </w:p>
    <w:p w:rsidR="00261B37" w:rsidRPr="00E6515F" w:rsidRDefault="00261B37" w:rsidP="00E6515F">
      <w:pPr>
        <w:pStyle w:val="Lijstalinea"/>
        <w:numPr>
          <w:ilvl w:val="0"/>
          <w:numId w:val="18"/>
        </w:numPr>
        <w:rPr>
          <w:b/>
          <w:sz w:val="38"/>
          <w:szCs w:val="38"/>
          <w:lang w:val="nl-BE"/>
        </w:rPr>
      </w:pPr>
      <w:r w:rsidRPr="00E6515F">
        <w:rPr>
          <w:lang w:val="nl-BE"/>
        </w:rPr>
        <w:br w:type="page"/>
      </w:r>
    </w:p>
    <w:p w:rsidR="00CD1B8C" w:rsidRPr="00E6515F" w:rsidRDefault="009E0B94">
      <w:pPr>
        <w:pStyle w:val="Kop1"/>
        <w:widowControl w:val="0"/>
        <w:numPr>
          <w:ilvl w:val="0"/>
          <w:numId w:val="1"/>
        </w:numPr>
        <w:pBdr>
          <w:top w:val="nil"/>
          <w:left w:val="nil"/>
          <w:bottom w:val="nil"/>
          <w:right w:val="nil"/>
          <w:between w:val="nil"/>
        </w:pBdr>
        <w:spacing w:line="360" w:lineRule="auto"/>
        <w:ind w:left="544" w:hanging="570"/>
        <w:rPr>
          <w:lang w:val="nl-BE"/>
        </w:rPr>
      </w:pPr>
      <w:bookmarkStart w:id="3" w:name="_Toc536797791"/>
      <w:bookmarkEnd w:id="2"/>
      <w:r>
        <w:rPr>
          <w:lang w:val="nl-BE"/>
        </w:rPr>
        <w:lastRenderedPageBreak/>
        <w:t>Managements</w:t>
      </w:r>
      <w:r w:rsidR="00505041">
        <w:rPr>
          <w:lang w:val="nl-BE"/>
        </w:rPr>
        <w:t>amenvatting</w:t>
      </w:r>
      <w:bookmarkEnd w:id="3"/>
    </w:p>
    <w:p w:rsidR="00C53927" w:rsidRPr="00E6515F" w:rsidRDefault="002859D7" w:rsidP="009F347E">
      <w:pPr>
        <w:jc w:val="both"/>
        <w:rPr>
          <w:lang w:val="nl-BE"/>
        </w:rPr>
      </w:pPr>
      <w:r w:rsidRPr="00E6515F">
        <w:rPr>
          <w:lang w:val="nl-BE"/>
        </w:rPr>
        <w:t>De voorbije jaren werd het ondersteuningsbeleid voor personen met een handicap in Vlaanderen gekenmerkt door belangrijke veranderingen.  Het Perspectief</w:t>
      </w:r>
      <w:r w:rsidR="00505041">
        <w:rPr>
          <w:lang w:val="nl-BE"/>
        </w:rPr>
        <w:t>p</w:t>
      </w:r>
      <w:r w:rsidRPr="00E6515F">
        <w:rPr>
          <w:lang w:val="nl-BE"/>
        </w:rPr>
        <w:t xml:space="preserve">lan 2020 van was </w:t>
      </w:r>
      <w:r w:rsidR="00505041">
        <w:rPr>
          <w:lang w:val="nl-BE"/>
        </w:rPr>
        <w:t>daar</w:t>
      </w:r>
      <w:r w:rsidR="00505041" w:rsidRPr="00E6515F">
        <w:rPr>
          <w:lang w:val="nl-BE"/>
        </w:rPr>
        <w:t xml:space="preserve">bij </w:t>
      </w:r>
      <w:r w:rsidRPr="00E6515F">
        <w:rPr>
          <w:lang w:val="nl-BE"/>
        </w:rPr>
        <w:t xml:space="preserve">een belangrijk richtsnoer. </w:t>
      </w:r>
      <w:r w:rsidR="00BC2325" w:rsidRPr="00E6515F">
        <w:rPr>
          <w:lang w:val="nl-BE"/>
        </w:rPr>
        <w:t xml:space="preserve">De kerndoelstellingen van </w:t>
      </w:r>
      <w:r w:rsidR="00505041">
        <w:rPr>
          <w:lang w:val="nl-BE"/>
        </w:rPr>
        <w:t>dat</w:t>
      </w:r>
      <w:r w:rsidR="00505041" w:rsidRPr="00E6515F">
        <w:rPr>
          <w:lang w:val="nl-BE"/>
        </w:rPr>
        <w:t xml:space="preserve"> </w:t>
      </w:r>
      <w:r w:rsidR="00BC2325" w:rsidRPr="00E6515F">
        <w:rPr>
          <w:lang w:val="nl-BE"/>
        </w:rPr>
        <w:t xml:space="preserve">plan waren: </w:t>
      </w:r>
    </w:p>
    <w:p w:rsidR="00BC2325" w:rsidRPr="00E6515F" w:rsidRDefault="00BC2325" w:rsidP="00BC2325">
      <w:pPr>
        <w:pStyle w:val="Lijstalinea"/>
        <w:numPr>
          <w:ilvl w:val="0"/>
          <w:numId w:val="17"/>
        </w:numPr>
        <w:jc w:val="both"/>
        <w:rPr>
          <w:lang w:val="nl-BE"/>
        </w:rPr>
      </w:pPr>
      <w:r w:rsidRPr="00E6515F">
        <w:rPr>
          <w:lang w:val="nl-BE"/>
        </w:rPr>
        <w:t>In 2020 is er een garantie op zorg voor de personen met een handicap met de grootste ondersteuningsnood onder de vorm van zorg en assistentie</w:t>
      </w:r>
      <w:r w:rsidR="002956EF" w:rsidRPr="00E6515F">
        <w:rPr>
          <w:lang w:val="nl-BE"/>
        </w:rPr>
        <w:t xml:space="preserve"> in natura of in contanten.</w:t>
      </w:r>
      <w:r w:rsidR="002956EF" w:rsidRPr="00E6515F">
        <w:rPr>
          <w:rStyle w:val="Voetnootmarkering"/>
          <w:lang w:val="nl-BE"/>
        </w:rPr>
        <w:footnoteReference w:id="1"/>
      </w:r>
    </w:p>
    <w:p w:rsidR="00BC2325" w:rsidRPr="004254F6" w:rsidRDefault="00BC2325" w:rsidP="00BC2325">
      <w:pPr>
        <w:pStyle w:val="Lijstalinea"/>
        <w:numPr>
          <w:ilvl w:val="0"/>
          <w:numId w:val="17"/>
        </w:numPr>
        <w:jc w:val="both"/>
        <w:rPr>
          <w:lang w:val="nl-BE"/>
        </w:rPr>
      </w:pPr>
      <w:r w:rsidRPr="00E6515F">
        <w:rPr>
          <w:lang w:val="nl-BE"/>
        </w:rPr>
        <w:t xml:space="preserve">In 2020 genieten geïnformeerde gebruikers van </w:t>
      </w:r>
      <w:proofErr w:type="spellStart"/>
      <w:r w:rsidRPr="00E6515F">
        <w:rPr>
          <w:lang w:val="nl-BE"/>
        </w:rPr>
        <w:t>vraaggestuurde</w:t>
      </w:r>
      <w:proofErr w:type="spellEnd"/>
      <w:r w:rsidRPr="00E6515F">
        <w:rPr>
          <w:lang w:val="nl-BE"/>
        </w:rPr>
        <w:t xml:space="preserve"> zorg en assistentie </w:t>
      </w:r>
      <w:r w:rsidR="002956EF" w:rsidRPr="00E6515F">
        <w:rPr>
          <w:lang w:val="nl-BE"/>
        </w:rPr>
        <w:t>in een inclusieve samenleving.</w:t>
      </w:r>
      <w:r w:rsidR="002956EF" w:rsidRPr="00E6515F">
        <w:rPr>
          <w:vertAlign w:val="superscript"/>
          <w:lang w:val="nl-BE"/>
        </w:rPr>
        <w:t>1</w:t>
      </w:r>
    </w:p>
    <w:p w:rsidR="003964E0" w:rsidRPr="00E6515F" w:rsidRDefault="003964E0" w:rsidP="004254F6">
      <w:pPr>
        <w:pStyle w:val="Lijstalinea"/>
        <w:jc w:val="both"/>
        <w:rPr>
          <w:lang w:val="nl-BE"/>
        </w:rPr>
      </w:pPr>
    </w:p>
    <w:p w:rsidR="003964E0" w:rsidRDefault="0019247C" w:rsidP="009F347E">
      <w:pPr>
        <w:jc w:val="both"/>
        <w:rPr>
          <w:lang w:val="nl-BE"/>
        </w:rPr>
      </w:pPr>
      <w:r w:rsidRPr="00E6515F">
        <w:rPr>
          <w:lang w:val="nl-BE"/>
        </w:rPr>
        <w:t xml:space="preserve">Deze </w:t>
      </w:r>
      <w:r w:rsidR="005A17C5" w:rsidRPr="00E6515F">
        <w:rPr>
          <w:lang w:val="nl-BE"/>
        </w:rPr>
        <w:t xml:space="preserve">terugblik op de realisaties van de afgelopen legislaturen </w:t>
      </w:r>
      <w:r w:rsidRPr="00E6515F">
        <w:rPr>
          <w:lang w:val="nl-BE"/>
        </w:rPr>
        <w:t xml:space="preserve">heeft de bedoeling om de effecten van de belangrijke wijzigingen in het beleid in kaart te brengen. Het gaat om een terugblik op de voorbije twee legislaturen. </w:t>
      </w:r>
      <w:r w:rsidR="0030792C" w:rsidRPr="00E6515F">
        <w:rPr>
          <w:lang w:val="nl-BE"/>
        </w:rPr>
        <w:t>Door de vele</w:t>
      </w:r>
      <w:r w:rsidR="00C1248B" w:rsidRPr="00E6515F">
        <w:rPr>
          <w:lang w:val="nl-BE"/>
        </w:rPr>
        <w:t xml:space="preserve"> wijzigingen is het niet eenvoudig om </w:t>
      </w:r>
      <w:r w:rsidR="003964E0">
        <w:rPr>
          <w:lang w:val="nl-BE"/>
        </w:rPr>
        <w:t xml:space="preserve">de </w:t>
      </w:r>
      <w:r w:rsidR="00C1248B" w:rsidRPr="00E6515F">
        <w:rPr>
          <w:lang w:val="nl-BE"/>
        </w:rPr>
        <w:t xml:space="preserve">cijfers over </w:t>
      </w:r>
      <w:r w:rsidR="003964E0">
        <w:rPr>
          <w:lang w:val="nl-BE"/>
        </w:rPr>
        <w:t>die</w:t>
      </w:r>
      <w:r w:rsidR="003964E0" w:rsidRPr="00E6515F">
        <w:rPr>
          <w:lang w:val="nl-BE"/>
        </w:rPr>
        <w:t xml:space="preserve"> </w:t>
      </w:r>
      <w:r w:rsidR="00C1248B" w:rsidRPr="00E6515F">
        <w:rPr>
          <w:lang w:val="nl-BE"/>
        </w:rPr>
        <w:t xml:space="preserve">periode vergelijkbaar te maken. </w:t>
      </w:r>
    </w:p>
    <w:p w:rsidR="003964E0" w:rsidRDefault="003964E0" w:rsidP="009F347E">
      <w:pPr>
        <w:jc w:val="both"/>
        <w:rPr>
          <w:lang w:val="nl-BE"/>
        </w:rPr>
      </w:pPr>
    </w:p>
    <w:p w:rsidR="0019247C" w:rsidRPr="00E6515F" w:rsidRDefault="004254F6" w:rsidP="009F347E">
      <w:pPr>
        <w:jc w:val="both"/>
        <w:rPr>
          <w:lang w:val="nl-BE"/>
        </w:rPr>
      </w:pPr>
      <w:r>
        <w:rPr>
          <w:lang w:val="nl-BE"/>
        </w:rPr>
        <w:t>Een zeker zicht op</w:t>
      </w:r>
      <w:r w:rsidR="00C1248B" w:rsidRPr="00E6515F">
        <w:rPr>
          <w:lang w:val="nl-BE"/>
        </w:rPr>
        <w:t xml:space="preserve"> </w:t>
      </w:r>
      <w:r w:rsidR="003964E0">
        <w:rPr>
          <w:lang w:val="nl-BE"/>
        </w:rPr>
        <w:t xml:space="preserve">de belangrijke wijzigingen is van </w:t>
      </w:r>
      <w:r w:rsidR="00C1248B" w:rsidRPr="00E6515F">
        <w:rPr>
          <w:lang w:val="nl-BE"/>
        </w:rPr>
        <w:t xml:space="preserve">belang om bepaalde evoluties te kunnen begrijpen. </w:t>
      </w:r>
      <w:r w:rsidR="003964E0">
        <w:rPr>
          <w:lang w:val="nl-BE"/>
        </w:rPr>
        <w:t>Die wijzigingen worden in de volgende alinea’s geschetst.</w:t>
      </w:r>
    </w:p>
    <w:p w:rsidR="004C3D11" w:rsidRPr="00E6515F" w:rsidRDefault="004C3D11" w:rsidP="009F347E">
      <w:pPr>
        <w:jc w:val="both"/>
        <w:rPr>
          <w:lang w:val="nl-BE"/>
        </w:rPr>
      </w:pPr>
    </w:p>
    <w:p w:rsidR="00C24A9E" w:rsidRPr="00E6515F" w:rsidRDefault="003964E0" w:rsidP="009F347E">
      <w:pPr>
        <w:jc w:val="both"/>
        <w:rPr>
          <w:lang w:val="nl-BE"/>
        </w:rPr>
      </w:pPr>
      <w:r>
        <w:rPr>
          <w:lang w:val="nl-BE"/>
        </w:rPr>
        <w:t>Voor</w:t>
      </w:r>
      <w:r w:rsidRPr="00E6515F">
        <w:rPr>
          <w:lang w:val="nl-BE"/>
        </w:rPr>
        <w:t xml:space="preserve"> </w:t>
      </w:r>
      <w:r w:rsidR="002859D7" w:rsidRPr="00E6515F">
        <w:rPr>
          <w:lang w:val="nl-BE"/>
        </w:rPr>
        <w:t xml:space="preserve">de </w:t>
      </w:r>
      <w:r w:rsidRPr="00E6515F">
        <w:rPr>
          <w:lang w:val="nl-BE"/>
        </w:rPr>
        <w:t>meerderjarige</w:t>
      </w:r>
      <w:r>
        <w:rPr>
          <w:lang w:val="nl-BE"/>
        </w:rPr>
        <w:t xml:space="preserve"> personen met een hand</w:t>
      </w:r>
      <w:r w:rsidR="004254F6">
        <w:rPr>
          <w:lang w:val="nl-BE"/>
        </w:rPr>
        <w:t>i</w:t>
      </w:r>
      <w:r>
        <w:rPr>
          <w:lang w:val="nl-BE"/>
        </w:rPr>
        <w:t>cap</w:t>
      </w:r>
      <w:r w:rsidRPr="00E6515F">
        <w:rPr>
          <w:lang w:val="nl-BE"/>
        </w:rPr>
        <w:t xml:space="preserve"> </w:t>
      </w:r>
      <w:r w:rsidR="002859D7" w:rsidRPr="00E6515F">
        <w:rPr>
          <w:lang w:val="nl-BE"/>
        </w:rPr>
        <w:t xml:space="preserve">werd het </w:t>
      </w:r>
      <w:proofErr w:type="spellStart"/>
      <w:r w:rsidR="002859D7" w:rsidRPr="00E6515F">
        <w:rPr>
          <w:lang w:val="nl-BE"/>
        </w:rPr>
        <w:t>aanbodgestuurde</w:t>
      </w:r>
      <w:proofErr w:type="spellEnd"/>
      <w:r w:rsidR="002859D7" w:rsidRPr="00E6515F">
        <w:rPr>
          <w:lang w:val="nl-BE"/>
        </w:rPr>
        <w:t xml:space="preserve"> subsidiëringssysteem vervangen door </w:t>
      </w:r>
      <w:r>
        <w:rPr>
          <w:lang w:val="nl-BE"/>
        </w:rPr>
        <w:t xml:space="preserve">het systeem van </w:t>
      </w:r>
      <w:r w:rsidR="002859D7" w:rsidRPr="00E6515F">
        <w:rPr>
          <w:lang w:val="nl-BE"/>
        </w:rPr>
        <w:t xml:space="preserve">de persoonsvolgende financiering. </w:t>
      </w:r>
      <w:r w:rsidRPr="00E6515F">
        <w:rPr>
          <w:lang w:val="nl-BE"/>
        </w:rPr>
        <w:t>D</w:t>
      </w:r>
      <w:r>
        <w:rPr>
          <w:lang w:val="nl-BE"/>
        </w:rPr>
        <w:t>a</w:t>
      </w:r>
      <w:r w:rsidR="004254F6">
        <w:rPr>
          <w:lang w:val="nl-BE"/>
        </w:rPr>
        <w:t>t</w:t>
      </w:r>
      <w:r w:rsidRPr="00E6515F">
        <w:rPr>
          <w:lang w:val="nl-BE"/>
        </w:rPr>
        <w:t xml:space="preserve"> </w:t>
      </w:r>
      <w:r w:rsidR="008F6E91" w:rsidRPr="00E6515F">
        <w:rPr>
          <w:lang w:val="nl-BE"/>
        </w:rPr>
        <w:t xml:space="preserve">systeem bestaat uit </w:t>
      </w:r>
      <w:r>
        <w:rPr>
          <w:lang w:val="nl-BE"/>
        </w:rPr>
        <w:t>twee</w:t>
      </w:r>
      <w:r w:rsidRPr="00E6515F">
        <w:rPr>
          <w:lang w:val="nl-BE"/>
        </w:rPr>
        <w:t xml:space="preserve"> </w:t>
      </w:r>
      <w:r w:rsidR="008F6E91" w:rsidRPr="00E6515F">
        <w:rPr>
          <w:lang w:val="nl-BE"/>
        </w:rPr>
        <w:t>trappen. Trap 1 bestaat uit rechtstreeks toegankelijk</w:t>
      </w:r>
      <w:r w:rsidR="006F7185">
        <w:rPr>
          <w:lang w:val="nl-BE"/>
        </w:rPr>
        <w:t>e</w:t>
      </w:r>
      <w:r w:rsidR="008F6E91" w:rsidRPr="00E6515F">
        <w:rPr>
          <w:lang w:val="nl-BE"/>
        </w:rPr>
        <w:t xml:space="preserve">  hulp </w:t>
      </w:r>
      <w:r w:rsidR="009E0B94">
        <w:rPr>
          <w:lang w:val="nl-BE"/>
        </w:rPr>
        <w:t xml:space="preserve">(RTH) </w:t>
      </w:r>
      <w:r w:rsidR="008F6E91" w:rsidRPr="00E6515F">
        <w:rPr>
          <w:lang w:val="nl-BE"/>
        </w:rPr>
        <w:t xml:space="preserve">en een zorgbudget voor </w:t>
      </w:r>
      <w:r w:rsidR="00B92A87">
        <w:rPr>
          <w:lang w:val="nl-BE"/>
        </w:rPr>
        <w:t>mensen</w:t>
      </w:r>
      <w:r w:rsidR="00B92A87" w:rsidRPr="00E6515F">
        <w:rPr>
          <w:lang w:val="nl-BE"/>
        </w:rPr>
        <w:t xml:space="preserve"> </w:t>
      </w:r>
      <w:r w:rsidR="008F6E91" w:rsidRPr="00E6515F">
        <w:rPr>
          <w:lang w:val="nl-BE"/>
        </w:rPr>
        <w:t xml:space="preserve">met een handicap (voorheen </w:t>
      </w:r>
      <w:proofErr w:type="spellStart"/>
      <w:r w:rsidR="008F6E91" w:rsidRPr="00E6515F">
        <w:rPr>
          <w:lang w:val="nl-BE"/>
        </w:rPr>
        <w:t>basisondersteuningsbudget</w:t>
      </w:r>
      <w:proofErr w:type="spellEnd"/>
      <w:r w:rsidR="00D8311C">
        <w:rPr>
          <w:lang w:val="nl-BE"/>
        </w:rPr>
        <w:t xml:space="preserve"> (BOB)</w:t>
      </w:r>
      <w:r w:rsidR="003D721D" w:rsidRPr="00E6515F">
        <w:rPr>
          <w:lang w:val="nl-BE"/>
        </w:rPr>
        <w:t>)</w:t>
      </w:r>
      <w:r w:rsidR="008F6E91" w:rsidRPr="00E6515F">
        <w:rPr>
          <w:lang w:val="nl-BE"/>
        </w:rPr>
        <w:t xml:space="preserve">. Voor </w:t>
      </w:r>
      <w:r w:rsidR="006F7185">
        <w:rPr>
          <w:lang w:val="nl-BE"/>
        </w:rPr>
        <w:t xml:space="preserve">de personen met een handicap voor </w:t>
      </w:r>
      <w:r w:rsidR="008F6E91" w:rsidRPr="00E6515F">
        <w:rPr>
          <w:lang w:val="nl-BE"/>
        </w:rPr>
        <w:t xml:space="preserve">wie trap 1 onvoldoende ondersteuning biedt, wordt binnen </w:t>
      </w:r>
      <w:r>
        <w:rPr>
          <w:lang w:val="nl-BE"/>
        </w:rPr>
        <w:t xml:space="preserve">trap 2, </w:t>
      </w:r>
      <w:r w:rsidR="008F6E91" w:rsidRPr="00E6515F">
        <w:rPr>
          <w:lang w:val="nl-BE"/>
        </w:rPr>
        <w:t>de niet-rechtstreeks toegankelijke hulp</w:t>
      </w:r>
      <w:r w:rsidR="009E0B94">
        <w:rPr>
          <w:lang w:val="nl-BE"/>
        </w:rPr>
        <w:t xml:space="preserve"> (</w:t>
      </w:r>
      <w:proofErr w:type="spellStart"/>
      <w:r w:rsidR="009E0B94">
        <w:rPr>
          <w:lang w:val="nl-BE"/>
        </w:rPr>
        <w:t>nRTH</w:t>
      </w:r>
      <w:proofErr w:type="spellEnd"/>
      <w:r w:rsidR="009E0B94">
        <w:rPr>
          <w:lang w:val="nl-BE"/>
        </w:rPr>
        <w:t>)</w:t>
      </w:r>
      <w:r>
        <w:rPr>
          <w:lang w:val="nl-BE"/>
        </w:rPr>
        <w:t>,</w:t>
      </w:r>
      <w:r w:rsidR="008F6E91" w:rsidRPr="00E6515F">
        <w:rPr>
          <w:lang w:val="nl-BE"/>
        </w:rPr>
        <w:t xml:space="preserve"> een persoonsvolgend budget </w:t>
      </w:r>
      <w:r w:rsidR="009E0B94">
        <w:rPr>
          <w:lang w:val="nl-BE"/>
        </w:rPr>
        <w:t xml:space="preserve">(PVB) </w:t>
      </w:r>
      <w:r w:rsidR="008F6E91" w:rsidRPr="00E6515F">
        <w:rPr>
          <w:lang w:val="nl-BE"/>
        </w:rPr>
        <w:t xml:space="preserve">voorzien. </w:t>
      </w:r>
      <w:r w:rsidR="002859D7" w:rsidRPr="00E6515F">
        <w:rPr>
          <w:lang w:val="nl-BE"/>
        </w:rPr>
        <w:t xml:space="preserve">Gekoppeld aan </w:t>
      </w:r>
      <w:r>
        <w:rPr>
          <w:lang w:val="nl-BE"/>
        </w:rPr>
        <w:t>die</w:t>
      </w:r>
      <w:r w:rsidRPr="00E6515F">
        <w:rPr>
          <w:lang w:val="nl-BE"/>
        </w:rPr>
        <w:t xml:space="preserve"> </w:t>
      </w:r>
      <w:r w:rsidR="002859D7" w:rsidRPr="00E6515F">
        <w:rPr>
          <w:lang w:val="nl-BE"/>
        </w:rPr>
        <w:t>systeemshift worden zorgaanbieders gefaciliteerd om zich om te vormen tot  sociaal ondernemers</w:t>
      </w:r>
      <w:r w:rsidR="008F6E91" w:rsidRPr="00E6515F">
        <w:rPr>
          <w:lang w:val="nl-BE"/>
        </w:rPr>
        <w:t xml:space="preserve">. </w:t>
      </w:r>
      <w:r w:rsidR="002859D7" w:rsidRPr="00E6515F">
        <w:rPr>
          <w:lang w:val="nl-BE"/>
        </w:rPr>
        <w:t xml:space="preserve"> </w:t>
      </w:r>
      <w:r w:rsidR="006F7185">
        <w:rPr>
          <w:lang w:val="nl-BE"/>
        </w:rPr>
        <w:t>Ook</w:t>
      </w:r>
      <w:r w:rsidR="006F7185" w:rsidRPr="00E6515F">
        <w:rPr>
          <w:lang w:val="nl-BE"/>
        </w:rPr>
        <w:t xml:space="preserve"> </w:t>
      </w:r>
      <w:r w:rsidR="002859D7" w:rsidRPr="00E6515F">
        <w:rPr>
          <w:lang w:val="nl-BE"/>
        </w:rPr>
        <w:t xml:space="preserve">worden </w:t>
      </w:r>
      <w:r w:rsidR="006F7185">
        <w:rPr>
          <w:lang w:val="nl-BE"/>
        </w:rPr>
        <w:t xml:space="preserve">er </w:t>
      </w:r>
      <w:r w:rsidR="002859D7" w:rsidRPr="00E6515F">
        <w:rPr>
          <w:lang w:val="nl-BE"/>
        </w:rPr>
        <w:t>een aantal organisaties gefinancierd om de cliënt</w:t>
      </w:r>
      <w:r w:rsidR="009E0B94">
        <w:rPr>
          <w:lang w:val="nl-BE"/>
        </w:rPr>
        <w:t>en</w:t>
      </w:r>
      <w:r w:rsidR="002859D7" w:rsidRPr="00E6515F">
        <w:rPr>
          <w:lang w:val="nl-BE"/>
        </w:rPr>
        <w:t xml:space="preserve"> te ondersteunen bij netwerkversterking, vraagverheldering, het zoeken naar de gepaste (combinatie van) ondersteuning, de inzet van </w:t>
      </w:r>
      <w:r w:rsidR="00D623D3" w:rsidRPr="00E6515F">
        <w:rPr>
          <w:lang w:val="nl-BE"/>
        </w:rPr>
        <w:t>het persoonsvolgend</w:t>
      </w:r>
      <w:r w:rsidR="002859D7" w:rsidRPr="00E6515F">
        <w:rPr>
          <w:lang w:val="nl-BE"/>
        </w:rPr>
        <w:t xml:space="preserve"> budget</w:t>
      </w:r>
      <w:r w:rsidR="006F7185">
        <w:rPr>
          <w:lang w:val="nl-BE"/>
        </w:rPr>
        <w:t> </w:t>
      </w:r>
      <w:r w:rsidR="002859D7" w:rsidRPr="00E6515F">
        <w:rPr>
          <w:lang w:val="nl-BE"/>
        </w:rPr>
        <w:t xml:space="preserve">... </w:t>
      </w:r>
      <w:r w:rsidR="00844303" w:rsidRPr="00E6515F">
        <w:rPr>
          <w:lang w:val="nl-BE"/>
        </w:rPr>
        <w:t xml:space="preserve">De bestedingsmogelijkheden </w:t>
      </w:r>
      <w:r w:rsidR="006F7185">
        <w:rPr>
          <w:lang w:val="nl-BE"/>
        </w:rPr>
        <w:t>van</w:t>
      </w:r>
      <w:r w:rsidR="006F7185" w:rsidRPr="00E6515F">
        <w:rPr>
          <w:lang w:val="nl-BE"/>
        </w:rPr>
        <w:t xml:space="preserve"> </w:t>
      </w:r>
      <w:r w:rsidR="00844303" w:rsidRPr="00E6515F">
        <w:rPr>
          <w:lang w:val="nl-BE"/>
        </w:rPr>
        <w:t xml:space="preserve">het persoonsvolgend budget bieden </w:t>
      </w:r>
      <w:r w:rsidR="00893499" w:rsidRPr="00E6515F">
        <w:rPr>
          <w:lang w:val="nl-BE"/>
        </w:rPr>
        <w:t xml:space="preserve">optimale kansen </w:t>
      </w:r>
      <w:r w:rsidR="00844303" w:rsidRPr="00E6515F">
        <w:rPr>
          <w:lang w:val="nl-BE"/>
        </w:rPr>
        <w:t xml:space="preserve">om ondersteuning op maat te organiseren en maximaal in te zetten op de kwaliteit van leven van de persoon met een handicap en zijn naaste omgeving. </w:t>
      </w:r>
    </w:p>
    <w:p w:rsidR="00CD1B8C" w:rsidRPr="00E6515F" w:rsidRDefault="002859D7" w:rsidP="009F347E">
      <w:pPr>
        <w:jc w:val="both"/>
        <w:rPr>
          <w:lang w:val="nl-BE"/>
        </w:rPr>
      </w:pPr>
      <w:r w:rsidRPr="00E6515F">
        <w:rPr>
          <w:lang w:val="nl-BE"/>
        </w:rPr>
        <w:t xml:space="preserve">  </w:t>
      </w:r>
    </w:p>
    <w:p w:rsidR="00CD1B8C" w:rsidRPr="00E6515F" w:rsidRDefault="002859D7" w:rsidP="009F347E">
      <w:pPr>
        <w:jc w:val="both"/>
        <w:rPr>
          <w:lang w:val="nl-BE"/>
        </w:rPr>
      </w:pPr>
      <w:r w:rsidRPr="00E6515F">
        <w:rPr>
          <w:lang w:val="nl-BE"/>
        </w:rPr>
        <w:t xml:space="preserve">Ook </w:t>
      </w:r>
      <w:r w:rsidR="006F7185">
        <w:rPr>
          <w:lang w:val="nl-BE"/>
        </w:rPr>
        <w:t>voor</w:t>
      </w:r>
      <w:r w:rsidR="006F7185" w:rsidRPr="00E6515F">
        <w:rPr>
          <w:lang w:val="nl-BE"/>
        </w:rPr>
        <w:t xml:space="preserve"> </w:t>
      </w:r>
      <w:r w:rsidRPr="00E6515F">
        <w:rPr>
          <w:lang w:val="nl-BE"/>
        </w:rPr>
        <w:t xml:space="preserve">de </w:t>
      </w:r>
      <w:r w:rsidR="006F7185" w:rsidRPr="00E6515F">
        <w:rPr>
          <w:lang w:val="nl-BE"/>
        </w:rPr>
        <w:t>minderjarige</w:t>
      </w:r>
      <w:r w:rsidR="006F7185">
        <w:rPr>
          <w:lang w:val="nl-BE"/>
        </w:rPr>
        <w:t xml:space="preserve"> personen met een handicap</w:t>
      </w:r>
      <w:r w:rsidR="006F7185" w:rsidRPr="00E6515F">
        <w:rPr>
          <w:lang w:val="nl-BE"/>
        </w:rPr>
        <w:t xml:space="preserve"> </w:t>
      </w:r>
      <w:r w:rsidRPr="00E6515F">
        <w:rPr>
          <w:lang w:val="nl-BE"/>
        </w:rPr>
        <w:t>werden belangrijke veranderingen doorgevoerd. Ook voor hen werd het zorgbudget ingevoerd en werden diensten rechtstreeks toegankelijk</w:t>
      </w:r>
      <w:r w:rsidR="006F7185">
        <w:rPr>
          <w:lang w:val="nl-BE"/>
        </w:rPr>
        <w:t>e</w:t>
      </w:r>
      <w:r w:rsidRPr="00E6515F">
        <w:rPr>
          <w:lang w:val="nl-BE"/>
        </w:rPr>
        <w:t xml:space="preserve"> </w:t>
      </w:r>
      <w:r w:rsidR="00D8311C">
        <w:rPr>
          <w:lang w:val="nl-BE"/>
        </w:rPr>
        <w:t>hulp</w:t>
      </w:r>
      <w:r w:rsidR="00D8311C" w:rsidRPr="00E6515F">
        <w:rPr>
          <w:lang w:val="nl-BE"/>
        </w:rPr>
        <w:t xml:space="preserve"> </w:t>
      </w:r>
      <w:r w:rsidRPr="00E6515F">
        <w:rPr>
          <w:lang w:val="nl-BE"/>
        </w:rPr>
        <w:t xml:space="preserve">uitgebouwd. Het aandeel persoonsvolgende middelen werd sterk uitgebreid </w:t>
      </w:r>
      <w:r w:rsidR="006F7185">
        <w:rPr>
          <w:lang w:val="nl-BE"/>
        </w:rPr>
        <w:t>door middel van</w:t>
      </w:r>
      <w:r w:rsidRPr="00E6515F">
        <w:rPr>
          <w:lang w:val="nl-BE"/>
        </w:rPr>
        <w:t xml:space="preserve"> het persoonlijke</w:t>
      </w:r>
      <w:r w:rsidR="006F7185">
        <w:rPr>
          <w:lang w:val="nl-BE"/>
        </w:rPr>
        <w:t>-</w:t>
      </w:r>
      <w:r w:rsidRPr="00E6515F">
        <w:rPr>
          <w:lang w:val="nl-BE"/>
        </w:rPr>
        <w:t>assistentiebudget</w:t>
      </w:r>
      <w:r w:rsidR="001655E4" w:rsidRPr="00E6515F">
        <w:rPr>
          <w:lang w:val="nl-BE"/>
        </w:rPr>
        <w:t xml:space="preserve"> (PAB)</w:t>
      </w:r>
      <w:r w:rsidRPr="00E6515F">
        <w:rPr>
          <w:lang w:val="nl-BE"/>
        </w:rPr>
        <w:t xml:space="preserve">. De omschakeling van de ‘oude’ zorgvormen naar multifunctionele centra biedt de mogelijkheid om flexibel in te spelen op wisselende vragen van minderjarigen. </w:t>
      </w:r>
      <w:r w:rsidR="001655E4" w:rsidRPr="00E6515F">
        <w:rPr>
          <w:lang w:val="nl-BE"/>
        </w:rPr>
        <w:t>Jeugdhu</w:t>
      </w:r>
      <w:r w:rsidR="00B00D56" w:rsidRPr="00E6515F">
        <w:rPr>
          <w:lang w:val="nl-BE"/>
        </w:rPr>
        <w:t>l</w:t>
      </w:r>
      <w:r w:rsidR="001655E4" w:rsidRPr="00E6515F">
        <w:rPr>
          <w:lang w:val="nl-BE"/>
        </w:rPr>
        <w:t xml:space="preserve">p wordt in Vlaanderen niet per sector georganiseerd, maar over sectoren heen. </w:t>
      </w:r>
      <w:r w:rsidR="006F7185">
        <w:rPr>
          <w:lang w:val="nl-BE"/>
        </w:rPr>
        <w:t>Dat noemen we</w:t>
      </w:r>
      <w:r w:rsidR="001655E4" w:rsidRPr="00E6515F">
        <w:rPr>
          <w:lang w:val="nl-BE"/>
        </w:rPr>
        <w:t xml:space="preserve"> ‘integrale jeugdhulp’. </w:t>
      </w:r>
      <w:r w:rsidR="00B00D56" w:rsidRPr="00E6515F">
        <w:rPr>
          <w:lang w:val="nl-BE"/>
        </w:rPr>
        <w:t xml:space="preserve">Om aan elke minderjarige zo snel mogelijk de juiste ondersteuning te kunnen bieden, is verregaande samenwerking nodig tussen alle sectoren die betrokken zijn bij jeugdhulp, waaronder ook de sector voor personen met een handicap. </w:t>
      </w:r>
      <w:r w:rsidR="001655E4" w:rsidRPr="00E6515F">
        <w:rPr>
          <w:lang w:val="nl-BE"/>
        </w:rPr>
        <w:t xml:space="preserve">Vanaf maart 2014 worden aanvragen naar ondersteuning die </w:t>
      </w:r>
      <w:r w:rsidR="001655E4" w:rsidRPr="00E6515F">
        <w:rPr>
          <w:lang w:val="nl-BE"/>
        </w:rPr>
        <w:lastRenderedPageBreak/>
        <w:t xml:space="preserve">vroeger door het VAPH behandeld werden, </w:t>
      </w:r>
      <w:r w:rsidR="006F7185" w:rsidRPr="00E6515F">
        <w:rPr>
          <w:lang w:val="nl-BE"/>
        </w:rPr>
        <w:t>behandel</w:t>
      </w:r>
      <w:r w:rsidR="006F7185">
        <w:rPr>
          <w:lang w:val="nl-BE"/>
        </w:rPr>
        <w:t>d</w:t>
      </w:r>
      <w:r w:rsidR="006F7185" w:rsidRPr="00E6515F">
        <w:rPr>
          <w:lang w:val="nl-BE"/>
        </w:rPr>
        <w:t xml:space="preserve"> </w:t>
      </w:r>
      <w:r w:rsidR="001655E4" w:rsidRPr="00E6515F">
        <w:rPr>
          <w:lang w:val="nl-BE"/>
        </w:rPr>
        <w:t>door de intersectorale toegangspoort (ITP).</w:t>
      </w:r>
      <w:r w:rsidR="00B00D56" w:rsidRPr="00E6515F">
        <w:rPr>
          <w:lang w:val="nl-BE"/>
        </w:rPr>
        <w:t xml:space="preserve"> </w:t>
      </w:r>
      <w:r w:rsidR="0051103E">
        <w:rPr>
          <w:lang w:val="nl-BE"/>
        </w:rPr>
        <w:t>Die</w:t>
      </w:r>
      <w:r w:rsidR="0051103E" w:rsidRPr="00E6515F">
        <w:rPr>
          <w:lang w:val="nl-BE"/>
        </w:rPr>
        <w:t xml:space="preserve"> </w:t>
      </w:r>
      <w:r w:rsidR="00B00D56" w:rsidRPr="00E6515F">
        <w:rPr>
          <w:lang w:val="nl-BE"/>
        </w:rPr>
        <w:t xml:space="preserve">staat in voor de indicatiestelling en </w:t>
      </w:r>
      <w:r w:rsidR="0051103E">
        <w:rPr>
          <w:lang w:val="nl-BE"/>
        </w:rPr>
        <w:t xml:space="preserve">het </w:t>
      </w:r>
      <w:r w:rsidR="00B00D56" w:rsidRPr="00E6515F">
        <w:rPr>
          <w:lang w:val="nl-BE"/>
        </w:rPr>
        <w:t xml:space="preserve">zoeken naar geschikte opvang of begeleiding voor minderjarigen. </w:t>
      </w:r>
    </w:p>
    <w:p w:rsidR="00CD1B8C" w:rsidRPr="00E6515F" w:rsidRDefault="00CD1B8C" w:rsidP="009F347E">
      <w:pPr>
        <w:jc w:val="both"/>
        <w:rPr>
          <w:lang w:val="nl-BE"/>
        </w:rPr>
      </w:pPr>
    </w:p>
    <w:p w:rsidR="00CD1B8C" w:rsidRPr="00E6515F" w:rsidRDefault="002859D7" w:rsidP="009F347E">
      <w:pPr>
        <w:jc w:val="both"/>
        <w:rPr>
          <w:lang w:val="nl-BE"/>
        </w:rPr>
      </w:pPr>
      <w:r w:rsidRPr="00E6515F">
        <w:rPr>
          <w:lang w:val="nl-BE"/>
        </w:rPr>
        <w:t xml:space="preserve">Naast </w:t>
      </w:r>
      <w:r w:rsidR="0051103E">
        <w:rPr>
          <w:lang w:val="nl-BE"/>
        </w:rPr>
        <w:t>die</w:t>
      </w:r>
      <w:r w:rsidR="0051103E" w:rsidRPr="00E6515F">
        <w:rPr>
          <w:lang w:val="nl-BE"/>
        </w:rPr>
        <w:t xml:space="preserve"> </w:t>
      </w:r>
      <w:r w:rsidRPr="00E6515F">
        <w:rPr>
          <w:lang w:val="nl-BE"/>
        </w:rPr>
        <w:t>grote inhoudelijke wijzigingen werden de voorbije jaren ook belangrijke f</w:t>
      </w:r>
      <w:r w:rsidR="003C67A0" w:rsidRPr="00E6515F">
        <w:rPr>
          <w:lang w:val="nl-BE"/>
        </w:rPr>
        <w:t xml:space="preserve">inanciële inspanningen gedaan. In de afgelopen tien jaar werd ongeveer 50 procent extra geïnvesteerd voor de personen met een handicap. Elk jaar werden er namelijk heel wat uitbreidingsmiddelen toegevoegd aan de bestaande middelen. </w:t>
      </w:r>
    </w:p>
    <w:p w:rsidR="008F6E91" w:rsidRPr="00E6515F" w:rsidRDefault="008F6E91" w:rsidP="009F347E">
      <w:pPr>
        <w:jc w:val="both"/>
        <w:rPr>
          <w:lang w:val="nl-BE"/>
        </w:rPr>
      </w:pPr>
    </w:p>
    <w:p w:rsidR="003C67A0" w:rsidRPr="00E6515F" w:rsidRDefault="003822C9" w:rsidP="003822C9">
      <w:pPr>
        <w:pStyle w:val="Bijschrift"/>
        <w:rPr>
          <w:lang w:val="nl-BE"/>
        </w:rPr>
      </w:pPr>
      <w:r w:rsidRPr="00E6515F">
        <w:rPr>
          <w:lang w:val="nl-BE"/>
        </w:rPr>
        <w:t xml:space="preserve">Grafiek </w:t>
      </w:r>
      <w:r w:rsidRPr="00E6515F">
        <w:rPr>
          <w:lang w:val="nl-BE"/>
        </w:rPr>
        <w:fldChar w:fldCharType="begin"/>
      </w:r>
      <w:r w:rsidRPr="00E6515F">
        <w:rPr>
          <w:lang w:val="nl-BE"/>
        </w:rPr>
        <w:instrText xml:space="preserve"> SEQ Grafiek \* ARABIC </w:instrText>
      </w:r>
      <w:r w:rsidRPr="00E6515F">
        <w:rPr>
          <w:lang w:val="nl-BE"/>
        </w:rPr>
        <w:fldChar w:fldCharType="separate"/>
      </w:r>
      <w:r w:rsidR="0062760A">
        <w:rPr>
          <w:noProof/>
          <w:lang w:val="nl-BE"/>
        </w:rPr>
        <w:t>1</w:t>
      </w:r>
      <w:r w:rsidRPr="00E6515F">
        <w:rPr>
          <w:lang w:val="nl-BE"/>
        </w:rPr>
        <w:fldChar w:fldCharType="end"/>
      </w:r>
      <w:r w:rsidRPr="00E6515F">
        <w:rPr>
          <w:lang w:val="nl-BE"/>
        </w:rPr>
        <w:t xml:space="preserve">: Totaal budget </w:t>
      </w:r>
      <w:r w:rsidR="000A631D">
        <w:rPr>
          <w:lang w:val="nl-BE"/>
        </w:rPr>
        <w:t>voor</w:t>
      </w:r>
      <w:r w:rsidRPr="00E6515F">
        <w:rPr>
          <w:lang w:val="nl-BE"/>
        </w:rPr>
        <w:t xml:space="preserve"> ondersteuning voor personen met een handicap uitgedrukt in euro</w:t>
      </w:r>
    </w:p>
    <w:p w:rsidR="004C7883" w:rsidRPr="00E6515F" w:rsidRDefault="007A53BD" w:rsidP="009F347E">
      <w:pPr>
        <w:jc w:val="both"/>
        <w:rPr>
          <w:lang w:val="nl-BE"/>
        </w:rPr>
      </w:pPr>
      <w:r w:rsidRPr="00E6515F">
        <w:rPr>
          <w:noProof/>
          <w:lang w:val="nl-BE"/>
        </w:rPr>
        <w:drawing>
          <wp:inline distT="0" distB="0" distL="0" distR="0" wp14:anchorId="491D0B38" wp14:editId="7A4448A5">
            <wp:extent cx="4572000" cy="27432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7F61" w:rsidRPr="00E6515F" w:rsidRDefault="00C27F61" w:rsidP="00C1248B">
      <w:pPr>
        <w:jc w:val="both"/>
        <w:rPr>
          <w:lang w:val="nl-BE"/>
        </w:rPr>
      </w:pPr>
    </w:p>
    <w:p w:rsidR="00C1248B" w:rsidRPr="00E6515F" w:rsidRDefault="002859D7" w:rsidP="00C1248B">
      <w:pPr>
        <w:jc w:val="both"/>
        <w:rPr>
          <w:lang w:val="nl-BE"/>
        </w:rPr>
      </w:pPr>
      <w:r w:rsidRPr="00E6515F">
        <w:rPr>
          <w:lang w:val="nl-BE"/>
        </w:rPr>
        <w:t xml:space="preserve">In deze </w:t>
      </w:r>
      <w:r w:rsidR="005A17C5" w:rsidRPr="00E6515F">
        <w:rPr>
          <w:lang w:val="nl-BE"/>
        </w:rPr>
        <w:t xml:space="preserve">terugblik op de realisaties van de afgelopen legislaturen </w:t>
      </w:r>
      <w:r w:rsidR="003C67A0" w:rsidRPr="00E6515F">
        <w:rPr>
          <w:lang w:val="nl-BE"/>
        </w:rPr>
        <w:t xml:space="preserve">wordt </w:t>
      </w:r>
      <w:r w:rsidRPr="00E6515F">
        <w:rPr>
          <w:lang w:val="nl-BE"/>
        </w:rPr>
        <w:t xml:space="preserve"> aan de hand van cijfermateriaal een overzicht</w:t>
      </w:r>
      <w:r w:rsidR="003C67A0" w:rsidRPr="00E6515F">
        <w:rPr>
          <w:lang w:val="nl-BE"/>
        </w:rPr>
        <w:t xml:space="preserve"> geboden</w:t>
      </w:r>
      <w:r w:rsidRPr="00E6515F">
        <w:rPr>
          <w:lang w:val="nl-BE"/>
        </w:rPr>
        <w:t xml:space="preserve"> van de effecten die </w:t>
      </w:r>
      <w:r w:rsidR="0051103E">
        <w:rPr>
          <w:lang w:val="nl-BE"/>
        </w:rPr>
        <w:t>die</w:t>
      </w:r>
      <w:r w:rsidR="0051103E" w:rsidRPr="00E6515F">
        <w:rPr>
          <w:lang w:val="nl-BE"/>
        </w:rPr>
        <w:t xml:space="preserve"> </w:t>
      </w:r>
      <w:r w:rsidRPr="00E6515F">
        <w:rPr>
          <w:lang w:val="nl-BE"/>
        </w:rPr>
        <w:t xml:space="preserve">grote </w:t>
      </w:r>
      <w:r w:rsidR="003C67A0" w:rsidRPr="00E6515F">
        <w:rPr>
          <w:lang w:val="nl-BE"/>
        </w:rPr>
        <w:t xml:space="preserve">inhoudelijke en financiële </w:t>
      </w:r>
      <w:r w:rsidRPr="00E6515F">
        <w:rPr>
          <w:lang w:val="nl-BE"/>
        </w:rPr>
        <w:t xml:space="preserve">wijzigingen met zich mee brachten. </w:t>
      </w:r>
      <w:r w:rsidR="0051103E">
        <w:rPr>
          <w:lang w:val="nl-BE"/>
        </w:rPr>
        <w:t>Een van die effecten is</w:t>
      </w:r>
      <w:r w:rsidR="003C67A0" w:rsidRPr="00E6515F">
        <w:rPr>
          <w:lang w:val="nl-BE"/>
        </w:rPr>
        <w:t xml:space="preserve"> een stijging </w:t>
      </w:r>
      <w:r w:rsidR="008F6E91" w:rsidRPr="00E6515F">
        <w:rPr>
          <w:lang w:val="nl-BE"/>
        </w:rPr>
        <w:t xml:space="preserve">van </w:t>
      </w:r>
      <w:r w:rsidR="003C67A0" w:rsidRPr="00E6515F">
        <w:rPr>
          <w:lang w:val="nl-BE"/>
        </w:rPr>
        <w:t>het aantal cliënten dat on</w:t>
      </w:r>
      <w:r w:rsidR="00432BE6" w:rsidRPr="00E6515F">
        <w:rPr>
          <w:lang w:val="nl-BE"/>
        </w:rPr>
        <w:t xml:space="preserve">dersteund wordt door het VAPH. </w:t>
      </w:r>
      <w:r w:rsidR="008F6E91" w:rsidRPr="00E6515F">
        <w:rPr>
          <w:lang w:val="nl-BE"/>
        </w:rPr>
        <w:t>In 2008 waren er</w:t>
      </w:r>
      <w:r w:rsidR="00893499" w:rsidRPr="00E6515F">
        <w:rPr>
          <w:lang w:val="nl-BE"/>
        </w:rPr>
        <w:t xml:space="preserve"> </w:t>
      </w:r>
      <w:r w:rsidR="00432BE6" w:rsidRPr="00E6515F">
        <w:rPr>
          <w:lang w:val="nl-BE"/>
        </w:rPr>
        <w:t xml:space="preserve">37.841 </w:t>
      </w:r>
      <w:r w:rsidR="008F6E91" w:rsidRPr="00E6515F">
        <w:rPr>
          <w:lang w:val="nl-BE"/>
        </w:rPr>
        <w:t xml:space="preserve">personen die </w:t>
      </w:r>
      <w:r w:rsidR="00844303" w:rsidRPr="00E6515F">
        <w:rPr>
          <w:lang w:val="nl-BE"/>
        </w:rPr>
        <w:t>VAPH</w:t>
      </w:r>
      <w:r w:rsidR="00432BE6" w:rsidRPr="00E6515F">
        <w:rPr>
          <w:lang w:val="nl-BE"/>
        </w:rPr>
        <w:t>-ondersteuning</w:t>
      </w:r>
      <w:r w:rsidR="0051103E">
        <w:rPr>
          <w:lang w:val="nl-BE"/>
        </w:rPr>
        <w:t xml:space="preserve"> </w:t>
      </w:r>
      <w:r w:rsidR="000A631D">
        <w:rPr>
          <w:lang w:val="nl-BE"/>
        </w:rPr>
        <w:t>genoten</w:t>
      </w:r>
      <w:r w:rsidR="008F6E91" w:rsidRPr="00E6515F">
        <w:rPr>
          <w:lang w:val="nl-BE"/>
        </w:rPr>
        <w:t xml:space="preserve">. </w:t>
      </w:r>
      <w:r w:rsidR="0051103E">
        <w:rPr>
          <w:lang w:val="nl-BE"/>
        </w:rPr>
        <w:t>Dat aantal</w:t>
      </w:r>
      <w:r w:rsidR="0051103E" w:rsidRPr="00E6515F">
        <w:rPr>
          <w:lang w:val="nl-BE"/>
        </w:rPr>
        <w:t xml:space="preserve"> </w:t>
      </w:r>
      <w:r w:rsidR="008F6E91" w:rsidRPr="00E6515F">
        <w:rPr>
          <w:lang w:val="nl-BE"/>
        </w:rPr>
        <w:t xml:space="preserve">steeg tot </w:t>
      </w:r>
      <w:r w:rsidR="00432BE6" w:rsidRPr="00E6515F">
        <w:rPr>
          <w:lang w:val="nl-BE"/>
        </w:rPr>
        <w:t xml:space="preserve">57.710 in 2017. </w:t>
      </w:r>
    </w:p>
    <w:p w:rsidR="00C1248B" w:rsidRPr="00E6515F" w:rsidRDefault="00C1248B">
      <w:pPr>
        <w:rPr>
          <w:lang w:val="nl-BE"/>
        </w:rPr>
      </w:pPr>
      <w:r w:rsidRPr="00E6515F">
        <w:rPr>
          <w:lang w:val="nl-BE"/>
        </w:rPr>
        <w:br w:type="page"/>
      </w:r>
    </w:p>
    <w:p w:rsidR="00383601" w:rsidRPr="00E6515F" w:rsidRDefault="005E5E26" w:rsidP="00C1248B">
      <w:pPr>
        <w:jc w:val="both"/>
        <w:rPr>
          <w:lang w:val="nl-BE"/>
        </w:rPr>
      </w:pPr>
      <w:r w:rsidRPr="00E6515F">
        <w:rPr>
          <w:u w:val="single"/>
          <w:lang w:val="nl-BE"/>
        </w:rPr>
        <w:lastRenderedPageBreak/>
        <w:t xml:space="preserve">Grafiek </w:t>
      </w:r>
      <w:r w:rsidRPr="00E6515F">
        <w:rPr>
          <w:u w:val="single"/>
          <w:lang w:val="nl-BE"/>
        </w:rPr>
        <w:fldChar w:fldCharType="begin"/>
      </w:r>
      <w:r w:rsidRPr="00E6515F">
        <w:rPr>
          <w:u w:val="single"/>
          <w:lang w:val="nl-BE"/>
        </w:rPr>
        <w:instrText xml:space="preserve"> SEQ Grafiek \* ARABIC </w:instrText>
      </w:r>
      <w:r w:rsidRPr="00E6515F">
        <w:rPr>
          <w:u w:val="single"/>
          <w:lang w:val="nl-BE"/>
        </w:rPr>
        <w:fldChar w:fldCharType="separate"/>
      </w:r>
      <w:r w:rsidR="0062760A">
        <w:rPr>
          <w:noProof/>
          <w:u w:val="single"/>
          <w:lang w:val="nl-BE"/>
        </w:rPr>
        <w:t>2</w:t>
      </w:r>
      <w:r w:rsidRPr="00E6515F">
        <w:rPr>
          <w:u w:val="single"/>
          <w:lang w:val="nl-BE"/>
        </w:rPr>
        <w:fldChar w:fldCharType="end"/>
      </w:r>
      <w:r w:rsidRPr="00E6515F">
        <w:rPr>
          <w:u w:val="single"/>
          <w:lang w:val="nl-BE"/>
        </w:rPr>
        <w:t xml:space="preserve">: </w:t>
      </w:r>
      <w:r w:rsidR="0051103E">
        <w:rPr>
          <w:u w:val="single"/>
          <w:lang w:val="nl-BE"/>
        </w:rPr>
        <w:t>E</w:t>
      </w:r>
      <w:r w:rsidRPr="00E6515F">
        <w:rPr>
          <w:u w:val="single"/>
          <w:lang w:val="nl-BE"/>
        </w:rPr>
        <w:t xml:space="preserve">volutie van het aantal ondersteunde </w:t>
      </w:r>
      <w:r w:rsidR="00DC43B0">
        <w:rPr>
          <w:u w:val="single"/>
          <w:lang w:val="nl-BE"/>
        </w:rPr>
        <w:t>personen met een handicap</w:t>
      </w:r>
      <w:r w:rsidR="00DC43B0" w:rsidRPr="00E6515F">
        <w:rPr>
          <w:noProof/>
          <w:u w:val="single"/>
          <w:lang w:val="nl-BE"/>
        </w:rPr>
        <w:t xml:space="preserve"> </w:t>
      </w:r>
      <w:r w:rsidRPr="00E6515F">
        <w:rPr>
          <w:noProof/>
          <w:u w:val="single"/>
          <w:lang w:val="nl-BE"/>
        </w:rPr>
        <w:t xml:space="preserve">van 2008 </w:t>
      </w:r>
      <w:r w:rsidR="003679F6">
        <w:rPr>
          <w:noProof/>
          <w:u w:val="single"/>
          <w:lang w:val="nl-BE"/>
        </w:rPr>
        <w:t>tot en met</w:t>
      </w:r>
      <w:r w:rsidRPr="00E6515F">
        <w:rPr>
          <w:noProof/>
          <w:u w:val="single"/>
          <w:lang w:val="nl-BE"/>
        </w:rPr>
        <w:t xml:space="preserve"> 2017</w:t>
      </w:r>
    </w:p>
    <w:p w:rsidR="00C1248B" w:rsidRPr="00E6515F" w:rsidRDefault="00432BE6" w:rsidP="009F347E">
      <w:pPr>
        <w:jc w:val="both"/>
        <w:rPr>
          <w:lang w:val="nl-BE"/>
        </w:rPr>
      </w:pPr>
      <w:r w:rsidRPr="00E6515F">
        <w:rPr>
          <w:lang w:val="nl-BE"/>
        </w:rPr>
        <w:br/>
      </w:r>
      <w:r w:rsidR="00C0443B" w:rsidRPr="00E6515F">
        <w:rPr>
          <w:noProof/>
          <w:lang w:val="nl-BE"/>
        </w:rPr>
        <w:drawing>
          <wp:inline distT="0" distB="0" distL="0" distR="0" wp14:anchorId="05BDA653" wp14:editId="57A28183">
            <wp:extent cx="4572000" cy="274320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443B" w:rsidRPr="00E6515F" w:rsidRDefault="00C0443B" w:rsidP="009F347E">
      <w:pPr>
        <w:jc w:val="both"/>
        <w:rPr>
          <w:lang w:val="nl-BE"/>
        </w:rPr>
      </w:pPr>
    </w:p>
    <w:p w:rsidR="00844303" w:rsidRPr="00E6515F" w:rsidRDefault="00844303" w:rsidP="009F347E">
      <w:pPr>
        <w:jc w:val="both"/>
        <w:rPr>
          <w:lang w:val="nl-BE"/>
        </w:rPr>
      </w:pPr>
      <w:r w:rsidRPr="00E6515F">
        <w:rPr>
          <w:lang w:val="nl-BE"/>
        </w:rPr>
        <w:t xml:space="preserve">In bovenstaande </w:t>
      </w:r>
      <w:r w:rsidR="003679F6">
        <w:rPr>
          <w:lang w:val="nl-BE"/>
        </w:rPr>
        <w:t>grafiek</w:t>
      </w:r>
      <w:r w:rsidR="003679F6" w:rsidRPr="00E6515F">
        <w:rPr>
          <w:lang w:val="nl-BE"/>
        </w:rPr>
        <w:t xml:space="preserve"> </w:t>
      </w:r>
      <w:r w:rsidR="003679F6">
        <w:rPr>
          <w:lang w:val="nl-BE"/>
        </w:rPr>
        <w:t>zijn</w:t>
      </w:r>
      <w:r w:rsidR="003679F6" w:rsidRPr="00E6515F">
        <w:rPr>
          <w:lang w:val="nl-BE"/>
        </w:rPr>
        <w:t xml:space="preserve"> </w:t>
      </w:r>
      <w:r w:rsidRPr="00E6515F">
        <w:rPr>
          <w:lang w:val="nl-BE"/>
        </w:rPr>
        <w:t xml:space="preserve">de personen met een handicap die een tussenkomst van het VAPH krijgen voor hulpmiddelen, </w:t>
      </w:r>
      <w:r w:rsidR="00DC43B0">
        <w:rPr>
          <w:lang w:val="nl-BE"/>
        </w:rPr>
        <w:t>(woning)</w:t>
      </w:r>
      <w:r w:rsidRPr="00E6515F">
        <w:rPr>
          <w:lang w:val="nl-BE"/>
        </w:rPr>
        <w:t xml:space="preserve">aanpassingen of incontinentiemateriaal niet </w:t>
      </w:r>
      <w:r w:rsidR="003679F6">
        <w:rPr>
          <w:lang w:val="nl-BE"/>
        </w:rPr>
        <w:t>meegerekend</w:t>
      </w:r>
      <w:r w:rsidRPr="00E6515F">
        <w:rPr>
          <w:lang w:val="nl-BE"/>
        </w:rPr>
        <w:t xml:space="preserve">. </w:t>
      </w:r>
      <w:r w:rsidR="003679F6">
        <w:rPr>
          <w:lang w:val="nl-BE"/>
        </w:rPr>
        <w:t>Die</w:t>
      </w:r>
      <w:r w:rsidR="003679F6" w:rsidRPr="00E6515F">
        <w:rPr>
          <w:lang w:val="nl-BE"/>
        </w:rPr>
        <w:t xml:space="preserve"> </w:t>
      </w:r>
      <w:r w:rsidRPr="00E6515F">
        <w:rPr>
          <w:lang w:val="nl-BE"/>
        </w:rPr>
        <w:t>groep bestaat</w:t>
      </w:r>
      <w:r w:rsidR="00BC2325" w:rsidRPr="00E6515F">
        <w:rPr>
          <w:lang w:val="nl-BE"/>
        </w:rPr>
        <w:t xml:space="preserve"> uit 46.622</w:t>
      </w:r>
      <w:r w:rsidRPr="00E6515F">
        <w:rPr>
          <w:lang w:val="nl-BE"/>
        </w:rPr>
        <w:t xml:space="preserve"> personen</w:t>
      </w:r>
      <w:r w:rsidR="00CC1C03" w:rsidRPr="00E6515F">
        <w:rPr>
          <w:lang w:val="nl-BE"/>
        </w:rPr>
        <w:t xml:space="preserve">. Er is een overlap tussen </w:t>
      </w:r>
      <w:r w:rsidR="003679F6">
        <w:rPr>
          <w:lang w:val="nl-BE"/>
        </w:rPr>
        <w:t xml:space="preserve">de groep die een tegemoetkoming voor </w:t>
      </w:r>
      <w:r w:rsidR="00CC1C03" w:rsidRPr="00E6515F">
        <w:rPr>
          <w:lang w:val="nl-BE"/>
        </w:rPr>
        <w:t>hulpmiddelen</w:t>
      </w:r>
      <w:r w:rsidR="003679F6">
        <w:rPr>
          <w:lang w:val="nl-BE"/>
        </w:rPr>
        <w:t>,</w:t>
      </w:r>
      <w:r w:rsidR="00DC43B0">
        <w:rPr>
          <w:lang w:val="nl-BE"/>
        </w:rPr>
        <w:t xml:space="preserve"> (woning)</w:t>
      </w:r>
      <w:r w:rsidR="003679F6">
        <w:rPr>
          <w:lang w:val="nl-BE"/>
        </w:rPr>
        <w:t>aanpassingen of incontinentiemateriaal krijgt, en de groep</w:t>
      </w:r>
      <w:r w:rsidR="00DC43B0">
        <w:rPr>
          <w:lang w:val="nl-BE"/>
        </w:rPr>
        <w:t xml:space="preserve"> </w:t>
      </w:r>
      <w:r w:rsidR="003679F6">
        <w:rPr>
          <w:lang w:val="nl-BE"/>
        </w:rPr>
        <w:t>die</w:t>
      </w:r>
      <w:r w:rsidR="00CC1C03" w:rsidRPr="00E6515F">
        <w:rPr>
          <w:lang w:val="nl-BE"/>
        </w:rPr>
        <w:t xml:space="preserve"> ondersteuning</w:t>
      </w:r>
      <w:r w:rsidR="003679F6">
        <w:rPr>
          <w:lang w:val="nl-BE"/>
        </w:rPr>
        <w:t xml:space="preserve"> krijgt</w:t>
      </w:r>
      <w:r w:rsidR="00CC1C03" w:rsidRPr="00E6515F">
        <w:rPr>
          <w:lang w:val="nl-BE"/>
        </w:rPr>
        <w:t xml:space="preserve">. Iemand die zowel </w:t>
      </w:r>
      <w:r w:rsidR="003679F6">
        <w:rPr>
          <w:lang w:val="nl-BE"/>
        </w:rPr>
        <w:t xml:space="preserve">een tussenkomst krijgt voor </w:t>
      </w:r>
      <w:r w:rsidR="00CC1C03" w:rsidRPr="00E6515F">
        <w:rPr>
          <w:lang w:val="nl-BE"/>
        </w:rPr>
        <w:t>hulpmiddelen</w:t>
      </w:r>
      <w:r w:rsidR="003679F6">
        <w:rPr>
          <w:lang w:val="nl-BE"/>
        </w:rPr>
        <w:t xml:space="preserve">, </w:t>
      </w:r>
      <w:r w:rsidR="00DC43B0">
        <w:rPr>
          <w:lang w:val="nl-BE"/>
        </w:rPr>
        <w:t>(woning)</w:t>
      </w:r>
      <w:r w:rsidR="003679F6">
        <w:rPr>
          <w:lang w:val="nl-BE"/>
        </w:rPr>
        <w:t xml:space="preserve">aanpassingen of </w:t>
      </w:r>
      <w:r w:rsidR="00DC43B0">
        <w:rPr>
          <w:lang w:val="nl-BE"/>
        </w:rPr>
        <w:t xml:space="preserve">incontinentiemateriaal </w:t>
      </w:r>
      <w:r w:rsidR="00CC1C03" w:rsidRPr="00E6515F">
        <w:rPr>
          <w:lang w:val="nl-BE"/>
        </w:rPr>
        <w:t>als gebruik maakt van ondersteuning</w:t>
      </w:r>
      <w:r w:rsidR="003679F6">
        <w:rPr>
          <w:lang w:val="nl-BE"/>
        </w:rPr>
        <w:t>, is</w:t>
      </w:r>
      <w:r w:rsidR="003679F6" w:rsidRPr="00E6515F">
        <w:rPr>
          <w:lang w:val="nl-BE"/>
        </w:rPr>
        <w:t xml:space="preserve"> </w:t>
      </w:r>
      <w:r w:rsidR="00CC1C03" w:rsidRPr="00E6515F">
        <w:rPr>
          <w:lang w:val="nl-BE"/>
        </w:rPr>
        <w:t xml:space="preserve">wel </w:t>
      </w:r>
      <w:r w:rsidR="003679F6">
        <w:rPr>
          <w:lang w:val="nl-BE"/>
        </w:rPr>
        <w:t>meegerekend</w:t>
      </w:r>
      <w:r w:rsidR="003679F6" w:rsidRPr="00E6515F">
        <w:rPr>
          <w:lang w:val="nl-BE"/>
        </w:rPr>
        <w:t xml:space="preserve"> </w:t>
      </w:r>
      <w:r w:rsidR="00CC1C03" w:rsidRPr="00E6515F">
        <w:rPr>
          <w:lang w:val="nl-BE"/>
        </w:rPr>
        <w:t xml:space="preserve">in </w:t>
      </w:r>
      <w:r w:rsidR="003679F6">
        <w:rPr>
          <w:lang w:val="nl-BE"/>
        </w:rPr>
        <w:t>de cijfers.</w:t>
      </w:r>
      <w:r w:rsidR="00CC1C03" w:rsidRPr="00E6515F">
        <w:rPr>
          <w:lang w:val="nl-BE"/>
        </w:rPr>
        <w:t xml:space="preserve"> </w:t>
      </w:r>
    </w:p>
    <w:p w:rsidR="00C1248B" w:rsidRPr="00E6515F" w:rsidRDefault="00C1248B" w:rsidP="009F347E">
      <w:pPr>
        <w:jc w:val="both"/>
        <w:rPr>
          <w:lang w:val="nl-BE"/>
        </w:rPr>
      </w:pPr>
    </w:p>
    <w:p w:rsidR="00C24A9E" w:rsidRPr="00E6515F" w:rsidRDefault="00432BE6" w:rsidP="009F347E">
      <w:pPr>
        <w:jc w:val="both"/>
        <w:rPr>
          <w:lang w:val="nl-BE"/>
        </w:rPr>
      </w:pPr>
      <w:r w:rsidRPr="00E6515F">
        <w:rPr>
          <w:lang w:val="nl-BE"/>
        </w:rPr>
        <w:t xml:space="preserve">Ondanks de </w:t>
      </w:r>
      <w:r w:rsidR="00C24A9E" w:rsidRPr="00E6515F">
        <w:rPr>
          <w:lang w:val="nl-BE"/>
        </w:rPr>
        <w:t xml:space="preserve">budgettaire </w:t>
      </w:r>
      <w:r w:rsidRPr="00E6515F">
        <w:rPr>
          <w:lang w:val="nl-BE"/>
        </w:rPr>
        <w:t xml:space="preserve">inspanningen van de afgelopen jaren zijn er nog steeds </w:t>
      </w:r>
      <w:r w:rsidR="00C24A9E" w:rsidRPr="00E6515F">
        <w:rPr>
          <w:lang w:val="nl-BE"/>
        </w:rPr>
        <w:t xml:space="preserve">onbeantwoorde vragen naar VAPH-ondersteuning. De omslag naar persoonsvolgende financiering heeft vooralsnog geen kentering in de wachtlijst met zich mee gebracht. </w:t>
      </w:r>
      <w:r w:rsidR="00CC1C03" w:rsidRPr="00E6515F">
        <w:rPr>
          <w:lang w:val="nl-BE"/>
        </w:rPr>
        <w:t>Op 30 juni 2018</w:t>
      </w:r>
      <w:r w:rsidR="00C1248B" w:rsidRPr="00E6515F">
        <w:rPr>
          <w:lang w:val="nl-BE"/>
        </w:rPr>
        <w:t xml:space="preserve"> wachtten 14.607 mensen op een persoonsvolgend budget in </w:t>
      </w:r>
      <w:r w:rsidR="003B7EA2">
        <w:rPr>
          <w:lang w:val="nl-BE"/>
        </w:rPr>
        <w:t>een</w:t>
      </w:r>
      <w:r w:rsidR="003B7EA2" w:rsidRPr="00E6515F">
        <w:rPr>
          <w:lang w:val="nl-BE"/>
        </w:rPr>
        <w:t xml:space="preserve"> </w:t>
      </w:r>
      <w:r w:rsidR="00C1248B" w:rsidRPr="00E6515F">
        <w:rPr>
          <w:lang w:val="nl-BE"/>
        </w:rPr>
        <w:t xml:space="preserve">van de drie prioriteitengroepen. </w:t>
      </w:r>
      <w:r w:rsidR="003B7EA2">
        <w:rPr>
          <w:lang w:val="nl-BE"/>
        </w:rPr>
        <w:t>Daarbij moeten we echter twee kanttekening</w:t>
      </w:r>
      <w:r w:rsidR="003E5823">
        <w:rPr>
          <w:lang w:val="nl-BE"/>
        </w:rPr>
        <w:t>en</w:t>
      </w:r>
      <w:r w:rsidR="003B7EA2">
        <w:rPr>
          <w:lang w:val="nl-BE"/>
        </w:rPr>
        <w:t xml:space="preserve"> maken.</w:t>
      </w:r>
      <w:r w:rsidR="003E5823">
        <w:rPr>
          <w:lang w:val="nl-BE"/>
        </w:rPr>
        <w:t xml:space="preserve"> </w:t>
      </w:r>
      <w:r w:rsidR="003B7EA2">
        <w:rPr>
          <w:lang w:val="nl-BE"/>
        </w:rPr>
        <w:t>In die prioriteitengroepen</w:t>
      </w:r>
      <w:r w:rsidR="003B7EA2" w:rsidRPr="00E6515F">
        <w:rPr>
          <w:lang w:val="nl-BE"/>
        </w:rPr>
        <w:t xml:space="preserve"> </w:t>
      </w:r>
      <w:r w:rsidR="00C1248B" w:rsidRPr="00E6515F">
        <w:rPr>
          <w:lang w:val="nl-BE"/>
        </w:rPr>
        <w:t xml:space="preserve">bevinden zich </w:t>
      </w:r>
      <w:r w:rsidRPr="00E6515F">
        <w:rPr>
          <w:lang w:val="nl-BE"/>
        </w:rPr>
        <w:t xml:space="preserve">ook mensen die </w:t>
      </w:r>
      <w:r w:rsidR="003B7EA2">
        <w:rPr>
          <w:lang w:val="nl-BE"/>
        </w:rPr>
        <w:t>al</w:t>
      </w:r>
      <w:r w:rsidR="003B7EA2" w:rsidRPr="00E6515F">
        <w:rPr>
          <w:lang w:val="nl-BE"/>
        </w:rPr>
        <w:t xml:space="preserve"> </w:t>
      </w:r>
      <w:r w:rsidRPr="00E6515F">
        <w:rPr>
          <w:lang w:val="nl-BE"/>
        </w:rPr>
        <w:t xml:space="preserve">een deelbudget hebben en wachten op een verhoging van hun budget omdat zij nog een </w:t>
      </w:r>
      <w:proofErr w:type="spellStart"/>
      <w:r w:rsidRPr="00E6515F">
        <w:rPr>
          <w:lang w:val="nl-BE"/>
        </w:rPr>
        <w:t>meervraag</w:t>
      </w:r>
      <w:proofErr w:type="spellEnd"/>
      <w:r w:rsidRPr="00E6515F">
        <w:rPr>
          <w:lang w:val="nl-BE"/>
        </w:rPr>
        <w:t xml:space="preserve"> hebben ten opzichte van hun huidige ondersteuning. </w:t>
      </w:r>
      <w:r w:rsidR="003B7EA2">
        <w:rPr>
          <w:lang w:val="nl-BE"/>
        </w:rPr>
        <w:t>Ook</w:t>
      </w:r>
      <w:r w:rsidR="003B7EA2" w:rsidRPr="00E6515F">
        <w:rPr>
          <w:lang w:val="nl-BE"/>
        </w:rPr>
        <w:t xml:space="preserve"> </w:t>
      </w:r>
      <w:r w:rsidRPr="00E6515F">
        <w:rPr>
          <w:lang w:val="nl-BE"/>
        </w:rPr>
        <w:t xml:space="preserve">zijn er nieuwe mogelijkheden voor de </w:t>
      </w:r>
      <w:r w:rsidR="003B7EA2">
        <w:rPr>
          <w:lang w:val="nl-BE"/>
        </w:rPr>
        <w:t>personen die wachten op de terbeschikkingstelling van een budget: zij kunnen</w:t>
      </w:r>
      <w:r w:rsidRPr="00E6515F">
        <w:rPr>
          <w:lang w:val="nl-BE"/>
        </w:rPr>
        <w:t xml:space="preserve"> toch al een deel van hun ondersteuning organiseren </w:t>
      </w:r>
      <w:r w:rsidR="003B7EA2">
        <w:rPr>
          <w:lang w:val="nl-BE"/>
        </w:rPr>
        <w:t>in</w:t>
      </w:r>
      <w:r w:rsidR="003B7EA2" w:rsidRPr="00E6515F">
        <w:rPr>
          <w:lang w:val="nl-BE"/>
        </w:rPr>
        <w:t xml:space="preserve"> </w:t>
      </w:r>
      <w:r w:rsidRPr="00E6515F">
        <w:rPr>
          <w:lang w:val="nl-BE"/>
        </w:rPr>
        <w:t xml:space="preserve">de vorm van rechtstreeks toegankelijke hulp of </w:t>
      </w:r>
      <w:r w:rsidR="00844303" w:rsidRPr="00E6515F">
        <w:rPr>
          <w:lang w:val="nl-BE"/>
        </w:rPr>
        <w:t xml:space="preserve">met </w:t>
      </w:r>
      <w:r w:rsidRPr="00E6515F">
        <w:rPr>
          <w:lang w:val="nl-BE"/>
        </w:rPr>
        <w:t>een zorgbu</w:t>
      </w:r>
      <w:r w:rsidR="003B7EA2">
        <w:rPr>
          <w:lang w:val="nl-BE"/>
        </w:rPr>
        <w:t>dg</w:t>
      </w:r>
      <w:r w:rsidRPr="00E6515F">
        <w:rPr>
          <w:lang w:val="nl-BE"/>
        </w:rPr>
        <w:t xml:space="preserve">et. </w:t>
      </w:r>
      <w:r w:rsidR="003B7EA2">
        <w:rPr>
          <w:lang w:val="nl-BE"/>
        </w:rPr>
        <w:t>Dat betekent</w:t>
      </w:r>
      <w:r w:rsidR="003B7EA2" w:rsidRPr="00E6515F">
        <w:rPr>
          <w:lang w:val="nl-BE"/>
        </w:rPr>
        <w:t xml:space="preserve"> </w:t>
      </w:r>
      <w:r w:rsidR="003B7EA2">
        <w:rPr>
          <w:lang w:val="nl-BE"/>
        </w:rPr>
        <w:t>dat een</w:t>
      </w:r>
      <w:r w:rsidRPr="00E6515F">
        <w:rPr>
          <w:lang w:val="nl-BE"/>
        </w:rPr>
        <w:t xml:space="preserve"> groot deel van de </w:t>
      </w:r>
      <w:r w:rsidR="00C24A9E" w:rsidRPr="00E6515F">
        <w:rPr>
          <w:lang w:val="nl-BE"/>
        </w:rPr>
        <w:t xml:space="preserve">mensen op de </w:t>
      </w:r>
      <w:r w:rsidRPr="00E6515F">
        <w:rPr>
          <w:lang w:val="nl-BE"/>
        </w:rPr>
        <w:t xml:space="preserve">wachtlijst </w:t>
      </w:r>
      <w:r w:rsidR="003B7EA2">
        <w:rPr>
          <w:lang w:val="nl-BE"/>
        </w:rPr>
        <w:t>toch al een vorm</w:t>
      </w:r>
      <w:r w:rsidRPr="00E6515F">
        <w:rPr>
          <w:lang w:val="nl-BE"/>
        </w:rPr>
        <w:t xml:space="preserve"> van ondersteuning</w:t>
      </w:r>
      <w:r w:rsidR="003B7EA2">
        <w:rPr>
          <w:lang w:val="nl-BE"/>
        </w:rPr>
        <w:t xml:space="preserve"> krijgt</w:t>
      </w:r>
      <w:r w:rsidRPr="00E6515F">
        <w:rPr>
          <w:lang w:val="nl-BE"/>
        </w:rPr>
        <w:t xml:space="preserve">, </w:t>
      </w:r>
      <w:r w:rsidR="003B7EA2">
        <w:rPr>
          <w:lang w:val="nl-BE"/>
        </w:rPr>
        <w:t>in de vorm van</w:t>
      </w:r>
      <w:r w:rsidR="003B7EA2" w:rsidRPr="00E6515F">
        <w:rPr>
          <w:lang w:val="nl-BE"/>
        </w:rPr>
        <w:t xml:space="preserve"> </w:t>
      </w:r>
      <w:r w:rsidRPr="00E6515F">
        <w:rPr>
          <w:lang w:val="nl-BE"/>
        </w:rPr>
        <w:t>een deel</w:t>
      </w:r>
      <w:r w:rsidR="003E5823">
        <w:rPr>
          <w:lang w:val="nl-BE"/>
        </w:rPr>
        <w:t>-</w:t>
      </w:r>
      <w:r w:rsidRPr="00E6515F">
        <w:rPr>
          <w:lang w:val="nl-BE"/>
        </w:rPr>
        <w:t xml:space="preserve">PVB, </w:t>
      </w:r>
      <w:r w:rsidR="003B7EA2">
        <w:rPr>
          <w:lang w:val="nl-BE"/>
        </w:rPr>
        <w:t>rechtstreeks toegankelijke hulp</w:t>
      </w:r>
      <w:r w:rsidR="00C24A9E" w:rsidRPr="00E6515F">
        <w:rPr>
          <w:lang w:val="nl-BE"/>
        </w:rPr>
        <w:t xml:space="preserve">, </w:t>
      </w:r>
      <w:r w:rsidRPr="00E6515F">
        <w:rPr>
          <w:lang w:val="nl-BE"/>
        </w:rPr>
        <w:t xml:space="preserve"> </w:t>
      </w:r>
      <w:r w:rsidR="003B7EA2">
        <w:rPr>
          <w:lang w:val="nl-BE"/>
        </w:rPr>
        <w:t xml:space="preserve">een </w:t>
      </w:r>
      <w:r w:rsidRPr="00E6515F">
        <w:rPr>
          <w:lang w:val="nl-BE"/>
        </w:rPr>
        <w:t>zorgbudget</w:t>
      </w:r>
      <w:r w:rsidR="003E5823">
        <w:rPr>
          <w:lang w:val="nl-BE"/>
        </w:rPr>
        <w:t xml:space="preserve"> voor mensen met een handicap </w:t>
      </w:r>
      <w:r w:rsidR="00C24A9E" w:rsidRPr="00E6515F">
        <w:rPr>
          <w:lang w:val="nl-BE"/>
        </w:rPr>
        <w:t xml:space="preserve"> of reguliere vormen van ondersteuning. </w:t>
      </w:r>
    </w:p>
    <w:p w:rsidR="00C1248B" w:rsidRPr="00E6515F" w:rsidRDefault="00C1248B" w:rsidP="009F347E">
      <w:pPr>
        <w:jc w:val="both"/>
        <w:rPr>
          <w:lang w:val="nl-BE"/>
        </w:rPr>
      </w:pPr>
    </w:p>
    <w:p w:rsidR="00CC1C03" w:rsidRPr="00E6515F" w:rsidRDefault="00CC1C03">
      <w:pPr>
        <w:rPr>
          <w:bCs/>
          <w:szCs w:val="18"/>
          <w:u w:val="single"/>
          <w:lang w:val="nl-BE"/>
        </w:rPr>
      </w:pPr>
      <w:r w:rsidRPr="00E6515F">
        <w:rPr>
          <w:lang w:val="nl-BE"/>
        </w:rPr>
        <w:br w:type="page"/>
      </w:r>
    </w:p>
    <w:p w:rsidR="007C1033" w:rsidRDefault="005E5E26" w:rsidP="007C1033">
      <w:pPr>
        <w:pStyle w:val="Bijschrift"/>
        <w:rPr>
          <w:lang w:val="nl-BE"/>
        </w:rPr>
      </w:pPr>
      <w:r w:rsidRPr="00E6515F">
        <w:rPr>
          <w:lang w:val="nl-BE"/>
        </w:rPr>
        <w:lastRenderedPageBreak/>
        <w:t xml:space="preserve">Grafiek </w:t>
      </w:r>
      <w:r w:rsidRPr="00E6515F">
        <w:rPr>
          <w:lang w:val="nl-BE"/>
        </w:rPr>
        <w:fldChar w:fldCharType="begin"/>
      </w:r>
      <w:r w:rsidRPr="00E6515F">
        <w:rPr>
          <w:lang w:val="nl-BE"/>
        </w:rPr>
        <w:instrText xml:space="preserve"> SEQ Grafiek \* ARABIC </w:instrText>
      </w:r>
      <w:r w:rsidRPr="00E6515F">
        <w:rPr>
          <w:lang w:val="nl-BE"/>
        </w:rPr>
        <w:fldChar w:fldCharType="separate"/>
      </w:r>
      <w:r w:rsidR="0062760A">
        <w:rPr>
          <w:noProof/>
          <w:lang w:val="nl-BE"/>
        </w:rPr>
        <w:t>3</w:t>
      </w:r>
      <w:r w:rsidRPr="00E6515F">
        <w:rPr>
          <w:lang w:val="nl-BE"/>
        </w:rPr>
        <w:fldChar w:fldCharType="end"/>
      </w:r>
      <w:r w:rsidRPr="00E6515F">
        <w:rPr>
          <w:lang w:val="nl-BE"/>
        </w:rPr>
        <w:t xml:space="preserve">: </w:t>
      </w:r>
      <w:r w:rsidR="009E0B94">
        <w:rPr>
          <w:lang w:val="nl-BE"/>
        </w:rPr>
        <w:t>V</w:t>
      </w:r>
      <w:r w:rsidRPr="00E6515F">
        <w:rPr>
          <w:lang w:val="nl-BE"/>
        </w:rPr>
        <w:t xml:space="preserve">erdeling </w:t>
      </w:r>
      <w:r w:rsidR="00CC1C03" w:rsidRPr="00E6515F">
        <w:rPr>
          <w:lang w:val="nl-BE"/>
        </w:rPr>
        <w:t xml:space="preserve">van </w:t>
      </w:r>
      <w:r w:rsidRPr="00E6515F">
        <w:rPr>
          <w:lang w:val="nl-BE"/>
        </w:rPr>
        <w:t>het aantal wachtenden over de reeds gebruikte vorm van ondersteuning</w:t>
      </w:r>
      <w:r w:rsidR="00CC1C03" w:rsidRPr="00E6515F">
        <w:rPr>
          <w:lang w:val="nl-BE"/>
        </w:rPr>
        <w:t xml:space="preserve"> op 30 juni 2018</w:t>
      </w:r>
    </w:p>
    <w:p w:rsidR="00E601D0" w:rsidRDefault="00E601D0" w:rsidP="00594A0B">
      <w:pPr>
        <w:rPr>
          <w:lang w:val="nl-BE"/>
        </w:rPr>
      </w:pPr>
      <w:r>
        <w:rPr>
          <w:noProof/>
          <w:lang w:val="nl-BE"/>
        </w:rPr>
        <w:drawing>
          <wp:inline distT="0" distB="0" distL="0" distR="0" wp14:anchorId="6AB8008A" wp14:editId="2FF99490">
            <wp:extent cx="4838700" cy="3219450"/>
            <wp:effectExtent l="0" t="0" r="19050" b="1905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1D0" w:rsidRPr="00E601D0" w:rsidRDefault="00E601D0" w:rsidP="00594A0B">
      <w:pPr>
        <w:rPr>
          <w:lang w:val="nl-BE"/>
        </w:rPr>
      </w:pPr>
    </w:p>
    <w:p w:rsidR="006A57B9" w:rsidRDefault="00F20A1F" w:rsidP="009F347E">
      <w:pPr>
        <w:jc w:val="both"/>
        <w:rPr>
          <w:lang w:val="nl-BE"/>
        </w:rPr>
      </w:pPr>
      <w:r w:rsidRPr="00E6515F">
        <w:rPr>
          <w:lang w:val="nl-BE"/>
        </w:rPr>
        <w:t xml:space="preserve">Bij de invoering van de persoonsvolgende financiering </w:t>
      </w:r>
      <w:r w:rsidR="00811348" w:rsidRPr="00E6515F">
        <w:rPr>
          <w:lang w:val="nl-BE"/>
        </w:rPr>
        <w:t xml:space="preserve">zijn </w:t>
      </w:r>
      <w:r w:rsidR="00C1248B" w:rsidRPr="00E6515F">
        <w:rPr>
          <w:lang w:val="nl-BE"/>
        </w:rPr>
        <w:t xml:space="preserve">belangrijke stappen gezet </w:t>
      </w:r>
      <w:r w:rsidR="006A57B9">
        <w:rPr>
          <w:lang w:val="nl-BE"/>
        </w:rPr>
        <w:t>om</w:t>
      </w:r>
      <w:r w:rsidR="00C1248B" w:rsidRPr="00E6515F">
        <w:rPr>
          <w:lang w:val="nl-BE"/>
        </w:rPr>
        <w:t xml:space="preserve"> zorggarantie </w:t>
      </w:r>
      <w:r w:rsidR="006A57B9">
        <w:rPr>
          <w:lang w:val="nl-BE"/>
        </w:rPr>
        <w:t xml:space="preserve">te kunnen bieden </w:t>
      </w:r>
      <w:r w:rsidR="00C1248B" w:rsidRPr="00E6515F">
        <w:rPr>
          <w:lang w:val="nl-BE"/>
        </w:rPr>
        <w:t xml:space="preserve">aan </w:t>
      </w:r>
      <w:r w:rsidR="006A57B9">
        <w:rPr>
          <w:lang w:val="nl-BE"/>
        </w:rPr>
        <w:t xml:space="preserve">de </w:t>
      </w:r>
      <w:r w:rsidR="00C1248B" w:rsidRPr="00E6515F">
        <w:rPr>
          <w:lang w:val="nl-BE"/>
        </w:rPr>
        <w:t xml:space="preserve">personen met de grootste ondersteuningsnood. </w:t>
      </w:r>
    </w:p>
    <w:p w:rsidR="006A57B9" w:rsidRDefault="006A57B9" w:rsidP="009F347E">
      <w:pPr>
        <w:jc w:val="both"/>
        <w:rPr>
          <w:lang w:val="nl-BE"/>
        </w:rPr>
      </w:pPr>
    </w:p>
    <w:p w:rsidR="00C1248B" w:rsidRPr="00E6515F" w:rsidRDefault="00C1248B" w:rsidP="009F347E">
      <w:pPr>
        <w:jc w:val="both"/>
        <w:rPr>
          <w:lang w:val="nl-BE"/>
        </w:rPr>
      </w:pPr>
      <w:r w:rsidRPr="00E6515F">
        <w:rPr>
          <w:lang w:val="nl-BE"/>
        </w:rPr>
        <w:t>Binnen trap 1 geniet een belangrijk</w:t>
      </w:r>
      <w:r w:rsidR="000A631D">
        <w:rPr>
          <w:lang w:val="nl-BE"/>
        </w:rPr>
        <w:t>e</w:t>
      </w:r>
      <w:r w:rsidRPr="00E6515F">
        <w:rPr>
          <w:lang w:val="nl-BE"/>
        </w:rPr>
        <w:t xml:space="preserve"> groep mensen het zorgbudget voor </w:t>
      </w:r>
      <w:r w:rsidR="00B92A87">
        <w:rPr>
          <w:lang w:val="nl-BE"/>
        </w:rPr>
        <w:t>mensen</w:t>
      </w:r>
      <w:r w:rsidR="00B92A87" w:rsidRPr="00E6515F">
        <w:rPr>
          <w:lang w:val="nl-BE"/>
        </w:rPr>
        <w:t xml:space="preserve"> </w:t>
      </w:r>
      <w:r w:rsidRPr="00E6515F">
        <w:rPr>
          <w:lang w:val="nl-BE"/>
        </w:rPr>
        <w:t>met een handicap (</w:t>
      </w:r>
      <w:proofErr w:type="spellStart"/>
      <w:r w:rsidRPr="00E6515F">
        <w:rPr>
          <w:lang w:val="nl-BE"/>
        </w:rPr>
        <w:t>basisondersteuningsbudget</w:t>
      </w:r>
      <w:proofErr w:type="spellEnd"/>
      <w:r w:rsidRPr="00E6515F">
        <w:rPr>
          <w:lang w:val="nl-BE"/>
        </w:rPr>
        <w:t xml:space="preserve">). </w:t>
      </w:r>
      <w:r w:rsidR="006A57B9">
        <w:rPr>
          <w:lang w:val="nl-BE"/>
        </w:rPr>
        <w:t>Daar</w:t>
      </w:r>
      <w:r w:rsidR="006A57B9" w:rsidRPr="00E6515F">
        <w:rPr>
          <w:lang w:val="nl-BE"/>
        </w:rPr>
        <w:t xml:space="preserve">mee </w:t>
      </w:r>
      <w:r w:rsidRPr="00E6515F">
        <w:rPr>
          <w:lang w:val="nl-BE"/>
        </w:rPr>
        <w:t xml:space="preserve">kunnen </w:t>
      </w:r>
      <w:r w:rsidR="006A57B9" w:rsidRPr="00E6515F">
        <w:rPr>
          <w:lang w:val="nl-BE"/>
        </w:rPr>
        <w:t>d</w:t>
      </w:r>
      <w:r w:rsidR="006A57B9">
        <w:rPr>
          <w:lang w:val="nl-BE"/>
        </w:rPr>
        <w:t>ie</w:t>
      </w:r>
      <w:r w:rsidR="006A57B9" w:rsidRPr="00E6515F">
        <w:rPr>
          <w:lang w:val="nl-BE"/>
        </w:rPr>
        <w:t xml:space="preserve"> </w:t>
      </w:r>
      <w:r w:rsidRPr="00E6515F">
        <w:rPr>
          <w:lang w:val="nl-BE"/>
        </w:rPr>
        <w:t xml:space="preserve">minder- en meerderjarigen </w:t>
      </w:r>
      <w:proofErr w:type="spellStart"/>
      <w:r w:rsidRPr="00E6515F">
        <w:rPr>
          <w:lang w:val="nl-BE"/>
        </w:rPr>
        <w:t>vraaggestuurd</w:t>
      </w:r>
      <w:proofErr w:type="spellEnd"/>
      <w:r w:rsidRPr="00E6515F">
        <w:rPr>
          <w:lang w:val="nl-BE"/>
        </w:rPr>
        <w:t xml:space="preserve"> en inclusie</w:t>
      </w:r>
      <w:r w:rsidR="006A57B9">
        <w:rPr>
          <w:lang w:val="nl-BE"/>
        </w:rPr>
        <w:t>f</w:t>
      </w:r>
      <w:r w:rsidRPr="00E6515F">
        <w:rPr>
          <w:lang w:val="nl-BE"/>
        </w:rPr>
        <w:t xml:space="preserve"> ondersteuning realiseren. Zij die nood hebben een beperkt </w:t>
      </w:r>
      <w:r w:rsidR="00F20A1F" w:rsidRPr="00E6515F">
        <w:rPr>
          <w:lang w:val="nl-BE"/>
        </w:rPr>
        <w:t xml:space="preserve">volume </w:t>
      </w:r>
      <w:proofErr w:type="spellStart"/>
      <w:r w:rsidRPr="00E6515F">
        <w:rPr>
          <w:lang w:val="nl-BE"/>
        </w:rPr>
        <w:t>handicapspecifieke</w:t>
      </w:r>
      <w:proofErr w:type="spellEnd"/>
      <w:r w:rsidRPr="00E6515F">
        <w:rPr>
          <w:lang w:val="nl-BE"/>
        </w:rPr>
        <w:t xml:space="preserve"> ondersteuning</w:t>
      </w:r>
      <w:r w:rsidR="006A57B9">
        <w:rPr>
          <w:lang w:val="nl-BE"/>
        </w:rPr>
        <w:t>,</w:t>
      </w:r>
      <w:r w:rsidRPr="00E6515F">
        <w:rPr>
          <w:lang w:val="nl-BE"/>
        </w:rPr>
        <w:t xml:space="preserve"> kunnen </w:t>
      </w:r>
      <w:r w:rsidR="006A57B9">
        <w:rPr>
          <w:lang w:val="nl-BE"/>
        </w:rPr>
        <w:t>daa</w:t>
      </w:r>
      <w:r w:rsidR="006A57B9" w:rsidRPr="00E6515F">
        <w:rPr>
          <w:lang w:val="nl-BE"/>
        </w:rPr>
        <w:t xml:space="preserve">rvoor </w:t>
      </w:r>
      <w:r w:rsidRPr="00E6515F">
        <w:rPr>
          <w:lang w:val="nl-BE"/>
        </w:rPr>
        <w:t xml:space="preserve">terecht bij de diensten rechtstreeks toegankelijke hulp. </w:t>
      </w:r>
    </w:p>
    <w:p w:rsidR="007C1033" w:rsidRPr="00E6515F" w:rsidRDefault="007C1033" w:rsidP="009F347E">
      <w:pPr>
        <w:jc w:val="both"/>
        <w:rPr>
          <w:lang w:val="nl-BE"/>
        </w:rPr>
      </w:pPr>
    </w:p>
    <w:p w:rsidR="00C1248B" w:rsidRPr="00E6515F" w:rsidRDefault="006375B2" w:rsidP="009F347E">
      <w:pPr>
        <w:jc w:val="both"/>
        <w:rPr>
          <w:lang w:val="nl-BE"/>
        </w:rPr>
      </w:pPr>
      <w:r w:rsidRPr="00E6515F">
        <w:rPr>
          <w:lang w:val="nl-BE"/>
        </w:rPr>
        <w:t xml:space="preserve">Binnen trap 2 wordt zorggarantie </w:t>
      </w:r>
      <w:r w:rsidR="00811348" w:rsidRPr="00E6515F">
        <w:rPr>
          <w:lang w:val="nl-BE"/>
        </w:rPr>
        <w:t xml:space="preserve">geboden aan </w:t>
      </w:r>
      <w:r w:rsidR="006A57B9">
        <w:rPr>
          <w:lang w:val="nl-BE"/>
        </w:rPr>
        <w:t xml:space="preserve">de </w:t>
      </w:r>
      <w:r w:rsidR="00811348" w:rsidRPr="00E6515F">
        <w:rPr>
          <w:lang w:val="nl-BE"/>
        </w:rPr>
        <w:t xml:space="preserve">mensen met de grootste ondersteuningsnood. </w:t>
      </w:r>
      <w:r w:rsidR="006A57B9">
        <w:rPr>
          <w:lang w:val="nl-BE"/>
        </w:rPr>
        <w:t>Daa</w:t>
      </w:r>
      <w:r w:rsidR="006A57B9" w:rsidRPr="00E6515F">
        <w:rPr>
          <w:lang w:val="nl-BE"/>
        </w:rPr>
        <w:t xml:space="preserve">rtoe </w:t>
      </w:r>
      <w:r w:rsidR="00811348" w:rsidRPr="00E6515F">
        <w:rPr>
          <w:lang w:val="nl-BE"/>
        </w:rPr>
        <w:t>zijn een aantal automatische</w:t>
      </w:r>
      <w:r w:rsidR="006A57B9">
        <w:rPr>
          <w:lang w:val="nl-BE"/>
        </w:rPr>
        <w:t>-</w:t>
      </w:r>
      <w:r w:rsidR="00811348" w:rsidRPr="00E6515F">
        <w:rPr>
          <w:lang w:val="nl-BE"/>
        </w:rPr>
        <w:t xml:space="preserve">toekenningsgroepen gedefinieerd: </w:t>
      </w:r>
      <w:r w:rsidR="006A57B9">
        <w:rPr>
          <w:lang w:val="nl-BE"/>
        </w:rPr>
        <w:t>onder andere</w:t>
      </w:r>
      <w:r w:rsidR="00811348" w:rsidRPr="00E6515F">
        <w:rPr>
          <w:lang w:val="nl-BE"/>
        </w:rPr>
        <w:t xml:space="preserve"> mensen in noodsituatie, mensen met een snel degeneratieve aandoening, mensen in een situatie van maatschappelijke noodzaak</w:t>
      </w:r>
      <w:r w:rsidR="006A57B9">
        <w:rPr>
          <w:lang w:val="nl-BE"/>
        </w:rPr>
        <w:t xml:space="preserve"> </w:t>
      </w:r>
      <w:r w:rsidR="00811348" w:rsidRPr="00E6515F">
        <w:rPr>
          <w:lang w:val="nl-BE"/>
        </w:rPr>
        <w:t xml:space="preserve">…  </w:t>
      </w:r>
    </w:p>
    <w:p w:rsidR="007C1033" w:rsidRPr="00E6515F" w:rsidRDefault="007C1033" w:rsidP="009F347E">
      <w:pPr>
        <w:jc w:val="both"/>
        <w:rPr>
          <w:lang w:val="nl-BE"/>
        </w:rPr>
      </w:pPr>
    </w:p>
    <w:p w:rsidR="00121F5E" w:rsidRPr="00E6515F" w:rsidRDefault="00121F5E" w:rsidP="009F347E">
      <w:pPr>
        <w:jc w:val="both"/>
        <w:rPr>
          <w:lang w:val="nl-BE"/>
        </w:rPr>
      </w:pPr>
      <w:r w:rsidRPr="00E6515F">
        <w:rPr>
          <w:lang w:val="nl-BE"/>
        </w:rPr>
        <w:t xml:space="preserve">Het systeem van persoonsvolgende financiering biedt </w:t>
      </w:r>
      <w:r w:rsidR="006A57B9">
        <w:rPr>
          <w:lang w:val="nl-BE"/>
        </w:rPr>
        <w:t>ook</w:t>
      </w:r>
      <w:r w:rsidR="006A57B9" w:rsidRPr="00E6515F">
        <w:rPr>
          <w:lang w:val="nl-BE"/>
        </w:rPr>
        <w:t xml:space="preserve"> </w:t>
      </w:r>
      <w:r w:rsidRPr="00E6515F">
        <w:rPr>
          <w:lang w:val="nl-BE"/>
        </w:rPr>
        <w:t xml:space="preserve">maximale garanties voor </w:t>
      </w:r>
      <w:r w:rsidR="006A57B9">
        <w:rPr>
          <w:lang w:val="nl-BE"/>
        </w:rPr>
        <w:t>de</w:t>
      </w:r>
      <w:r w:rsidR="006A57B9" w:rsidRPr="00E6515F">
        <w:rPr>
          <w:lang w:val="nl-BE"/>
        </w:rPr>
        <w:t xml:space="preserve"> </w:t>
      </w:r>
      <w:r w:rsidR="006A57B9">
        <w:rPr>
          <w:lang w:val="nl-BE"/>
        </w:rPr>
        <w:t>realisatie</w:t>
      </w:r>
      <w:r w:rsidR="006A57B9" w:rsidRPr="00E6515F">
        <w:rPr>
          <w:lang w:val="nl-BE"/>
        </w:rPr>
        <w:t xml:space="preserve"> </w:t>
      </w:r>
      <w:r w:rsidRPr="00E6515F">
        <w:rPr>
          <w:lang w:val="nl-BE"/>
        </w:rPr>
        <w:t xml:space="preserve">van </w:t>
      </w:r>
      <w:proofErr w:type="spellStart"/>
      <w:r w:rsidRPr="00E6515F">
        <w:rPr>
          <w:lang w:val="nl-BE"/>
        </w:rPr>
        <w:t>vraaggestuurde</w:t>
      </w:r>
      <w:proofErr w:type="spellEnd"/>
      <w:r w:rsidRPr="00E6515F">
        <w:rPr>
          <w:lang w:val="nl-BE"/>
        </w:rPr>
        <w:t xml:space="preserve"> ondersteuning </w:t>
      </w:r>
      <w:r w:rsidR="006A57B9">
        <w:rPr>
          <w:lang w:val="nl-BE"/>
        </w:rPr>
        <w:t>door</w:t>
      </w:r>
      <w:r w:rsidR="006A57B9" w:rsidRPr="00E6515F">
        <w:rPr>
          <w:lang w:val="nl-BE"/>
        </w:rPr>
        <w:t xml:space="preserve"> </w:t>
      </w:r>
      <w:r w:rsidRPr="00E6515F">
        <w:rPr>
          <w:lang w:val="nl-BE"/>
        </w:rPr>
        <w:t xml:space="preserve">de ruime en flexibele bestedingsmogelijkheden. </w:t>
      </w:r>
    </w:p>
    <w:p w:rsidR="00C1248B" w:rsidRPr="00E6515F" w:rsidRDefault="00C1248B" w:rsidP="009F347E">
      <w:pPr>
        <w:jc w:val="both"/>
        <w:rPr>
          <w:lang w:val="nl-BE"/>
        </w:rPr>
      </w:pPr>
    </w:p>
    <w:p w:rsidR="00331CE6" w:rsidRPr="00E6515F" w:rsidRDefault="00331CE6" w:rsidP="00121F5E">
      <w:pPr>
        <w:jc w:val="both"/>
        <w:rPr>
          <w:lang w:val="nl-BE"/>
        </w:rPr>
      </w:pPr>
    </w:p>
    <w:p w:rsidR="00331CE6" w:rsidRPr="00E6515F" w:rsidRDefault="00331CE6">
      <w:pPr>
        <w:rPr>
          <w:lang w:val="nl-BE"/>
        </w:rPr>
      </w:pPr>
      <w:r w:rsidRPr="00E6515F">
        <w:rPr>
          <w:lang w:val="nl-BE"/>
        </w:rPr>
        <w:br w:type="page"/>
      </w:r>
    </w:p>
    <w:p w:rsidR="00C17340" w:rsidRPr="00E6515F" w:rsidRDefault="00C17340" w:rsidP="00C17340">
      <w:pPr>
        <w:pStyle w:val="Kop1"/>
        <w:widowControl w:val="0"/>
        <w:numPr>
          <w:ilvl w:val="0"/>
          <w:numId w:val="1"/>
        </w:numPr>
        <w:pBdr>
          <w:top w:val="nil"/>
          <w:left w:val="nil"/>
          <w:bottom w:val="nil"/>
          <w:right w:val="nil"/>
          <w:between w:val="nil"/>
        </w:pBdr>
        <w:spacing w:line="360" w:lineRule="auto"/>
        <w:ind w:left="544" w:hanging="570"/>
        <w:rPr>
          <w:b w:val="0"/>
          <w:sz w:val="22"/>
          <w:szCs w:val="22"/>
          <w:lang w:val="nl-BE"/>
        </w:rPr>
      </w:pPr>
      <w:bookmarkStart w:id="4" w:name="_Toc536797792"/>
      <w:r w:rsidRPr="00E6515F">
        <w:rPr>
          <w:lang w:val="nl-BE"/>
        </w:rPr>
        <w:lastRenderedPageBreak/>
        <w:t>Inhoudsopgave</w:t>
      </w:r>
      <w:bookmarkEnd w:id="4"/>
    </w:p>
    <w:sdt>
      <w:sdtPr>
        <w:rPr>
          <w:rFonts w:ascii="Calibri" w:eastAsia="Calibri" w:hAnsi="Calibri" w:cs="Calibri"/>
          <w:b w:val="0"/>
          <w:bCs w:val="0"/>
          <w:color w:val="auto"/>
          <w:sz w:val="22"/>
          <w:szCs w:val="22"/>
          <w:lang w:val="en"/>
        </w:rPr>
        <w:id w:val="984592585"/>
        <w:docPartObj>
          <w:docPartGallery w:val="Table of Contents"/>
          <w:docPartUnique/>
        </w:docPartObj>
      </w:sdtPr>
      <w:sdtEndPr/>
      <w:sdtContent>
        <w:p w:rsidR="00BB57EF" w:rsidRPr="00E6515F" w:rsidRDefault="00BB57EF">
          <w:pPr>
            <w:pStyle w:val="Kopvaninhoudsopgave"/>
          </w:pPr>
        </w:p>
        <w:p w:rsidR="005B31C6" w:rsidRDefault="00BB57EF">
          <w:pPr>
            <w:pStyle w:val="Inhopg1"/>
            <w:tabs>
              <w:tab w:val="left" w:pos="440"/>
              <w:tab w:val="right" w:leader="dot" w:pos="8893"/>
            </w:tabs>
            <w:rPr>
              <w:rFonts w:asciiTheme="minorHAnsi" w:eastAsiaTheme="minorEastAsia" w:hAnsiTheme="minorHAnsi" w:cstheme="minorBidi"/>
              <w:noProof/>
              <w:lang w:val="nl-BE"/>
            </w:rPr>
          </w:pPr>
          <w:r w:rsidRPr="00E6515F">
            <w:rPr>
              <w:lang w:val="nl-BE"/>
            </w:rPr>
            <w:fldChar w:fldCharType="begin"/>
          </w:r>
          <w:r w:rsidRPr="00E6515F">
            <w:rPr>
              <w:lang w:val="nl-BE"/>
            </w:rPr>
            <w:instrText xml:space="preserve"> TOC \o "1-3" \h \z \u </w:instrText>
          </w:r>
          <w:r w:rsidRPr="00E6515F">
            <w:rPr>
              <w:lang w:val="nl-BE"/>
            </w:rPr>
            <w:fldChar w:fldCharType="separate"/>
          </w:r>
          <w:hyperlink w:anchor="_Toc536797790" w:history="1">
            <w:r w:rsidR="005B31C6" w:rsidRPr="00F93FB8">
              <w:rPr>
                <w:rStyle w:val="Hyperlink"/>
                <w:noProof/>
                <w:lang w:val="nl-BE"/>
              </w:rPr>
              <w:t>1.</w:t>
            </w:r>
            <w:r w:rsidR="005B31C6">
              <w:rPr>
                <w:rFonts w:asciiTheme="minorHAnsi" w:eastAsiaTheme="minorEastAsia" w:hAnsiTheme="minorHAnsi" w:cstheme="minorBidi"/>
                <w:noProof/>
                <w:lang w:val="nl-BE"/>
              </w:rPr>
              <w:tab/>
            </w:r>
            <w:r w:rsidR="005B31C6" w:rsidRPr="00F93FB8">
              <w:rPr>
                <w:rStyle w:val="Hyperlink"/>
                <w:noProof/>
                <w:lang w:val="nl-BE"/>
              </w:rPr>
              <w:t>Inleiding</w:t>
            </w:r>
            <w:r w:rsidR="005B31C6">
              <w:rPr>
                <w:noProof/>
                <w:webHidden/>
              </w:rPr>
              <w:tab/>
            </w:r>
            <w:r w:rsidR="005B31C6">
              <w:rPr>
                <w:noProof/>
                <w:webHidden/>
              </w:rPr>
              <w:fldChar w:fldCharType="begin"/>
            </w:r>
            <w:r w:rsidR="005B31C6">
              <w:rPr>
                <w:noProof/>
                <w:webHidden/>
              </w:rPr>
              <w:instrText xml:space="preserve"> PAGEREF _Toc536797790 \h </w:instrText>
            </w:r>
            <w:r w:rsidR="005B31C6">
              <w:rPr>
                <w:noProof/>
                <w:webHidden/>
              </w:rPr>
            </w:r>
            <w:r w:rsidR="005B31C6">
              <w:rPr>
                <w:noProof/>
                <w:webHidden/>
              </w:rPr>
              <w:fldChar w:fldCharType="separate"/>
            </w:r>
            <w:r w:rsidR="0062760A">
              <w:rPr>
                <w:noProof/>
                <w:webHidden/>
              </w:rPr>
              <w:t>2</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791" w:history="1">
            <w:r w:rsidR="005B31C6" w:rsidRPr="00F93FB8">
              <w:rPr>
                <w:rStyle w:val="Hyperlink"/>
                <w:noProof/>
                <w:lang w:val="nl-BE"/>
              </w:rPr>
              <w:t>2.</w:t>
            </w:r>
            <w:r w:rsidR="005B31C6">
              <w:rPr>
                <w:rFonts w:asciiTheme="minorHAnsi" w:eastAsiaTheme="minorEastAsia" w:hAnsiTheme="minorHAnsi" w:cstheme="minorBidi"/>
                <w:noProof/>
                <w:lang w:val="nl-BE"/>
              </w:rPr>
              <w:tab/>
            </w:r>
            <w:r w:rsidR="005B31C6" w:rsidRPr="00F93FB8">
              <w:rPr>
                <w:rStyle w:val="Hyperlink"/>
                <w:noProof/>
                <w:lang w:val="nl-BE"/>
              </w:rPr>
              <w:t>Managementsamenvatting</w:t>
            </w:r>
            <w:r w:rsidR="005B31C6">
              <w:rPr>
                <w:noProof/>
                <w:webHidden/>
              </w:rPr>
              <w:tab/>
            </w:r>
            <w:r w:rsidR="005B31C6">
              <w:rPr>
                <w:noProof/>
                <w:webHidden/>
              </w:rPr>
              <w:fldChar w:fldCharType="begin"/>
            </w:r>
            <w:r w:rsidR="005B31C6">
              <w:rPr>
                <w:noProof/>
                <w:webHidden/>
              </w:rPr>
              <w:instrText xml:space="preserve"> PAGEREF _Toc536797791 \h </w:instrText>
            </w:r>
            <w:r w:rsidR="005B31C6">
              <w:rPr>
                <w:noProof/>
                <w:webHidden/>
              </w:rPr>
            </w:r>
            <w:r w:rsidR="005B31C6">
              <w:rPr>
                <w:noProof/>
                <w:webHidden/>
              </w:rPr>
              <w:fldChar w:fldCharType="separate"/>
            </w:r>
            <w:r w:rsidR="0062760A">
              <w:rPr>
                <w:noProof/>
                <w:webHidden/>
              </w:rPr>
              <w:t>3</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792" w:history="1">
            <w:r w:rsidR="005B31C6" w:rsidRPr="00F93FB8">
              <w:rPr>
                <w:rStyle w:val="Hyperlink"/>
                <w:noProof/>
                <w:lang w:val="nl-BE"/>
              </w:rPr>
              <w:t>3.</w:t>
            </w:r>
            <w:r w:rsidR="005B31C6">
              <w:rPr>
                <w:rFonts w:asciiTheme="minorHAnsi" w:eastAsiaTheme="minorEastAsia" w:hAnsiTheme="minorHAnsi" w:cstheme="minorBidi"/>
                <w:noProof/>
                <w:lang w:val="nl-BE"/>
              </w:rPr>
              <w:tab/>
            </w:r>
            <w:r w:rsidR="005B31C6" w:rsidRPr="00F93FB8">
              <w:rPr>
                <w:rStyle w:val="Hyperlink"/>
                <w:noProof/>
                <w:lang w:val="nl-BE"/>
              </w:rPr>
              <w:t>Inhoudsopgave</w:t>
            </w:r>
            <w:r w:rsidR="005B31C6">
              <w:rPr>
                <w:noProof/>
                <w:webHidden/>
              </w:rPr>
              <w:tab/>
            </w:r>
            <w:r w:rsidR="005B31C6">
              <w:rPr>
                <w:noProof/>
                <w:webHidden/>
              </w:rPr>
              <w:fldChar w:fldCharType="begin"/>
            </w:r>
            <w:r w:rsidR="005B31C6">
              <w:rPr>
                <w:noProof/>
                <w:webHidden/>
              </w:rPr>
              <w:instrText xml:space="preserve"> PAGEREF _Toc536797792 \h </w:instrText>
            </w:r>
            <w:r w:rsidR="005B31C6">
              <w:rPr>
                <w:noProof/>
                <w:webHidden/>
              </w:rPr>
            </w:r>
            <w:r w:rsidR="005B31C6">
              <w:rPr>
                <w:noProof/>
                <w:webHidden/>
              </w:rPr>
              <w:fldChar w:fldCharType="separate"/>
            </w:r>
            <w:r w:rsidR="0062760A">
              <w:rPr>
                <w:noProof/>
                <w:webHidden/>
              </w:rPr>
              <w:t>7</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793" w:history="1">
            <w:r w:rsidR="005B31C6" w:rsidRPr="00F93FB8">
              <w:rPr>
                <w:rStyle w:val="Hyperlink"/>
                <w:noProof/>
                <w:lang w:val="nl-BE"/>
              </w:rPr>
              <w:t>4.</w:t>
            </w:r>
            <w:r w:rsidR="005B31C6">
              <w:rPr>
                <w:rFonts w:asciiTheme="minorHAnsi" w:eastAsiaTheme="minorEastAsia" w:hAnsiTheme="minorHAnsi" w:cstheme="minorBidi"/>
                <w:noProof/>
                <w:lang w:val="nl-BE"/>
              </w:rPr>
              <w:tab/>
            </w:r>
            <w:r w:rsidR="005B31C6" w:rsidRPr="00F93FB8">
              <w:rPr>
                <w:rStyle w:val="Hyperlink"/>
                <w:noProof/>
                <w:lang w:val="nl-BE"/>
              </w:rPr>
              <w:t>Historisch overzicht</w:t>
            </w:r>
            <w:r w:rsidR="005B31C6">
              <w:rPr>
                <w:noProof/>
                <w:webHidden/>
              </w:rPr>
              <w:tab/>
            </w:r>
            <w:r w:rsidR="005B31C6">
              <w:rPr>
                <w:noProof/>
                <w:webHidden/>
              </w:rPr>
              <w:fldChar w:fldCharType="begin"/>
            </w:r>
            <w:r w:rsidR="005B31C6">
              <w:rPr>
                <w:noProof/>
                <w:webHidden/>
              </w:rPr>
              <w:instrText xml:space="preserve"> PAGEREF _Toc536797793 \h </w:instrText>
            </w:r>
            <w:r w:rsidR="005B31C6">
              <w:rPr>
                <w:noProof/>
                <w:webHidden/>
              </w:rPr>
            </w:r>
            <w:r w:rsidR="005B31C6">
              <w:rPr>
                <w:noProof/>
                <w:webHidden/>
              </w:rPr>
              <w:fldChar w:fldCharType="separate"/>
            </w:r>
            <w:r w:rsidR="0062760A">
              <w:rPr>
                <w:noProof/>
                <w:webHidden/>
              </w:rPr>
              <w:t>9</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794" w:history="1">
            <w:r w:rsidR="005B31C6" w:rsidRPr="00F93FB8">
              <w:rPr>
                <w:rStyle w:val="Hyperlink"/>
                <w:noProof/>
                <w:lang w:val="nl-BE"/>
              </w:rPr>
              <w:t>5.</w:t>
            </w:r>
            <w:r w:rsidR="005B31C6">
              <w:rPr>
                <w:rFonts w:asciiTheme="minorHAnsi" w:eastAsiaTheme="minorEastAsia" w:hAnsiTheme="minorHAnsi" w:cstheme="minorBidi"/>
                <w:noProof/>
                <w:lang w:val="nl-BE"/>
              </w:rPr>
              <w:tab/>
            </w:r>
            <w:r w:rsidR="005B31C6" w:rsidRPr="00F93FB8">
              <w:rPr>
                <w:rStyle w:val="Hyperlink"/>
                <w:noProof/>
                <w:lang w:val="nl-BE"/>
              </w:rPr>
              <w:t>Inhoudelijke realisaties</w:t>
            </w:r>
            <w:r w:rsidR="005B31C6">
              <w:rPr>
                <w:noProof/>
                <w:webHidden/>
              </w:rPr>
              <w:tab/>
            </w:r>
            <w:r w:rsidR="005B31C6">
              <w:rPr>
                <w:noProof/>
                <w:webHidden/>
              </w:rPr>
              <w:fldChar w:fldCharType="begin"/>
            </w:r>
            <w:r w:rsidR="005B31C6">
              <w:rPr>
                <w:noProof/>
                <w:webHidden/>
              </w:rPr>
              <w:instrText xml:space="preserve"> PAGEREF _Toc536797794 \h </w:instrText>
            </w:r>
            <w:r w:rsidR="005B31C6">
              <w:rPr>
                <w:noProof/>
                <w:webHidden/>
              </w:rPr>
            </w:r>
            <w:r w:rsidR="005B31C6">
              <w:rPr>
                <w:noProof/>
                <w:webHidden/>
              </w:rPr>
              <w:fldChar w:fldCharType="separate"/>
            </w:r>
            <w:r w:rsidR="0062760A">
              <w:rPr>
                <w:noProof/>
                <w:webHidden/>
              </w:rPr>
              <w:t>11</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795" w:history="1">
            <w:r w:rsidR="005B31C6" w:rsidRPr="00F93FB8">
              <w:rPr>
                <w:rStyle w:val="Hyperlink"/>
                <w:noProof/>
                <w:lang w:val="nl-BE"/>
              </w:rPr>
              <w:t>6.</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geboden ondersteuning</w:t>
            </w:r>
            <w:r w:rsidR="005B31C6">
              <w:rPr>
                <w:noProof/>
                <w:webHidden/>
              </w:rPr>
              <w:tab/>
            </w:r>
            <w:r w:rsidR="005B31C6">
              <w:rPr>
                <w:noProof/>
                <w:webHidden/>
              </w:rPr>
              <w:fldChar w:fldCharType="begin"/>
            </w:r>
            <w:r w:rsidR="005B31C6">
              <w:rPr>
                <w:noProof/>
                <w:webHidden/>
              </w:rPr>
              <w:instrText xml:space="preserve"> PAGEREF _Toc536797795 \h </w:instrText>
            </w:r>
            <w:r w:rsidR="005B31C6">
              <w:rPr>
                <w:noProof/>
                <w:webHidden/>
              </w:rPr>
            </w:r>
            <w:r w:rsidR="005B31C6">
              <w:rPr>
                <w:noProof/>
                <w:webHidden/>
              </w:rPr>
              <w:fldChar w:fldCharType="separate"/>
            </w:r>
            <w:r w:rsidR="0062760A">
              <w:rPr>
                <w:noProof/>
                <w:webHidden/>
              </w:rPr>
              <w:t>25</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796" w:history="1">
            <w:r w:rsidR="005B31C6" w:rsidRPr="00F93FB8">
              <w:rPr>
                <w:rStyle w:val="Hyperlink"/>
                <w:noProof/>
                <w:lang w:val="nl-BE"/>
              </w:rPr>
              <w:t>6.1.</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rechtstreeks toegankelijke hulp</w:t>
            </w:r>
            <w:r w:rsidR="005B31C6">
              <w:rPr>
                <w:noProof/>
                <w:webHidden/>
              </w:rPr>
              <w:tab/>
            </w:r>
            <w:r w:rsidR="005B31C6">
              <w:rPr>
                <w:noProof/>
                <w:webHidden/>
              </w:rPr>
              <w:fldChar w:fldCharType="begin"/>
            </w:r>
            <w:r w:rsidR="005B31C6">
              <w:rPr>
                <w:noProof/>
                <w:webHidden/>
              </w:rPr>
              <w:instrText xml:space="preserve"> PAGEREF _Toc536797796 \h </w:instrText>
            </w:r>
            <w:r w:rsidR="005B31C6">
              <w:rPr>
                <w:noProof/>
                <w:webHidden/>
              </w:rPr>
            </w:r>
            <w:r w:rsidR="005B31C6">
              <w:rPr>
                <w:noProof/>
                <w:webHidden/>
              </w:rPr>
              <w:fldChar w:fldCharType="separate"/>
            </w:r>
            <w:r w:rsidR="0062760A">
              <w:rPr>
                <w:noProof/>
                <w:webHidden/>
              </w:rPr>
              <w:t>26</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797" w:history="1">
            <w:r w:rsidR="005B31C6" w:rsidRPr="00F93FB8">
              <w:rPr>
                <w:rStyle w:val="Hyperlink"/>
                <w:noProof/>
                <w:lang w:val="nl-BE"/>
              </w:rPr>
              <w:t>6.1.1.</w:t>
            </w:r>
            <w:r w:rsidR="005B31C6">
              <w:rPr>
                <w:rFonts w:asciiTheme="minorHAnsi" w:eastAsiaTheme="minorEastAsia" w:hAnsiTheme="minorHAnsi" w:cstheme="minorBidi"/>
                <w:noProof/>
                <w:lang w:val="nl-BE"/>
              </w:rPr>
              <w:tab/>
            </w:r>
            <w:r w:rsidR="005B31C6" w:rsidRPr="00F93FB8">
              <w:rPr>
                <w:rStyle w:val="Hyperlink"/>
                <w:noProof/>
                <w:lang w:val="nl-BE"/>
              </w:rPr>
              <w:t>Evolutie van het aantal gebruikers per ondersteuningsfunctie</w:t>
            </w:r>
            <w:r w:rsidR="005B31C6">
              <w:rPr>
                <w:noProof/>
                <w:webHidden/>
              </w:rPr>
              <w:tab/>
            </w:r>
            <w:r w:rsidR="005B31C6">
              <w:rPr>
                <w:noProof/>
                <w:webHidden/>
              </w:rPr>
              <w:fldChar w:fldCharType="begin"/>
            </w:r>
            <w:r w:rsidR="005B31C6">
              <w:rPr>
                <w:noProof/>
                <w:webHidden/>
              </w:rPr>
              <w:instrText xml:space="preserve"> PAGEREF _Toc536797797 \h </w:instrText>
            </w:r>
            <w:r w:rsidR="005B31C6">
              <w:rPr>
                <w:noProof/>
                <w:webHidden/>
              </w:rPr>
            </w:r>
            <w:r w:rsidR="005B31C6">
              <w:rPr>
                <w:noProof/>
                <w:webHidden/>
              </w:rPr>
              <w:fldChar w:fldCharType="separate"/>
            </w:r>
            <w:r w:rsidR="0062760A">
              <w:rPr>
                <w:noProof/>
                <w:webHidden/>
              </w:rPr>
              <w:t>26</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798" w:history="1">
            <w:r w:rsidR="005B31C6" w:rsidRPr="00F93FB8">
              <w:rPr>
                <w:rStyle w:val="Hyperlink"/>
                <w:noProof/>
                <w:lang w:val="nl-BE"/>
              </w:rPr>
              <w:t>6.1.2.</w:t>
            </w:r>
            <w:r w:rsidR="005B31C6">
              <w:rPr>
                <w:rFonts w:asciiTheme="minorHAnsi" w:eastAsiaTheme="minorEastAsia" w:hAnsiTheme="minorHAnsi" w:cstheme="minorBidi"/>
                <w:noProof/>
                <w:lang w:val="nl-BE"/>
              </w:rPr>
              <w:tab/>
            </w:r>
            <w:r w:rsidR="005B31C6" w:rsidRPr="00F93FB8">
              <w:rPr>
                <w:rStyle w:val="Hyperlink"/>
                <w:noProof/>
                <w:lang w:val="nl-BE"/>
              </w:rPr>
              <w:t>Verdere info met betrekking tot gebruikers 2017</w:t>
            </w:r>
            <w:r w:rsidR="005B31C6">
              <w:rPr>
                <w:noProof/>
                <w:webHidden/>
              </w:rPr>
              <w:tab/>
            </w:r>
            <w:r w:rsidR="005B31C6">
              <w:rPr>
                <w:noProof/>
                <w:webHidden/>
              </w:rPr>
              <w:fldChar w:fldCharType="begin"/>
            </w:r>
            <w:r w:rsidR="005B31C6">
              <w:rPr>
                <w:noProof/>
                <w:webHidden/>
              </w:rPr>
              <w:instrText xml:space="preserve"> PAGEREF _Toc536797798 \h </w:instrText>
            </w:r>
            <w:r w:rsidR="005B31C6">
              <w:rPr>
                <w:noProof/>
                <w:webHidden/>
              </w:rPr>
            </w:r>
            <w:r w:rsidR="005B31C6">
              <w:rPr>
                <w:noProof/>
                <w:webHidden/>
              </w:rPr>
              <w:fldChar w:fldCharType="separate"/>
            </w:r>
            <w:r w:rsidR="0062760A">
              <w:rPr>
                <w:noProof/>
                <w:webHidden/>
              </w:rPr>
              <w:t>27</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799" w:history="1">
            <w:r w:rsidR="005B31C6" w:rsidRPr="00F93FB8">
              <w:rPr>
                <w:rStyle w:val="Hyperlink"/>
                <w:noProof/>
                <w:lang w:val="nl-BE"/>
              </w:rPr>
              <w:t>6.2.</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VAPH-ondersteuning: RTH en nRTH</w:t>
            </w:r>
            <w:r w:rsidR="005B31C6">
              <w:rPr>
                <w:noProof/>
                <w:webHidden/>
              </w:rPr>
              <w:tab/>
            </w:r>
            <w:r w:rsidR="005B31C6">
              <w:rPr>
                <w:noProof/>
                <w:webHidden/>
              </w:rPr>
              <w:fldChar w:fldCharType="begin"/>
            </w:r>
            <w:r w:rsidR="005B31C6">
              <w:rPr>
                <w:noProof/>
                <w:webHidden/>
              </w:rPr>
              <w:instrText xml:space="preserve"> PAGEREF _Toc536797799 \h </w:instrText>
            </w:r>
            <w:r w:rsidR="005B31C6">
              <w:rPr>
                <w:noProof/>
                <w:webHidden/>
              </w:rPr>
            </w:r>
            <w:r w:rsidR="005B31C6">
              <w:rPr>
                <w:noProof/>
                <w:webHidden/>
              </w:rPr>
              <w:fldChar w:fldCharType="separate"/>
            </w:r>
            <w:r w:rsidR="0062760A">
              <w:rPr>
                <w:noProof/>
                <w:webHidden/>
              </w:rPr>
              <w:t>28</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0" w:history="1">
            <w:r w:rsidR="005B31C6" w:rsidRPr="00F93FB8">
              <w:rPr>
                <w:rStyle w:val="Hyperlink"/>
                <w:noProof/>
                <w:lang w:val="nl-BE"/>
              </w:rPr>
              <w:t>6.2.1.</w:t>
            </w:r>
            <w:r w:rsidR="005B31C6">
              <w:rPr>
                <w:rFonts w:asciiTheme="minorHAnsi" w:eastAsiaTheme="minorEastAsia" w:hAnsiTheme="minorHAnsi" w:cstheme="minorBidi"/>
                <w:noProof/>
                <w:lang w:val="nl-BE"/>
              </w:rPr>
              <w:tab/>
            </w:r>
            <w:r w:rsidR="005B31C6" w:rsidRPr="00F93FB8">
              <w:rPr>
                <w:rStyle w:val="Hyperlink"/>
                <w:noProof/>
                <w:lang w:val="nl-BE"/>
              </w:rPr>
              <w:t>Evolutie van het aantal gebruikers per ondersteuningsfunctie</w:t>
            </w:r>
            <w:r w:rsidR="005B31C6">
              <w:rPr>
                <w:noProof/>
                <w:webHidden/>
              </w:rPr>
              <w:tab/>
            </w:r>
            <w:r w:rsidR="005B31C6">
              <w:rPr>
                <w:noProof/>
                <w:webHidden/>
              </w:rPr>
              <w:fldChar w:fldCharType="begin"/>
            </w:r>
            <w:r w:rsidR="005B31C6">
              <w:rPr>
                <w:noProof/>
                <w:webHidden/>
              </w:rPr>
              <w:instrText xml:space="preserve"> PAGEREF _Toc536797800 \h </w:instrText>
            </w:r>
            <w:r w:rsidR="005B31C6">
              <w:rPr>
                <w:noProof/>
                <w:webHidden/>
              </w:rPr>
            </w:r>
            <w:r w:rsidR="005B31C6">
              <w:rPr>
                <w:noProof/>
                <w:webHidden/>
              </w:rPr>
              <w:fldChar w:fldCharType="separate"/>
            </w:r>
            <w:r w:rsidR="0062760A">
              <w:rPr>
                <w:noProof/>
                <w:webHidden/>
              </w:rPr>
              <w:t>28</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1" w:history="1">
            <w:r w:rsidR="005B31C6" w:rsidRPr="00F93FB8">
              <w:rPr>
                <w:rStyle w:val="Hyperlink"/>
                <w:noProof/>
                <w:lang w:val="nl-BE"/>
              </w:rPr>
              <w:t>6.2.2.</w:t>
            </w:r>
            <w:r w:rsidR="005B31C6">
              <w:rPr>
                <w:rFonts w:asciiTheme="minorHAnsi" w:eastAsiaTheme="minorEastAsia" w:hAnsiTheme="minorHAnsi" w:cstheme="minorBidi"/>
                <w:noProof/>
                <w:lang w:val="nl-BE"/>
              </w:rPr>
              <w:tab/>
            </w:r>
            <w:r w:rsidR="005B31C6" w:rsidRPr="00F93FB8">
              <w:rPr>
                <w:rStyle w:val="Hyperlink"/>
                <w:noProof/>
                <w:lang w:val="nl-BE"/>
              </w:rPr>
              <w:t>Vrijwillige overstap van trap 2 naar trap 1</w:t>
            </w:r>
            <w:r w:rsidR="005B31C6">
              <w:rPr>
                <w:noProof/>
                <w:webHidden/>
              </w:rPr>
              <w:tab/>
            </w:r>
            <w:r w:rsidR="005B31C6">
              <w:rPr>
                <w:noProof/>
                <w:webHidden/>
              </w:rPr>
              <w:fldChar w:fldCharType="begin"/>
            </w:r>
            <w:r w:rsidR="005B31C6">
              <w:rPr>
                <w:noProof/>
                <w:webHidden/>
              </w:rPr>
              <w:instrText xml:space="preserve"> PAGEREF _Toc536797801 \h </w:instrText>
            </w:r>
            <w:r w:rsidR="005B31C6">
              <w:rPr>
                <w:noProof/>
                <w:webHidden/>
              </w:rPr>
            </w:r>
            <w:r w:rsidR="005B31C6">
              <w:rPr>
                <w:noProof/>
                <w:webHidden/>
              </w:rPr>
              <w:fldChar w:fldCharType="separate"/>
            </w:r>
            <w:r w:rsidR="0062760A">
              <w:rPr>
                <w:noProof/>
                <w:webHidden/>
              </w:rPr>
              <w:t>34</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2" w:history="1">
            <w:r w:rsidR="005B31C6" w:rsidRPr="00F93FB8">
              <w:rPr>
                <w:rStyle w:val="Hyperlink"/>
                <w:noProof/>
                <w:lang w:val="nl-BE"/>
              </w:rPr>
              <w:t>6.2.3.</w:t>
            </w:r>
            <w:r w:rsidR="005B31C6">
              <w:rPr>
                <w:rFonts w:asciiTheme="minorHAnsi" w:eastAsiaTheme="minorEastAsia" w:hAnsiTheme="minorHAnsi" w:cstheme="minorBidi"/>
                <w:noProof/>
                <w:lang w:val="nl-BE"/>
              </w:rPr>
              <w:tab/>
            </w:r>
            <w:r w:rsidR="005B31C6" w:rsidRPr="00F93FB8">
              <w:rPr>
                <w:rStyle w:val="Hyperlink"/>
                <w:noProof/>
                <w:lang w:val="nl-BE"/>
              </w:rPr>
              <w:t>Verdere info met betrekking tot gebruikers nRTH 2017</w:t>
            </w:r>
            <w:r w:rsidR="005B31C6">
              <w:rPr>
                <w:noProof/>
                <w:webHidden/>
              </w:rPr>
              <w:tab/>
            </w:r>
            <w:r w:rsidR="005B31C6">
              <w:rPr>
                <w:noProof/>
                <w:webHidden/>
              </w:rPr>
              <w:fldChar w:fldCharType="begin"/>
            </w:r>
            <w:r w:rsidR="005B31C6">
              <w:rPr>
                <w:noProof/>
                <w:webHidden/>
              </w:rPr>
              <w:instrText xml:space="preserve"> PAGEREF _Toc536797802 \h </w:instrText>
            </w:r>
            <w:r w:rsidR="005B31C6">
              <w:rPr>
                <w:noProof/>
                <w:webHidden/>
              </w:rPr>
            </w:r>
            <w:r w:rsidR="005B31C6">
              <w:rPr>
                <w:noProof/>
                <w:webHidden/>
              </w:rPr>
              <w:fldChar w:fldCharType="separate"/>
            </w:r>
            <w:r w:rsidR="0062760A">
              <w:rPr>
                <w:noProof/>
                <w:webHidden/>
              </w:rPr>
              <w:t>35</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03" w:history="1">
            <w:r w:rsidR="005B31C6" w:rsidRPr="00F93FB8">
              <w:rPr>
                <w:rStyle w:val="Hyperlink"/>
                <w:noProof/>
                <w:lang w:val="nl-BE"/>
              </w:rPr>
              <w:t>6.3.</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observatie-, diagnose- en behandelingsunits</w:t>
            </w:r>
            <w:r w:rsidR="005B31C6">
              <w:rPr>
                <w:noProof/>
                <w:webHidden/>
              </w:rPr>
              <w:tab/>
            </w:r>
            <w:r w:rsidR="005B31C6">
              <w:rPr>
                <w:noProof/>
                <w:webHidden/>
              </w:rPr>
              <w:fldChar w:fldCharType="begin"/>
            </w:r>
            <w:r w:rsidR="005B31C6">
              <w:rPr>
                <w:noProof/>
                <w:webHidden/>
              </w:rPr>
              <w:instrText xml:space="preserve"> PAGEREF _Toc536797803 \h </w:instrText>
            </w:r>
            <w:r w:rsidR="005B31C6">
              <w:rPr>
                <w:noProof/>
                <w:webHidden/>
              </w:rPr>
            </w:r>
            <w:r w:rsidR="005B31C6">
              <w:rPr>
                <w:noProof/>
                <w:webHidden/>
              </w:rPr>
              <w:fldChar w:fldCharType="separate"/>
            </w:r>
            <w:r w:rsidR="0062760A">
              <w:rPr>
                <w:noProof/>
                <w:webHidden/>
              </w:rPr>
              <w:t>38</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04" w:history="1">
            <w:r w:rsidR="005B31C6" w:rsidRPr="00F93FB8">
              <w:rPr>
                <w:rStyle w:val="Hyperlink"/>
                <w:noProof/>
                <w:lang w:val="nl-BE"/>
              </w:rPr>
              <w:t>6.4.</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units voor geïnterneerden</w:t>
            </w:r>
            <w:r w:rsidR="005B31C6">
              <w:rPr>
                <w:noProof/>
                <w:webHidden/>
              </w:rPr>
              <w:tab/>
            </w:r>
            <w:r w:rsidR="005B31C6">
              <w:rPr>
                <w:noProof/>
                <w:webHidden/>
              </w:rPr>
              <w:fldChar w:fldCharType="begin"/>
            </w:r>
            <w:r w:rsidR="005B31C6">
              <w:rPr>
                <w:noProof/>
                <w:webHidden/>
              </w:rPr>
              <w:instrText xml:space="preserve"> PAGEREF _Toc536797804 \h </w:instrText>
            </w:r>
            <w:r w:rsidR="005B31C6">
              <w:rPr>
                <w:noProof/>
                <w:webHidden/>
              </w:rPr>
            </w:r>
            <w:r w:rsidR="005B31C6">
              <w:rPr>
                <w:noProof/>
                <w:webHidden/>
              </w:rPr>
              <w:fldChar w:fldCharType="separate"/>
            </w:r>
            <w:r w:rsidR="0062760A">
              <w:rPr>
                <w:noProof/>
                <w:webHidden/>
              </w:rPr>
              <w:t>39</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05" w:history="1">
            <w:r w:rsidR="005B31C6" w:rsidRPr="00F93FB8">
              <w:rPr>
                <w:rStyle w:val="Hyperlink"/>
                <w:noProof/>
                <w:lang w:val="nl-BE"/>
              </w:rPr>
              <w:t>6.5.</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hulpmiddelen en aanpassingen</w:t>
            </w:r>
            <w:r w:rsidR="005B31C6">
              <w:rPr>
                <w:noProof/>
                <w:webHidden/>
              </w:rPr>
              <w:tab/>
            </w:r>
            <w:r w:rsidR="005B31C6">
              <w:rPr>
                <w:noProof/>
                <w:webHidden/>
              </w:rPr>
              <w:fldChar w:fldCharType="begin"/>
            </w:r>
            <w:r w:rsidR="005B31C6">
              <w:rPr>
                <w:noProof/>
                <w:webHidden/>
              </w:rPr>
              <w:instrText xml:space="preserve"> PAGEREF _Toc536797805 \h </w:instrText>
            </w:r>
            <w:r w:rsidR="005B31C6">
              <w:rPr>
                <w:noProof/>
                <w:webHidden/>
              </w:rPr>
            </w:r>
            <w:r w:rsidR="005B31C6">
              <w:rPr>
                <w:noProof/>
                <w:webHidden/>
              </w:rPr>
              <w:fldChar w:fldCharType="separate"/>
            </w:r>
            <w:r w:rsidR="0062760A">
              <w:rPr>
                <w:noProof/>
                <w:webHidden/>
              </w:rPr>
              <w:t>39</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6" w:history="1">
            <w:r w:rsidR="005B31C6" w:rsidRPr="00F93FB8">
              <w:rPr>
                <w:rStyle w:val="Hyperlink"/>
                <w:noProof/>
                <w:lang w:val="nl-BE"/>
              </w:rPr>
              <w:t>6.5.1.</w:t>
            </w:r>
            <w:r w:rsidR="005B31C6">
              <w:rPr>
                <w:rFonts w:asciiTheme="minorHAnsi" w:eastAsiaTheme="minorEastAsia" w:hAnsiTheme="minorHAnsi" w:cstheme="minorBidi"/>
                <w:noProof/>
                <w:lang w:val="nl-BE"/>
              </w:rPr>
              <w:tab/>
            </w:r>
            <w:r w:rsidR="005B31C6" w:rsidRPr="00F93FB8">
              <w:rPr>
                <w:rStyle w:val="Hyperlink"/>
                <w:noProof/>
                <w:lang w:val="nl-BE"/>
              </w:rPr>
              <w:t>Aantal actieve gebruikers van hulpmiddelen en aanpassingen</w:t>
            </w:r>
            <w:r w:rsidR="005B31C6">
              <w:rPr>
                <w:noProof/>
                <w:webHidden/>
              </w:rPr>
              <w:tab/>
            </w:r>
            <w:r w:rsidR="005B31C6">
              <w:rPr>
                <w:noProof/>
                <w:webHidden/>
              </w:rPr>
              <w:fldChar w:fldCharType="begin"/>
            </w:r>
            <w:r w:rsidR="005B31C6">
              <w:rPr>
                <w:noProof/>
                <w:webHidden/>
              </w:rPr>
              <w:instrText xml:space="preserve"> PAGEREF _Toc536797806 \h </w:instrText>
            </w:r>
            <w:r w:rsidR="005B31C6">
              <w:rPr>
                <w:noProof/>
                <w:webHidden/>
              </w:rPr>
            </w:r>
            <w:r w:rsidR="005B31C6">
              <w:rPr>
                <w:noProof/>
                <w:webHidden/>
              </w:rPr>
              <w:fldChar w:fldCharType="separate"/>
            </w:r>
            <w:r w:rsidR="0062760A">
              <w:rPr>
                <w:noProof/>
                <w:webHidden/>
              </w:rPr>
              <w:t>40</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7" w:history="1">
            <w:r w:rsidR="005B31C6" w:rsidRPr="00F93FB8">
              <w:rPr>
                <w:rStyle w:val="Hyperlink"/>
                <w:noProof/>
                <w:lang w:val="nl-BE"/>
              </w:rPr>
              <w:t>6.5.2.</w:t>
            </w:r>
            <w:r w:rsidR="005B31C6">
              <w:rPr>
                <w:rFonts w:asciiTheme="minorHAnsi" w:eastAsiaTheme="minorEastAsia" w:hAnsiTheme="minorHAnsi" w:cstheme="minorBidi"/>
                <w:noProof/>
                <w:lang w:val="nl-BE"/>
              </w:rPr>
              <w:tab/>
            </w:r>
            <w:r w:rsidR="005B31C6" w:rsidRPr="00F93FB8">
              <w:rPr>
                <w:rStyle w:val="Hyperlink"/>
                <w:noProof/>
                <w:lang w:val="nl-BE"/>
              </w:rPr>
              <w:t>Evolutie van het aantal personen die goedkeuring kregen voor hulpmiddelen en aanpassingen</w:t>
            </w:r>
            <w:r w:rsidR="005B31C6">
              <w:rPr>
                <w:noProof/>
                <w:webHidden/>
              </w:rPr>
              <w:tab/>
            </w:r>
            <w:r w:rsidR="005B31C6">
              <w:rPr>
                <w:noProof/>
                <w:webHidden/>
              </w:rPr>
              <w:fldChar w:fldCharType="begin"/>
            </w:r>
            <w:r w:rsidR="005B31C6">
              <w:rPr>
                <w:noProof/>
                <w:webHidden/>
              </w:rPr>
              <w:instrText xml:space="preserve"> PAGEREF _Toc536797807 \h </w:instrText>
            </w:r>
            <w:r w:rsidR="005B31C6">
              <w:rPr>
                <w:noProof/>
                <w:webHidden/>
              </w:rPr>
            </w:r>
            <w:r w:rsidR="005B31C6">
              <w:rPr>
                <w:noProof/>
                <w:webHidden/>
              </w:rPr>
              <w:fldChar w:fldCharType="separate"/>
            </w:r>
            <w:r w:rsidR="0062760A">
              <w:rPr>
                <w:noProof/>
                <w:webHidden/>
              </w:rPr>
              <w:t>41</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08" w:history="1">
            <w:r w:rsidR="005B31C6" w:rsidRPr="00F93FB8">
              <w:rPr>
                <w:rStyle w:val="Hyperlink"/>
                <w:noProof/>
                <w:lang w:val="nl-BE"/>
              </w:rPr>
              <w:t>6.5.3.</w:t>
            </w:r>
            <w:r w:rsidR="005B31C6">
              <w:rPr>
                <w:rFonts w:asciiTheme="minorHAnsi" w:eastAsiaTheme="minorEastAsia" w:hAnsiTheme="minorHAnsi" w:cstheme="minorBidi"/>
                <w:noProof/>
                <w:lang w:val="nl-BE"/>
              </w:rPr>
              <w:tab/>
            </w:r>
            <w:r w:rsidR="005B31C6" w:rsidRPr="00F93FB8">
              <w:rPr>
                <w:rStyle w:val="Hyperlink"/>
                <w:noProof/>
                <w:lang w:val="nl-BE"/>
              </w:rPr>
              <w:t>Verder info met betrekking tot goedkeuringen hulpmiddelen en aanpassingen 2017</w:t>
            </w:r>
            <w:r w:rsidR="005B31C6">
              <w:rPr>
                <w:noProof/>
                <w:webHidden/>
              </w:rPr>
              <w:tab/>
            </w:r>
            <w:r w:rsidR="005B31C6">
              <w:rPr>
                <w:noProof/>
                <w:webHidden/>
              </w:rPr>
              <w:fldChar w:fldCharType="begin"/>
            </w:r>
            <w:r w:rsidR="005B31C6">
              <w:rPr>
                <w:noProof/>
                <w:webHidden/>
              </w:rPr>
              <w:instrText xml:space="preserve"> PAGEREF _Toc536797808 \h </w:instrText>
            </w:r>
            <w:r w:rsidR="005B31C6">
              <w:rPr>
                <w:noProof/>
                <w:webHidden/>
              </w:rPr>
            </w:r>
            <w:r w:rsidR="005B31C6">
              <w:rPr>
                <w:noProof/>
                <w:webHidden/>
              </w:rPr>
              <w:fldChar w:fldCharType="separate"/>
            </w:r>
            <w:r w:rsidR="0062760A">
              <w:rPr>
                <w:noProof/>
                <w:webHidden/>
              </w:rPr>
              <w:t>42</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809" w:history="1">
            <w:r w:rsidR="005B31C6" w:rsidRPr="00F93FB8">
              <w:rPr>
                <w:rStyle w:val="Hyperlink"/>
                <w:noProof/>
                <w:lang w:val="nl-BE"/>
              </w:rPr>
              <w:t>7.</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vragen naar niet</w:t>
            </w:r>
            <w:r w:rsidR="005B31C6" w:rsidRPr="00F93FB8">
              <w:rPr>
                <w:rStyle w:val="Hyperlink"/>
                <w:noProof/>
                <w:lang w:val="nl-BE"/>
              </w:rPr>
              <w:noBreakHyphen/>
              <w:t>rechtstreeks toegankelijke hulp</w:t>
            </w:r>
            <w:r w:rsidR="005B31C6">
              <w:rPr>
                <w:noProof/>
                <w:webHidden/>
              </w:rPr>
              <w:tab/>
            </w:r>
            <w:r w:rsidR="005B31C6">
              <w:rPr>
                <w:noProof/>
                <w:webHidden/>
              </w:rPr>
              <w:fldChar w:fldCharType="begin"/>
            </w:r>
            <w:r w:rsidR="005B31C6">
              <w:rPr>
                <w:noProof/>
                <w:webHidden/>
              </w:rPr>
              <w:instrText xml:space="preserve"> PAGEREF _Toc536797809 \h </w:instrText>
            </w:r>
            <w:r w:rsidR="005B31C6">
              <w:rPr>
                <w:noProof/>
                <w:webHidden/>
              </w:rPr>
            </w:r>
            <w:r w:rsidR="005B31C6">
              <w:rPr>
                <w:noProof/>
                <w:webHidden/>
              </w:rPr>
              <w:fldChar w:fldCharType="separate"/>
            </w:r>
            <w:r w:rsidR="0062760A">
              <w:rPr>
                <w:noProof/>
                <w:webHidden/>
              </w:rPr>
              <w:t>43</w:t>
            </w:r>
            <w:r w:rsidR="005B31C6">
              <w:rPr>
                <w:noProof/>
                <w:webHidden/>
              </w:rPr>
              <w:fldChar w:fldCharType="end"/>
            </w:r>
          </w:hyperlink>
        </w:p>
        <w:p w:rsidR="005B31C6" w:rsidRDefault="00943B0C">
          <w:pPr>
            <w:pStyle w:val="Inhopg2"/>
            <w:tabs>
              <w:tab w:val="left" w:pos="880"/>
              <w:tab w:val="right" w:leader="dot" w:pos="8893"/>
            </w:tabs>
            <w:rPr>
              <w:rFonts w:asciiTheme="minorHAnsi" w:eastAsiaTheme="minorEastAsia" w:hAnsiTheme="minorHAnsi" w:cstheme="minorBidi"/>
              <w:noProof/>
              <w:lang w:val="nl-BE"/>
            </w:rPr>
          </w:pPr>
          <w:hyperlink w:anchor="_Toc536797810" w:history="1">
            <w:r w:rsidR="005B31C6" w:rsidRPr="00F93FB8">
              <w:rPr>
                <w:rStyle w:val="Hyperlink"/>
                <w:noProof/>
                <w:lang w:val="nl-BE"/>
              </w:rPr>
              <w:t>7.1.</w:t>
            </w:r>
            <w:r w:rsidR="005B31C6">
              <w:rPr>
                <w:rFonts w:asciiTheme="minorHAnsi" w:eastAsiaTheme="minorEastAsia" w:hAnsiTheme="minorHAnsi" w:cstheme="minorBidi"/>
                <w:noProof/>
                <w:lang w:val="nl-BE"/>
              </w:rPr>
              <w:tab/>
            </w:r>
            <w:r w:rsidR="005B31C6" w:rsidRPr="00F93FB8">
              <w:rPr>
                <w:rStyle w:val="Hyperlink"/>
                <w:noProof/>
                <w:lang w:val="nl-BE"/>
              </w:rPr>
              <w:t>Evolutie van het aantal vragen 2008-2013-2017-heden</w:t>
            </w:r>
            <w:r w:rsidR="005B31C6">
              <w:rPr>
                <w:noProof/>
                <w:webHidden/>
              </w:rPr>
              <w:tab/>
            </w:r>
            <w:r w:rsidR="005B31C6">
              <w:rPr>
                <w:noProof/>
                <w:webHidden/>
              </w:rPr>
              <w:fldChar w:fldCharType="begin"/>
            </w:r>
            <w:r w:rsidR="005B31C6">
              <w:rPr>
                <w:noProof/>
                <w:webHidden/>
              </w:rPr>
              <w:instrText xml:space="preserve"> PAGEREF _Toc536797810 \h </w:instrText>
            </w:r>
            <w:r w:rsidR="005B31C6">
              <w:rPr>
                <w:noProof/>
                <w:webHidden/>
              </w:rPr>
            </w:r>
            <w:r w:rsidR="005B31C6">
              <w:rPr>
                <w:noProof/>
                <w:webHidden/>
              </w:rPr>
              <w:fldChar w:fldCharType="separate"/>
            </w:r>
            <w:r w:rsidR="0062760A">
              <w:rPr>
                <w:noProof/>
                <w:webHidden/>
              </w:rPr>
              <w:t>43</w:t>
            </w:r>
            <w:r w:rsidR="005B31C6">
              <w:rPr>
                <w:noProof/>
                <w:webHidden/>
              </w:rPr>
              <w:fldChar w:fldCharType="end"/>
            </w:r>
          </w:hyperlink>
        </w:p>
        <w:p w:rsidR="005B31C6" w:rsidRDefault="00943B0C">
          <w:pPr>
            <w:pStyle w:val="Inhopg2"/>
            <w:tabs>
              <w:tab w:val="left" w:pos="880"/>
              <w:tab w:val="right" w:leader="dot" w:pos="8893"/>
            </w:tabs>
            <w:rPr>
              <w:rFonts w:asciiTheme="minorHAnsi" w:eastAsiaTheme="minorEastAsia" w:hAnsiTheme="minorHAnsi" w:cstheme="minorBidi"/>
              <w:noProof/>
              <w:lang w:val="nl-BE"/>
            </w:rPr>
          </w:pPr>
          <w:hyperlink w:anchor="_Toc536797811" w:history="1">
            <w:r w:rsidR="005B31C6" w:rsidRPr="00F93FB8">
              <w:rPr>
                <w:rStyle w:val="Hyperlink"/>
                <w:noProof/>
                <w:lang w:val="nl-BE"/>
              </w:rPr>
              <w:t>7.2.</w:t>
            </w:r>
            <w:r w:rsidR="005B31C6">
              <w:rPr>
                <w:rFonts w:asciiTheme="minorHAnsi" w:eastAsiaTheme="minorEastAsia" w:hAnsiTheme="minorHAnsi" w:cstheme="minorBidi"/>
                <w:noProof/>
                <w:lang w:val="nl-BE"/>
              </w:rPr>
              <w:tab/>
            </w:r>
            <w:r w:rsidR="005B31C6" w:rsidRPr="00F93FB8">
              <w:rPr>
                <w:rStyle w:val="Hyperlink"/>
                <w:noProof/>
                <w:lang w:val="nl-BE"/>
              </w:rPr>
              <w:t>Informatie over nieuwe vragen</w:t>
            </w:r>
            <w:r w:rsidR="005B31C6">
              <w:rPr>
                <w:noProof/>
                <w:webHidden/>
              </w:rPr>
              <w:tab/>
            </w:r>
            <w:r w:rsidR="005B31C6">
              <w:rPr>
                <w:noProof/>
                <w:webHidden/>
              </w:rPr>
              <w:fldChar w:fldCharType="begin"/>
            </w:r>
            <w:r w:rsidR="005B31C6">
              <w:rPr>
                <w:noProof/>
                <w:webHidden/>
              </w:rPr>
              <w:instrText xml:space="preserve"> PAGEREF _Toc536797811 \h </w:instrText>
            </w:r>
            <w:r w:rsidR="005B31C6">
              <w:rPr>
                <w:noProof/>
                <w:webHidden/>
              </w:rPr>
            </w:r>
            <w:r w:rsidR="005B31C6">
              <w:rPr>
                <w:noProof/>
                <w:webHidden/>
              </w:rPr>
              <w:fldChar w:fldCharType="separate"/>
            </w:r>
            <w:r w:rsidR="0062760A">
              <w:rPr>
                <w:noProof/>
                <w:webHidden/>
              </w:rPr>
              <w:t>46</w:t>
            </w:r>
            <w:r w:rsidR="005B31C6">
              <w:rPr>
                <w:noProof/>
                <w:webHidden/>
              </w:rPr>
              <w:fldChar w:fldCharType="end"/>
            </w:r>
          </w:hyperlink>
        </w:p>
        <w:p w:rsidR="005B31C6" w:rsidRDefault="00943B0C">
          <w:pPr>
            <w:pStyle w:val="Inhopg2"/>
            <w:tabs>
              <w:tab w:val="left" w:pos="880"/>
              <w:tab w:val="right" w:leader="dot" w:pos="8893"/>
            </w:tabs>
            <w:rPr>
              <w:rFonts w:asciiTheme="minorHAnsi" w:eastAsiaTheme="minorEastAsia" w:hAnsiTheme="minorHAnsi" w:cstheme="minorBidi"/>
              <w:noProof/>
              <w:lang w:val="nl-BE"/>
            </w:rPr>
          </w:pPr>
          <w:hyperlink w:anchor="_Toc536797812" w:history="1">
            <w:r w:rsidR="005B31C6" w:rsidRPr="00F93FB8">
              <w:rPr>
                <w:rStyle w:val="Hyperlink"/>
                <w:noProof/>
                <w:lang w:val="nl-BE"/>
              </w:rPr>
              <w:t>7.3.</w:t>
            </w:r>
            <w:r w:rsidR="005B31C6">
              <w:rPr>
                <w:rFonts w:asciiTheme="minorHAnsi" w:eastAsiaTheme="minorEastAsia" w:hAnsiTheme="minorHAnsi" w:cstheme="minorBidi"/>
                <w:noProof/>
                <w:lang w:val="nl-BE"/>
              </w:rPr>
              <w:tab/>
            </w:r>
            <w:r w:rsidR="005B31C6" w:rsidRPr="00F93FB8">
              <w:rPr>
                <w:rStyle w:val="Hyperlink"/>
                <w:noProof/>
                <w:lang w:val="nl-BE"/>
              </w:rPr>
              <w:t>Impact van de automatische</w:t>
            </w:r>
            <w:r w:rsidR="005B31C6" w:rsidRPr="00F93FB8">
              <w:rPr>
                <w:rStyle w:val="Hyperlink"/>
                <w:noProof/>
                <w:lang w:val="nl-BE"/>
              </w:rPr>
              <w:noBreakHyphen/>
              <w:t>toekenningsgroepen op de prioriteitenlijsten</w:t>
            </w:r>
            <w:r w:rsidR="005B31C6">
              <w:rPr>
                <w:noProof/>
                <w:webHidden/>
              </w:rPr>
              <w:tab/>
            </w:r>
            <w:r w:rsidR="005B31C6">
              <w:rPr>
                <w:noProof/>
                <w:webHidden/>
              </w:rPr>
              <w:fldChar w:fldCharType="begin"/>
            </w:r>
            <w:r w:rsidR="005B31C6">
              <w:rPr>
                <w:noProof/>
                <w:webHidden/>
              </w:rPr>
              <w:instrText xml:space="preserve"> PAGEREF _Toc536797812 \h </w:instrText>
            </w:r>
            <w:r w:rsidR="005B31C6">
              <w:rPr>
                <w:noProof/>
                <w:webHidden/>
              </w:rPr>
            </w:r>
            <w:r w:rsidR="005B31C6">
              <w:rPr>
                <w:noProof/>
                <w:webHidden/>
              </w:rPr>
              <w:fldChar w:fldCharType="separate"/>
            </w:r>
            <w:r w:rsidR="0062760A">
              <w:rPr>
                <w:noProof/>
                <w:webHidden/>
              </w:rPr>
              <w:t>47</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813" w:history="1">
            <w:r w:rsidR="005B31C6" w:rsidRPr="00F93FB8">
              <w:rPr>
                <w:rStyle w:val="Hyperlink"/>
                <w:noProof/>
                <w:lang w:val="nl-BE"/>
              </w:rPr>
              <w:t>8.</w:t>
            </w:r>
            <w:r w:rsidR="005B31C6">
              <w:rPr>
                <w:rFonts w:asciiTheme="minorHAnsi" w:eastAsiaTheme="minorEastAsia" w:hAnsiTheme="minorHAnsi" w:cstheme="minorBidi"/>
                <w:noProof/>
                <w:lang w:val="nl-BE"/>
              </w:rPr>
              <w:tab/>
            </w:r>
            <w:r w:rsidR="005B31C6" w:rsidRPr="00F93FB8">
              <w:rPr>
                <w:rStyle w:val="Hyperlink"/>
                <w:noProof/>
                <w:lang w:val="nl-BE"/>
              </w:rPr>
              <w:t>Gegevens met betrekking tot erkenningen en vergunningen</w:t>
            </w:r>
            <w:r w:rsidR="005B31C6">
              <w:rPr>
                <w:noProof/>
                <w:webHidden/>
              </w:rPr>
              <w:tab/>
            </w:r>
            <w:r w:rsidR="005B31C6">
              <w:rPr>
                <w:noProof/>
                <w:webHidden/>
              </w:rPr>
              <w:fldChar w:fldCharType="begin"/>
            </w:r>
            <w:r w:rsidR="005B31C6">
              <w:rPr>
                <w:noProof/>
                <w:webHidden/>
              </w:rPr>
              <w:instrText xml:space="preserve"> PAGEREF _Toc536797813 \h </w:instrText>
            </w:r>
            <w:r w:rsidR="005B31C6">
              <w:rPr>
                <w:noProof/>
                <w:webHidden/>
              </w:rPr>
            </w:r>
            <w:r w:rsidR="005B31C6">
              <w:rPr>
                <w:noProof/>
                <w:webHidden/>
              </w:rPr>
              <w:fldChar w:fldCharType="separate"/>
            </w:r>
            <w:r w:rsidR="0062760A">
              <w:rPr>
                <w:noProof/>
                <w:webHidden/>
              </w:rPr>
              <w:t>48</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14" w:history="1">
            <w:r w:rsidR="005B31C6" w:rsidRPr="00F93FB8">
              <w:rPr>
                <w:rStyle w:val="Hyperlink"/>
                <w:noProof/>
                <w:lang w:val="nl-BE"/>
              </w:rPr>
              <w:t>8.1.</w:t>
            </w:r>
            <w:r w:rsidR="005B31C6">
              <w:rPr>
                <w:rFonts w:asciiTheme="minorHAnsi" w:eastAsiaTheme="minorEastAsia" w:hAnsiTheme="minorHAnsi" w:cstheme="minorBidi"/>
                <w:noProof/>
                <w:lang w:val="nl-BE"/>
              </w:rPr>
              <w:tab/>
            </w:r>
            <w:r w:rsidR="005B31C6" w:rsidRPr="00F93FB8">
              <w:rPr>
                <w:rStyle w:val="Hyperlink"/>
                <w:noProof/>
                <w:lang w:val="nl-BE"/>
              </w:rPr>
              <w:t>Evolutie van de erkende capaciteit 2008-2013</w:t>
            </w:r>
            <w:r w:rsidR="005B31C6">
              <w:rPr>
                <w:noProof/>
                <w:webHidden/>
              </w:rPr>
              <w:tab/>
            </w:r>
            <w:r w:rsidR="005B31C6">
              <w:rPr>
                <w:noProof/>
                <w:webHidden/>
              </w:rPr>
              <w:fldChar w:fldCharType="begin"/>
            </w:r>
            <w:r w:rsidR="005B31C6">
              <w:rPr>
                <w:noProof/>
                <w:webHidden/>
              </w:rPr>
              <w:instrText xml:space="preserve"> PAGEREF _Toc536797814 \h </w:instrText>
            </w:r>
            <w:r w:rsidR="005B31C6">
              <w:rPr>
                <w:noProof/>
                <w:webHidden/>
              </w:rPr>
            </w:r>
            <w:r w:rsidR="005B31C6">
              <w:rPr>
                <w:noProof/>
                <w:webHidden/>
              </w:rPr>
              <w:fldChar w:fldCharType="separate"/>
            </w:r>
            <w:r w:rsidR="0062760A">
              <w:rPr>
                <w:noProof/>
                <w:webHidden/>
              </w:rPr>
              <w:t>49</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15" w:history="1">
            <w:r w:rsidR="005B31C6" w:rsidRPr="00F93FB8">
              <w:rPr>
                <w:rStyle w:val="Hyperlink"/>
                <w:noProof/>
                <w:lang w:val="nl-BE"/>
              </w:rPr>
              <w:t>8.2.</w:t>
            </w:r>
            <w:r w:rsidR="005B31C6">
              <w:rPr>
                <w:rFonts w:asciiTheme="minorHAnsi" w:eastAsiaTheme="minorEastAsia" w:hAnsiTheme="minorHAnsi" w:cstheme="minorBidi"/>
                <w:noProof/>
                <w:lang w:val="nl-BE"/>
              </w:rPr>
              <w:tab/>
            </w:r>
            <w:r w:rsidR="005B31C6" w:rsidRPr="00F93FB8">
              <w:rPr>
                <w:rStyle w:val="Hyperlink"/>
                <w:noProof/>
                <w:lang w:val="nl-BE"/>
              </w:rPr>
              <w:t>Overzicht van erkende en vergunde diensten sinds PVF</w:t>
            </w:r>
            <w:r w:rsidR="005B31C6">
              <w:rPr>
                <w:noProof/>
                <w:webHidden/>
              </w:rPr>
              <w:tab/>
            </w:r>
            <w:r w:rsidR="005B31C6">
              <w:rPr>
                <w:noProof/>
                <w:webHidden/>
              </w:rPr>
              <w:fldChar w:fldCharType="begin"/>
            </w:r>
            <w:r w:rsidR="005B31C6">
              <w:rPr>
                <w:noProof/>
                <w:webHidden/>
              </w:rPr>
              <w:instrText xml:space="preserve"> PAGEREF _Toc536797815 \h </w:instrText>
            </w:r>
            <w:r w:rsidR="005B31C6">
              <w:rPr>
                <w:noProof/>
                <w:webHidden/>
              </w:rPr>
            </w:r>
            <w:r w:rsidR="005B31C6">
              <w:rPr>
                <w:noProof/>
                <w:webHidden/>
              </w:rPr>
              <w:fldChar w:fldCharType="separate"/>
            </w:r>
            <w:r w:rsidR="0062760A">
              <w:rPr>
                <w:noProof/>
                <w:webHidden/>
              </w:rPr>
              <w:t>50</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16" w:history="1">
            <w:r w:rsidR="005B31C6" w:rsidRPr="00F93FB8">
              <w:rPr>
                <w:rStyle w:val="Hyperlink"/>
                <w:noProof/>
                <w:lang w:val="nl-BE"/>
              </w:rPr>
              <w:t>8.2.1.</w:t>
            </w:r>
            <w:r w:rsidR="005B31C6">
              <w:rPr>
                <w:rFonts w:asciiTheme="minorHAnsi" w:eastAsiaTheme="minorEastAsia" w:hAnsiTheme="minorHAnsi" w:cstheme="minorBidi"/>
                <w:noProof/>
                <w:lang w:val="nl-BE"/>
              </w:rPr>
              <w:tab/>
            </w:r>
            <w:r w:rsidR="005B31C6" w:rsidRPr="00F93FB8">
              <w:rPr>
                <w:rStyle w:val="Hyperlink"/>
                <w:noProof/>
                <w:lang w:val="nl-BE"/>
              </w:rPr>
              <w:t>Multifunctionele centra voor minderjarigen</w:t>
            </w:r>
            <w:r w:rsidR="005B31C6">
              <w:rPr>
                <w:noProof/>
                <w:webHidden/>
              </w:rPr>
              <w:tab/>
            </w:r>
            <w:r w:rsidR="005B31C6">
              <w:rPr>
                <w:noProof/>
                <w:webHidden/>
              </w:rPr>
              <w:fldChar w:fldCharType="begin"/>
            </w:r>
            <w:r w:rsidR="005B31C6">
              <w:rPr>
                <w:noProof/>
                <w:webHidden/>
              </w:rPr>
              <w:instrText xml:space="preserve"> PAGEREF _Toc536797816 \h </w:instrText>
            </w:r>
            <w:r w:rsidR="005B31C6">
              <w:rPr>
                <w:noProof/>
                <w:webHidden/>
              </w:rPr>
            </w:r>
            <w:r w:rsidR="005B31C6">
              <w:rPr>
                <w:noProof/>
                <w:webHidden/>
              </w:rPr>
              <w:fldChar w:fldCharType="separate"/>
            </w:r>
            <w:r w:rsidR="0062760A">
              <w:rPr>
                <w:noProof/>
                <w:webHidden/>
              </w:rPr>
              <w:t>50</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17" w:history="1">
            <w:r w:rsidR="005B31C6" w:rsidRPr="00F93FB8">
              <w:rPr>
                <w:rStyle w:val="Hyperlink"/>
                <w:noProof/>
                <w:lang w:val="nl-BE"/>
              </w:rPr>
              <w:t>8.2.2.</w:t>
            </w:r>
            <w:r w:rsidR="005B31C6">
              <w:rPr>
                <w:rFonts w:asciiTheme="minorHAnsi" w:eastAsiaTheme="minorEastAsia" w:hAnsiTheme="minorHAnsi" w:cstheme="minorBidi"/>
                <w:noProof/>
                <w:lang w:val="nl-BE"/>
              </w:rPr>
              <w:tab/>
            </w:r>
            <w:r w:rsidR="005B31C6" w:rsidRPr="00F93FB8">
              <w:rPr>
                <w:rStyle w:val="Hyperlink"/>
                <w:noProof/>
                <w:lang w:val="nl-BE"/>
              </w:rPr>
              <w:t>Vergunde zorgaanbieders</w:t>
            </w:r>
            <w:r w:rsidR="005B31C6">
              <w:rPr>
                <w:noProof/>
                <w:webHidden/>
              </w:rPr>
              <w:tab/>
            </w:r>
            <w:r w:rsidR="005B31C6">
              <w:rPr>
                <w:noProof/>
                <w:webHidden/>
              </w:rPr>
              <w:fldChar w:fldCharType="begin"/>
            </w:r>
            <w:r w:rsidR="005B31C6">
              <w:rPr>
                <w:noProof/>
                <w:webHidden/>
              </w:rPr>
              <w:instrText xml:space="preserve"> PAGEREF _Toc536797817 \h </w:instrText>
            </w:r>
            <w:r w:rsidR="005B31C6">
              <w:rPr>
                <w:noProof/>
                <w:webHidden/>
              </w:rPr>
            </w:r>
            <w:r w:rsidR="005B31C6">
              <w:rPr>
                <w:noProof/>
                <w:webHidden/>
              </w:rPr>
              <w:fldChar w:fldCharType="separate"/>
            </w:r>
            <w:r w:rsidR="0062760A">
              <w:rPr>
                <w:noProof/>
                <w:webHidden/>
              </w:rPr>
              <w:t>50</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18" w:history="1">
            <w:r w:rsidR="005B31C6" w:rsidRPr="00F93FB8">
              <w:rPr>
                <w:rStyle w:val="Hyperlink"/>
                <w:noProof/>
                <w:lang w:val="nl-BE"/>
              </w:rPr>
              <w:t>8.2.3.</w:t>
            </w:r>
            <w:r w:rsidR="005B31C6">
              <w:rPr>
                <w:rFonts w:asciiTheme="minorHAnsi" w:eastAsiaTheme="minorEastAsia" w:hAnsiTheme="minorHAnsi" w:cstheme="minorBidi"/>
                <w:noProof/>
                <w:lang w:val="nl-BE"/>
              </w:rPr>
              <w:tab/>
            </w:r>
            <w:r w:rsidR="005B31C6" w:rsidRPr="00F93FB8">
              <w:rPr>
                <w:rStyle w:val="Hyperlink"/>
                <w:noProof/>
                <w:lang w:val="nl-BE"/>
              </w:rPr>
              <w:t>Observatie-, diagnose- en behandelingsunits voor volwassenen</w:t>
            </w:r>
            <w:r w:rsidR="005B31C6">
              <w:rPr>
                <w:noProof/>
                <w:webHidden/>
              </w:rPr>
              <w:tab/>
            </w:r>
            <w:r w:rsidR="005B31C6">
              <w:rPr>
                <w:noProof/>
                <w:webHidden/>
              </w:rPr>
              <w:fldChar w:fldCharType="begin"/>
            </w:r>
            <w:r w:rsidR="005B31C6">
              <w:rPr>
                <w:noProof/>
                <w:webHidden/>
              </w:rPr>
              <w:instrText xml:space="preserve"> PAGEREF _Toc536797818 \h </w:instrText>
            </w:r>
            <w:r w:rsidR="005B31C6">
              <w:rPr>
                <w:noProof/>
                <w:webHidden/>
              </w:rPr>
            </w:r>
            <w:r w:rsidR="005B31C6">
              <w:rPr>
                <w:noProof/>
                <w:webHidden/>
              </w:rPr>
              <w:fldChar w:fldCharType="separate"/>
            </w:r>
            <w:r w:rsidR="0062760A">
              <w:rPr>
                <w:noProof/>
                <w:webHidden/>
              </w:rPr>
              <w:t>51</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19" w:history="1">
            <w:r w:rsidR="005B31C6" w:rsidRPr="00F93FB8">
              <w:rPr>
                <w:rStyle w:val="Hyperlink"/>
                <w:noProof/>
                <w:lang w:val="nl-BE"/>
              </w:rPr>
              <w:t>8.2.4.</w:t>
            </w:r>
            <w:r w:rsidR="005B31C6">
              <w:rPr>
                <w:rFonts w:asciiTheme="minorHAnsi" w:eastAsiaTheme="minorEastAsia" w:hAnsiTheme="minorHAnsi" w:cstheme="minorBidi"/>
                <w:noProof/>
                <w:lang w:val="nl-BE"/>
              </w:rPr>
              <w:tab/>
            </w:r>
            <w:r w:rsidR="005B31C6" w:rsidRPr="00F93FB8">
              <w:rPr>
                <w:rStyle w:val="Hyperlink"/>
                <w:noProof/>
                <w:lang w:val="nl-BE"/>
              </w:rPr>
              <w:t>Units voor geïnterneerden</w:t>
            </w:r>
            <w:r w:rsidR="005B31C6">
              <w:rPr>
                <w:noProof/>
                <w:webHidden/>
              </w:rPr>
              <w:tab/>
            </w:r>
            <w:r w:rsidR="005B31C6">
              <w:rPr>
                <w:noProof/>
                <w:webHidden/>
              </w:rPr>
              <w:fldChar w:fldCharType="begin"/>
            </w:r>
            <w:r w:rsidR="005B31C6">
              <w:rPr>
                <w:noProof/>
                <w:webHidden/>
              </w:rPr>
              <w:instrText xml:space="preserve"> PAGEREF _Toc536797819 \h </w:instrText>
            </w:r>
            <w:r w:rsidR="005B31C6">
              <w:rPr>
                <w:noProof/>
                <w:webHidden/>
              </w:rPr>
            </w:r>
            <w:r w:rsidR="005B31C6">
              <w:rPr>
                <w:noProof/>
                <w:webHidden/>
              </w:rPr>
              <w:fldChar w:fldCharType="separate"/>
            </w:r>
            <w:r w:rsidR="0062760A">
              <w:rPr>
                <w:noProof/>
                <w:webHidden/>
              </w:rPr>
              <w:t>51</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0" w:history="1">
            <w:r w:rsidR="005B31C6" w:rsidRPr="00F93FB8">
              <w:rPr>
                <w:rStyle w:val="Hyperlink"/>
                <w:noProof/>
                <w:lang w:val="nl-BE"/>
              </w:rPr>
              <w:t>8.2.5.</w:t>
            </w:r>
            <w:r w:rsidR="005B31C6">
              <w:rPr>
                <w:rFonts w:asciiTheme="minorHAnsi" w:eastAsiaTheme="minorEastAsia" w:hAnsiTheme="minorHAnsi" w:cstheme="minorBidi"/>
                <w:noProof/>
                <w:lang w:val="nl-BE"/>
              </w:rPr>
              <w:tab/>
            </w:r>
            <w:r w:rsidR="005B31C6" w:rsidRPr="00F93FB8">
              <w:rPr>
                <w:rStyle w:val="Hyperlink"/>
                <w:noProof/>
                <w:lang w:val="nl-BE"/>
              </w:rPr>
              <w:t>Diensten rechtstreeks toegankelijke hulp</w:t>
            </w:r>
            <w:r w:rsidR="005B31C6">
              <w:rPr>
                <w:noProof/>
                <w:webHidden/>
              </w:rPr>
              <w:tab/>
            </w:r>
            <w:r w:rsidR="005B31C6">
              <w:rPr>
                <w:noProof/>
                <w:webHidden/>
              </w:rPr>
              <w:fldChar w:fldCharType="begin"/>
            </w:r>
            <w:r w:rsidR="005B31C6">
              <w:rPr>
                <w:noProof/>
                <w:webHidden/>
              </w:rPr>
              <w:instrText xml:space="preserve"> PAGEREF _Toc536797820 \h </w:instrText>
            </w:r>
            <w:r w:rsidR="005B31C6">
              <w:rPr>
                <w:noProof/>
                <w:webHidden/>
              </w:rPr>
            </w:r>
            <w:r w:rsidR="005B31C6">
              <w:rPr>
                <w:noProof/>
                <w:webHidden/>
              </w:rPr>
              <w:fldChar w:fldCharType="separate"/>
            </w:r>
            <w:r w:rsidR="0062760A">
              <w:rPr>
                <w:noProof/>
                <w:webHidden/>
              </w:rPr>
              <w:t>52</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1" w:history="1">
            <w:r w:rsidR="005B31C6" w:rsidRPr="00F93FB8">
              <w:rPr>
                <w:rStyle w:val="Hyperlink"/>
                <w:noProof/>
                <w:lang w:val="nl-BE"/>
              </w:rPr>
              <w:t>8.2.6.</w:t>
            </w:r>
            <w:r w:rsidR="005B31C6">
              <w:rPr>
                <w:rFonts w:asciiTheme="minorHAnsi" w:eastAsiaTheme="minorEastAsia" w:hAnsiTheme="minorHAnsi" w:cstheme="minorBidi"/>
                <w:noProof/>
                <w:lang w:val="nl-BE"/>
              </w:rPr>
              <w:tab/>
            </w:r>
            <w:r w:rsidR="005B31C6" w:rsidRPr="00F93FB8">
              <w:rPr>
                <w:rStyle w:val="Hyperlink"/>
                <w:noProof/>
                <w:lang w:val="nl-BE"/>
              </w:rPr>
              <w:t>Bijstandsorganisaties</w:t>
            </w:r>
            <w:r w:rsidR="005B31C6">
              <w:rPr>
                <w:noProof/>
                <w:webHidden/>
              </w:rPr>
              <w:tab/>
            </w:r>
            <w:r w:rsidR="005B31C6">
              <w:rPr>
                <w:noProof/>
                <w:webHidden/>
              </w:rPr>
              <w:fldChar w:fldCharType="begin"/>
            </w:r>
            <w:r w:rsidR="005B31C6">
              <w:rPr>
                <w:noProof/>
                <w:webHidden/>
              </w:rPr>
              <w:instrText xml:space="preserve"> PAGEREF _Toc536797821 \h </w:instrText>
            </w:r>
            <w:r w:rsidR="005B31C6">
              <w:rPr>
                <w:noProof/>
                <w:webHidden/>
              </w:rPr>
            </w:r>
            <w:r w:rsidR="005B31C6">
              <w:rPr>
                <w:noProof/>
                <w:webHidden/>
              </w:rPr>
              <w:fldChar w:fldCharType="separate"/>
            </w:r>
            <w:r w:rsidR="0062760A">
              <w:rPr>
                <w:noProof/>
                <w:webHidden/>
              </w:rPr>
              <w:t>53</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2" w:history="1">
            <w:r w:rsidR="005B31C6" w:rsidRPr="00F93FB8">
              <w:rPr>
                <w:rStyle w:val="Hyperlink"/>
                <w:noProof/>
                <w:lang w:val="nl-BE"/>
              </w:rPr>
              <w:t>8.2.7.</w:t>
            </w:r>
            <w:r w:rsidR="005B31C6">
              <w:rPr>
                <w:rFonts w:asciiTheme="minorHAnsi" w:eastAsiaTheme="minorEastAsia" w:hAnsiTheme="minorHAnsi" w:cstheme="minorBidi"/>
                <w:noProof/>
                <w:lang w:val="nl-BE"/>
              </w:rPr>
              <w:tab/>
            </w:r>
            <w:r w:rsidR="005B31C6" w:rsidRPr="00F93FB8">
              <w:rPr>
                <w:rStyle w:val="Hyperlink"/>
                <w:noProof/>
                <w:lang w:val="nl-BE"/>
              </w:rPr>
              <w:t>Diensten ondersteuningsplan</w:t>
            </w:r>
            <w:r w:rsidR="005B31C6">
              <w:rPr>
                <w:noProof/>
                <w:webHidden/>
              </w:rPr>
              <w:tab/>
            </w:r>
            <w:r w:rsidR="005B31C6">
              <w:rPr>
                <w:noProof/>
                <w:webHidden/>
              </w:rPr>
              <w:fldChar w:fldCharType="begin"/>
            </w:r>
            <w:r w:rsidR="005B31C6">
              <w:rPr>
                <w:noProof/>
                <w:webHidden/>
              </w:rPr>
              <w:instrText xml:space="preserve"> PAGEREF _Toc536797822 \h </w:instrText>
            </w:r>
            <w:r w:rsidR="005B31C6">
              <w:rPr>
                <w:noProof/>
                <w:webHidden/>
              </w:rPr>
            </w:r>
            <w:r w:rsidR="005B31C6">
              <w:rPr>
                <w:noProof/>
                <w:webHidden/>
              </w:rPr>
              <w:fldChar w:fldCharType="separate"/>
            </w:r>
            <w:r w:rsidR="0062760A">
              <w:rPr>
                <w:noProof/>
                <w:webHidden/>
              </w:rPr>
              <w:t>53</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3" w:history="1">
            <w:r w:rsidR="005B31C6" w:rsidRPr="00F93FB8">
              <w:rPr>
                <w:rStyle w:val="Hyperlink"/>
                <w:noProof/>
                <w:lang w:val="nl-BE"/>
              </w:rPr>
              <w:t>8.2.8.</w:t>
            </w:r>
            <w:r w:rsidR="005B31C6">
              <w:rPr>
                <w:rFonts w:asciiTheme="minorHAnsi" w:eastAsiaTheme="minorEastAsia" w:hAnsiTheme="minorHAnsi" w:cstheme="minorBidi"/>
                <w:noProof/>
                <w:lang w:val="nl-BE"/>
              </w:rPr>
              <w:tab/>
            </w:r>
            <w:r w:rsidR="005B31C6" w:rsidRPr="00F93FB8">
              <w:rPr>
                <w:rStyle w:val="Hyperlink"/>
                <w:noProof/>
                <w:lang w:val="nl-BE"/>
              </w:rPr>
              <w:t>Groenezorginitiatieven</w:t>
            </w:r>
            <w:r w:rsidR="005B31C6">
              <w:rPr>
                <w:noProof/>
                <w:webHidden/>
              </w:rPr>
              <w:tab/>
            </w:r>
            <w:r w:rsidR="005B31C6">
              <w:rPr>
                <w:noProof/>
                <w:webHidden/>
              </w:rPr>
              <w:fldChar w:fldCharType="begin"/>
            </w:r>
            <w:r w:rsidR="005B31C6">
              <w:rPr>
                <w:noProof/>
                <w:webHidden/>
              </w:rPr>
              <w:instrText xml:space="preserve"> PAGEREF _Toc536797823 \h </w:instrText>
            </w:r>
            <w:r w:rsidR="005B31C6">
              <w:rPr>
                <w:noProof/>
                <w:webHidden/>
              </w:rPr>
            </w:r>
            <w:r w:rsidR="005B31C6">
              <w:rPr>
                <w:noProof/>
                <w:webHidden/>
              </w:rPr>
              <w:fldChar w:fldCharType="separate"/>
            </w:r>
            <w:r w:rsidR="0062760A">
              <w:rPr>
                <w:noProof/>
                <w:webHidden/>
              </w:rPr>
              <w:t>53</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4" w:history="1">
            <w:r w:rsidR="005B31C6" w:rsidRPr="00F93FB8">
              <w:rPr>
                <w:rStyle w:val="Hyperlink"/>
                <w:noProof/>
                <w:lang w:val="nl-BE"/>
              </w:rPr>
              <w:t>8.2.9.</w:t>
            </w:r>
            <w:r w:rsidR="005B31C6">
              <w:rPr>
                <w:rFonts w:asciiTheme="minorHAnsi" w:eastAsiaTheme="minorEastAsia" w:hAnsiTheme="minorHAnsi" w:cstheme="minorBidi"/>
                <w:noProof/>
                <w:lang w:val="nl-BE"/>
              </w:rPr>
              <w:tab/>
            </w:r>
            <w:r w:rsidR="005B31C6" w:rsidRPr="00F93FB8">
              <w:rPr>
                <w:rStyle w:val="Hyperlink"/>
                <w:noProof/>
                <w:lang w:val="nl-BE"/>
              </w:rPr>
              <w:t>Organisaties voor vrijetijdszorg</w:t>
            </w:r>
            <w:r w:rsidR="005B31C6">
              <w:rPr>
                <w:noProof/>
                <w:webHidden/>
              </w:rPr>
              <w:tab/>
            </w:r>
            <w:r w:rsidR="005B31C6">
              <w:rPr>
                <w:noProof/>
                <w:webHidden/>
              </w:rPr>
              <w:fldChar w:fldCharType="begin"/>
            </w:r>
            <w:r w:rsidR="005B31C6">
              <w:rPr>
                <w:noProof/>
                <w:webHidden/>
              </w:rPr>
              <w:instrText xml:space="preserve"> PAGEREF _Toc536797824 \h </w:instrText>
            </w:r>
            <w:r w:rsidR="005B31C6">
              <w:rPr>
                <w:noProof/>
                <w:webHidden/>
              </w:rPr>
            </w:r>
            <w:r w:rsidR="005B31C6">
              <w:rPr>
                <w:noProof/>
                <w:webHidden/>
              </w:rPr>
              <w:fldChar w:fldCharType="separate"/>
            </w:r>
            <w:r w:rsidR="0062760A">
              <w:rPr>
                <w:noProof/>
                <w:webHidden/>
              </w:rPr>
              <w:t>54</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5" w:history="1">
            <w:r w:rsidR="005B31C6" w:rsidRPr="00F93FB8">
              <w:rPr>
                <w:rStyle w:val="Hyperlink"/>
                <w:noProof/>
                <w:lang w:val="nl-BE"/>
              </w:rPr>
              <w:t>8.2.10.</w:t>
            </w:r>
            <w:r w:rsidR="005B31C6">
              <w:rPr>
                <w:rFonts w:asciiTheme="minorHAnsi" w:eastAsiaTheme="minorEastAsia" w:hAnsiTheme="minorHAnsi" w:cstheme="minorBidi"/>
                <w:noProof/>
                <w:lang w:val="nl-BE"/>
              </w:rPr>
              <w:tab/>
            </w:r>
            <w:r w:rsidR="005B31C6" w:rsidRPr="00F93FB8">
              <w:rPr>
                <w:rStyle w:val="Hyperlink"/>
                <w:noProof/>
                <w:lang w:val="nl-BE"/>
              </w:rPr>
              <w:t>Centra voor ontwikkelingsstoornissen</w:t>
            </w:r>
            <w:r w:rsidR="005B31C6">
              <w:rPr>
                <w:noProof/>
                <w:webHidden/>
              </w:rPr>
              <w:tab/>
            </w:r>
            <w:r w:rsidR="005B31C6">
              <w:rPr>
                <w:noProof/>
                <w:webHidden/>
              </w:rPr>
              <w:fldChar w:fldCharType="begin"/>
            </w:r>
            <w:r w:rsidR="005B31C6">
              <w:rPr>
                <w:noProof/>
                <w:webHidden/>
              </w:rPr>
              <w:instrText xml:space="preserve"> PAGEREF _Toc536797825 \h </w:instrText>
            </w:r>
            <w:r w:rsidR="005B31C6">
              <w:rPr>
                <w:noProof/>
                <w:webHidden/>
              </w:rPr>
            </w:r>
            <w:r w:rsidR="005B31C6">
              <w:rPr>
                <w:noProof/>
                <w:webHidden/>
              </w:rPr>
              <w:fldChar w:fldCharType="separate"/>
            </w:r>
            <w:r w:rsidR="0062760A">
              <w:rPr>
                <w:noProof/>
                <w:webHidden/>
              </w:rPr>
              <w:t>54</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6" w:history="1">
            <w:r w:rsidR="005B31C6" w:rsidRPr="00F93FB8">
              <w:rPr>
                <w:rStyle w:val="Hyperlink"/>
                <w:noProof/>
                <w:lang w:val="nl-BE"/>
              </w:rPr>
              <w:t>8.2.11.</w:t>
            </w:r>
            <w:r w:rsidR="005B31C6">
              <w:rPr>
                <w:rFonts w:asciiTheme="minorHAnsi" w:eastAsiaTheme="minorEastAsia" w:hAnsiTheme="minorHAnsi" w:cstheme="minorBidi"/>
                <w:noProof/>
                <w:lang w:val="nl-BE"/>
              </w:rPr>
              <w:tab/>
            </w:r>
            <w:r w:rsidR="005B31C6" w:rsidRPr="00F93FB8">
              <w:rPr>
                <w:rStyle w:val="Hyperlink"/>
                <w:noProof/>
                <w:lang w:val="nl-BE"/>
              </w:rPr>
              <w:t>Multidisciplinaire teams</w:t>
            </w:r>
            <w:r w:rsidR="005B31C6">
              <w:rPr>
                <w:noProof/>
                <w:webHidden/>
              </w:rPr>
              <w:tab/>
            </w:r>
            <w:r w:rsidR="005B31C6">
              <w:rPr>
                <w:noProof/>
                <w:webHidden/>
              </w:rPr>
              <w:fldChar w:fldCharType="begin"/>
            </w:r>
            <w:r w:rsidR="005B31C6">
              <w:rPr>
                <w:noProof/>
                <w:webHidden/>
              </w:rPr>
              <w:instrText xml:space="preserve"> PAGEREF _Toc536797826 \h </w:instrText>
            </w:r>
            <w:r w:rsidR="005B31C6">
              <w:rPr>
                <w:noProof/>
                <w:webHidden/>
              </w:rPr>
            </w:r>
            <w:r w:rsidR="005B31C6">
              <w:rPr>
                <w:noProof/>
                <w:webHidden/>
              </w:rPr>
              <w:fldChar w:fldCharType="separate"/>
            </w:r>
            <w:r w:rsidR="0062760A">
              <w:rPr>
                <w:noProof/>
                <w:webHidden/>
              </w:rPr>
              <w:t>54</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7" w:history="1">
            <w:r w:rsidR="005B31C6" w:rsidRPr="00F93FB8">
              <w:rPr>
                <w:rStyle w:val="Hyperlink"/>
                <w:noProof/>
                <w:lang w:val="nl-BE"/>
              </w:rPr>
              <w:t>8.2.12.</w:t>
            </w:r>
            <w:r w:rsidR="005B31C6">
              <w:rPr>
                <w:rFonts w:asciiTheme="minorHAnsi" w:eastAsiaTheme="minorEastAsia" w:hAnsiTheme="minorHAnsi" w:cstheme="minorBidi"/>
                <w:noProof/>
                <w:lang w:val="nl-BE"/>
              </w:rPr>
              <w:tab/>
            </w:r>
            <w:r w:rsidR="005B31C6" w:rsidRPr="00F93FB8">
              <w:rPr>
                <w:rStyle w:val="Hyperlink"/>
                <w:noProof/>
                <w:lang w:val="nl-BE"/>
              </w:rPr>
              <w:t>Consulentenwerkingen</w:t>
            </w:r>
            <w:r w:rsidR="005B31C6">
              <w:rPr>
                <w:noProof/>
                <w:webHidden/>
              </w:rPr>
              <w:tab/>
            </w:r>
            <w:r w:rsidR="005B31C6">
              <w:rPr>
                <w:noProof/>
                <w:webHidden/>
              </w:rPr>
              <w:fldChar w:fldCharType="begin"/>
            </w:r>
            <w:r w:rsidR="005B31C6">
              <w:rPr>
                <w:noProof/>
                <w:webHidden/>
              </w:rPr>
              <w:instrText xml:space="preserve"> PAGEREF _Toc536797827 \h </w:instrText>
            </w:r>
            <w:r w:rsidR="005B31C6">
              <w:rPr>
                <w:noProof/>
                <w:webHidden/>
              </w:rPr>
            </w:r>
            <w:r w:rsidR="005B31C6">
              <w:rPr>
                <w:noProof/>
                <w:webHidden/>
              </w:rPr>
              <w:fldChar w:fldCharType="separate"/>
            </w:r>
            <w:r w:rsidR="0062760A">
              <w:rPr>
                <w:noProof/>
                <w:webHidden/>
              </w:rPr>
              <w:t>55</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28" w:history="1">
            <w:r w:rsidR="005B31C6" w:rsidRPr="00F93FB8">
              <w:rPr>
                <w:rStyle w:val="Hyperlink"/>
                <w:noProof/>
                <w:lang w:val="nl-BE"/>
              </w:rPr>
              <w:t>8.2.13.</w:t>
            </w:r>
            <w:r w:rsidR="005B31C6">
              <w:rPr>
                <w:rFonts w:asciiTheme="minorHAnsi" w:eastAsiaTheme="minorEastAsia" w:hAnsiTheme="minorHAnsi" w:cstheme="minorBidi"/>
                <w:noProof/>
                <w:lang w:val="nl-BE"/>
              </w:rPr>
              <w:tab/>
            </w:r>
            <w:r w:rsidR="005B31C6" w:rsidRPr="00F93FB8">
              <w:rPr>
                <w:rStyle w:val="Hyperlink"/>
                <w:noProof/>
                <w:lang w:val="nl-BE"/>
              </w:rPr>
              <w:t>Revalidatiecentra</w:t>
            </w:r>
            <w:r w:rsidR="005B31C6">
              <w:rPr>
                <w:noProof/>
                <w:webHidden/>
              </w:rPr>
              <w:tab/>
            </w:r>
            <w:r w:rsidR="005B31C6">
              <w:rPr>
                <w:noProof/>
                <w:webHidden/>
              </w:rPr>
              <w:fldChar w:fldCharType="begin"/>
            </w:r>
            <w:r w:rsidR="005B31C6">
              <w:rPr>
                <w:noProof/>
                <w:webHidden/>
              </w:rPr>
              <w:instrText xml:space="preserve"> PAGEREF _Toc536797828 \h </w:instrText>
            </w:r>
            <w:r w:rsidR="005B31C6">
              <w:rPr>
                <w:noProof/>
                <w:webHidden/>
              </w:rPr>
            </w:r>
            <w:r w:rsidR="005B31C6">
              <w:rPr>
                <w:noProof/>
                <w:webHidden/>
              </w:rPr>
              <w:fldChar w:fldCharType="separate"/>
            </w:r>
            <w:r w:rsidR="0062760A">
              <w:rPr>
                <w:noProof/>
                <w:webHidden/>
              </w:rPr>
              <w:t>55</w:t>
            </w:r>
            <w:r w:rsidR="005B31C6">
              <w:rPr>
                <w:noProof/>
                <w:webHidden/>
              </w:rPr>
              <w:fldChar w:fldCharType="end"/>
            </w:r>
          </w:hyperlink>
        </w:p>
        <w:p w:rsidR="005B31C6" w:rsidRDefault="00943B0C">
          <w:pPr>
            <w:pStyle w:val="Inhopg1"/>
            <w:tabs>
              <w:tab w:val="left" w:pos="440"/>
              <w:tab w:val="right" w:leader="dot" w:pos="8893"/>
            </w:tabs>
            <w:rPr>
              <w:rFonts w:asciiTheme="minorHAnsi" w:eastAsiaTheme="minorEastAsia" w:hAnsiTheme="minorHAnsi" w:cstheme="minorBidi"/>
              <w:noProof/>
              <w:lang w:val="nl-BE"/>
            </w:rPr>
          </w:pPr>
          <w:hyperlink w:anchor="_Toc536797829" w:history="1">
            <w:r w:rsidR="005B31C6" w:rsidRPr="00F93FB8">
              <w:rPr>
                <w:rStyle w:val="Hyperlink"/>
                <w:noProof/>
                <w:lang w:val="nl-BE"/>
              </w:rPr>
              <w:t>9.</w:t>
            </w:r>
            <w:r w:rsidR="005B31C6">
              <w:rPr>
                <w:rFonts w:asciiTheme="minorHAnsi" w:eastAsiaTheme="minorEastAsia" w:hAnsiTheme="minorHAnsi" w:cstheme="minorBidi"/>
                <w:noProof/>
                <w:lang w:val="nl-BE"/>
              </w:rPr>
              <w:tab/>
            </w:r>
            <w:r w:rsidR="005B31C6" w:rsidRPr="00F93FB8">
              <w:rPr>
                <w:rStyle w:val="Hyperlink"/>
                <w:noProof/>
                <w:lang w:val="nl-BE"/>
              </w:rPr>
              <w:t>Personeelsgegevens</w:t>
            </w:r>
            <w:r w:rsidR="005B31C6">
              <w:rPr>
                <w:noProof/>
                <w:webHidden/>
              </w:rPr>
              <w:tab/>
            </w:r>
            <w:r w:rsidR="005B31C6">
              <w:rPr>
                <w:noProof/>
                <w:webHidden/>
              </w:rPr>
              <w:fldChar w:fldCharType="begin"/>
            </w:r>
            <w:r w:rsidR="005B31C6">
              <w:rPr>
                <w:noProof/>
                <w:webHidden/>
              </w:rPr>
              <w:instrText xml:space="preserve"> PAGEREF _Toc536797829 \h </w:instrText>
            </w:r>
            <w:r w:rsidR="005B31C6">
              <w:rPr>
                <w:noProof/>
                <w:webHidden/>
              </w:rPr>
            </w:r>
            <w:r w:rsidR="005B31C6">
              <w:rPr>
                <w:noProof/>
                <w:webHidden/>
              </w:rPr>
              <w:fldChar w:fldCharType="separate"/>
            </w:r>
            <w:r w:rsidR="0062760A">
              <w:rPr>
                <w:noProof/>
                <w:webHidden/>
              </w:rPr>
              <w:t>57</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30" w:history="1">
            <w:r w:rsidR="005B31C6" w:rsidRPr="00F93FB8">
              <w:rPr>
                <w:rStyle w:val="Hyperlink"/>
                <w:noProof/>
                <w:lang w:val="nl-BE"/>
              </w:rPr>
              <w:t>10.</w:t>
            </w:r>
            <w:r w:rsidR="005B31C6">
              <w:rPr>
                <w:rFonts w:asciiTheme="minorHAnsi" w:eastAsiaTheme="minorEastAsia" w:hAnsiTheme="minorHAnsi" w:cstheme="minorBidi"/>
                <w:noProof/>
                <w:lang w:val="nl-BE"/>
              </w:rPr>
              <w:tab/>
            </w:r>
            <w:r w:rsidR="005B31C6" w:rsidRPr="00F93FB8">
              <w:rPr>
                <w:rStyle w:val="Hyperlink"/>
                <w:noProof/>
                <w:lang w:val="nl-BE"/>
              </w:rPr>
              <w:t>Overzicht geïnvesteerde middelen</w:t>
            </w:r>
            <w:r w:rsidR="005B31C6">
              <w:rPr>
                <w:noProof/>
                <w:webHidden/>
              </w:rPr>
              <w:tab/>
            </w:r>
            <w:r w:rsidR="005B31C6">
              <w:rPr>
                <w:noProof/>
                <w:webHidden/>
              </w:rPr>
              <w:fldChar w:fldCharType="begin"/>
            </w:r>
            <w:r w:rsidR="005B31C6">
              <w:rPr>
                <w:noProof/>
                <w:webHidden/>
              </w:rPr>
              <w:instrText xml:space="preserve"> PAGEREF _Toc536797830 \h </w:instrText>
            </w:r>
            <w:r w:rsidR="005B31C6">
              <w:rPr>
                <w:noProof/>
                <w:webHidden/>
              </w:rPr>
            </w:r>
            <w:r w:rsidR="005B31C6">
              <w:rPr>
                <w:noProof/>
                <w:webHidden/>
              </w:rPr>
              <w:fldChar w:fldCharType="separate"/>
            </w:r>
            <w:r w:rsidR="0062760A">
              <w:rPr>
                <w:noProof/>
                <w:webHidden/>
              </w:rPr>
              <w:t>59</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1" w:history="1">
            <w:r w:rsidR="005B31C6" w:rsidRPr="00F93FB8">
              <w:rPr>
                <w:rStyle w:val="Hyperlink"/>
                <w:noProof/>
                <w:lang w:val="nl-BE"/>
              </w:rPr>
              <w:t>10.1.</w:t>
            </w:r>
            <w:r w:rsidR="005B31C6">
              <w:rPr>
                <w:rFonts w:asciiTheme="minorHAnsi" w:eastAsiaTheme="minorEastAsia" w:hAnsiTheme="minorHAnsi" w:cstheme="minorBidi"/>
                <w:noProof/>
                <w:lang w:val="nl-BE"/>
              </w:rPr>
              <w:tab/>
            </w:r>
            <w:r w:rsidR="005B31C6" w:rsidRPr="00F93FB8">
              <w:rPr>
                <w:rStyle w:val="Hyperlink"/>
                <w:noProof/>
                <w:lang w:val="nl-BE"/>
              </w:rPr>
              <w:t>Evolutie van de geïnvesteerde middelen voor personen met een handicap</w:t>
            </w:r>
            <w:r w:rsidR="005B31C6">
              <w:rPr>
                <w:noProof/>
                <w:webHidden/>
              </w:rPr>
              <w:tab/>
            </w:r>
            <w:r w:rsidR="005B31C6">
              <w:rPr>
                <w:noProof/>
                <w:webHidden/>
              </w:rPr>
              <w:fldChar w:fldCharType="begin"/>
            </w:r>
            <w:r w:rsidR="005B31C6">
              <w:rPr>
                <w:noProof/>
                <w:webHidden/>
              </w:rPr>
              <w:instrText xml:space="preserve"> PAGEREF _Toc536797831 \h </w:instrText>
            </w:r>
            <w:r w:rsidR="005B31C6">
              <w:rPr>
                <w:noProof/>
                <w:webHidden/>
              </w:rPr>
            </w:r>
            <w:r w:rsidR="005B31C6">
              <w:rPr>
                <w:noProof/>
                <w:webHidden/>
              </w:rPr>
              <w:fldChar w:fldCharType="separate"/>
            </w:r>
            <w:r w:rsidR="0062760A">
              <w:rPr>
                <w:noProof/>
                <w:webHidden/>
              </w:rPr>
              <w:t>59</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2" w:history="1">
            <w:r w:rsidR="005B31C6" w:rsidRPr="00F93FB8">
              <w:rPr>
                <w:rStyle w:val="Hyperlink"/>
                <w:noProof/>
                <w:lang w:val="nl-BE"/>
              </w:rPr>
              <w:t>10.2.</w:t>
            </w:r>
            <w:r w:rsidR="005B31C6">
              <w:rPr>
                <w:rFonts w:asciiTheme="minorHAnsi" w:eastAsiaTheme="minorEastAsia" w:hAnsiTheme="minorHAnsi" w:cstheme="minorBidi"/>
                <w:noProof/>
                <w:lang w:val="nl-BE"/>
              </w:rPr>
              <w:tab/>
            </w:r>
            <w:r w:rsidR="005B31C6" w:rsidRPr="00F93FB8">
              <w:rPr>
                <w:rStyle w:val="Hyperlink"/>
                <w:noProof/>
                <w:lang w:val="nl-BE"/>
              </w:rPr>
              <w:t>Overzicht uitbreidingsbeleid per jaar</w:t>
            </w:r>
            <w:r w:rsidR="005B31C6">
              <w:rPr>
                <w:noProof/>
                <w:webHidden/>
              </w:rPr>
              <w:tab/>
            </w:r>
            <w:r w:rsidR="005B31C6">
              <w:rPr>
                <w:noProof/>
                <w:webHidden/>
              </w:rPr>
              <w:fldChar w:fldCharType="begin"/>
            </w:r>
            <w:r w:rsidR="005B31C6">
              <w:rPr>
                <w:noProof/>
                <w:webHidden/>
              </w:rPr>
              <w:instrText xml:space="preserve"> PAGEREF _Toc536797832 \h </w:instrText>
            </w:r>
            <w:r w:rsidR="005B31C6">
              <w:rPr>
                <w:noProof/>
                <w:webHidden/>
              </w:rPr>
            </w:r>
            <w:r w:rsidR="005B31C6">
              <w:rPr>
                <w:noProof/>
                <w:webHidden/>
              </w:rPr>
              <w:fldChar w:fldCharType="separate"/>
            </w:r>
            <w:r w:rsidR="0062760A">
              <w:rPr>
                <w:noProof/>
                <w:webHidden/>
              </w:rPr>
              <w:t>62</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3" w:history="1">
            <w:r w:rsidR="005B31C6" w:rsidRPr="00F93FB8">
              <w:rPr>
                <w:rStyle w:val="Hyperlink"/>
                <w:noProof/>
                <w:lang w:val="nl-BE"/>
              </w:rPr>
              <w:t>10.2.1.</w:t>
            </w:r>
            <w:r w:rsidR="005B31C6">
              <w:rPr>
                <w:rFonts w:asciiTheme="minorHAnsi" w:eastAsiaTheme="minorEastAsia" w:hAnsiTheme="minorHAnsi" w:cstheme="minorBidi"/>
                <w:noProof/>
                <w:lang w:val="nl-BE"/>
              </w:rPr>
              <w:tab/>
            </w:r>
            <w:r w:rsidR="005B31C6" w:rsidRPr="00F93FB8">
              <w:rPr>
                <w:rStyle w:val="Hyperlink"/>
                <w:noProof/>
                <w:lang w:val="nl-BE"/>
              </w:rPr>
              <w:t>Uitbreidingsbeleid 2018</w:t>
            </w:r>
            <w:r w:rsidR="005B31C6">
              <w:rPr>
                <w:noProof/>
                <w:webHidden/>
              </w:rPr>
              <w:tab/>
            </w:r>
            <w:r w:rsidR="005B31C6">
              <w:rPr>
                <w:noProof/>
                <w:webHidden/>
              </w:rPr>
              <w:fldChar w:fldCharType="begin"/>
            </w:r>
            <w:r w:rsidR="005B31C6">
              <w:rPr>
                <w:noProof/>
                <w:webHidden/>
              </w:rPr>
              <w:instrText xml:space="preserve"> PAGEREF _Toc536797833 \h </w:instrText>
            </w:r>
            <w:r w:rsidR="005B31C6">
              <w:rPr>
                <w:noProof/>
                <w:webHidden/>
              </w:rPr>
            </w:r>
            <w:r w:rsidR="005B31C6">
              <w:rPr>
                <w:noProof/>
                <w:webHidden/>
              </w:rPr>
              <w:fldChar w:fldCharType="separate"/>
            </w:r>
            <w:r w:rsidR="0062760A">
              <w:rPr>
                <w:noProof/>
                <w:webHidden/>
              </w:rPr>
              <w:t>63</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4" w:history="1">
            <w:r w:rsidR="005B31C6" w:rsidRPr="00F93FB8">
              <w:rPr>
                <w:rStyle w:val="Hyperlink"/>
                <w:noProof/>
                <w:lang w:val="nl-BE"/>
              </w:rPr>
              <w:t>10.2.2.</w:t>
            </w:r>
            <w:r w:rsidR="005B31C6">
              <w:rPr>
                <w:rFonts w:asciiTheme="minorHAnsi" w:eastAsiaTheme="minorEastAsia" w:hAnsiTheme="minorHAnsi" w:cstheme="minorBidi"/>
                <w:noProof/>
                <w:lang w:val="nl-BE"/>
              </w:rPr>
              <w:tab/>
            </w:r>
            <w:r w:rsidR="005B31C6" w:rsidRPr="00F93FB8">
              <w:rPr>
                <w:rStyle w:val="Hyperlink"/>
                <w:noProof/>
                <w:lang w:val="nl-BE"/>
              </w:rPr>
              <w:t>Uitbreidingsbeleid 2019</w:t>
            </w:r>
            <w:r w:rsidR="005B31C6">
              <w:rPr>
                <w:noProof/>
                <w:webHidden/>
              </w:rPr>
              <w:tab/>
            </w:r>
            <w:r w:rsidR="005B31C6">
              <w:rPr>
                <w:noProof/>
                <w:webHidden/>
              </w:rPr>
              <w:fldChar w:fldCharType="begin"/>
            </w:r>
            <w:r w:rsidR="005B31C6">
              <w:rPr>
                <w:noProof/>
                <w:webHidden/>
              </w:rPr>
              <w:instrText xml:space="preserve"> PAGEREF _Toc536797834 \h </w:instrText>
            </w:r>
            <w:r w:rsidR="005B31C6">
              <w:rPr>
                <w:noProof/>
                <w:webHidden/>
              </w:rPr>
            </w:r>
            <w:r w:rsidR="005B31C6">
              <w:rPr>
                <w:noProof/>
                <w:webHidden/>
              </w:rPr>
              <w:fldChar w:fldCharType="separate"/>
            </w:r>
            <w:r w:rsidR="0062760A">
              <w:rPr>
                <w:noProof/>
                <w:webHidden/>
              </w:rPr>
              <w:t>64</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35" w:history="1">
            <w:r w:rsidR="005B31C6" w:rsidRPr="00F93FB8">
              <w:rPr>
                <w:rStyle w:val="Hyperlink"/>
                <w:noProof/>
                <w:lang w:val="nl-BE"/>
              </w:rPr>
              <w:t>11.</w:t>
            </w:r>
            <w:r w:rsidR="005B31C6">
              <w:rPr>
                <w:rFonts w:asciiTheme="minorHAnsi" w:eastAsiaTheme="minorEastAsia" w:hAnsiTheme="minorHAnsi" w:cstheme="minorBidi"/>
                <w:noProof/>
                <w:lang w:val="nl-BE"/>
              </w:rPr>
              <w:tab/>
            </w:r>
            <w:r w:rsidR="005B31C6" w:rsidRPr="00F93FB8">
              <w:rPr>
                <w:rStyle w:val="Hyperlink"/>
                <w:noProof/>
                <w:lang w:val="nl-BE"/>
              </w:rPr>
              <w:t>Monitoring van het budget</w:t>
            </w:r>
            <w:r w:rsidR="005B31C6">
              <w:rPr>
                <w:noProof/>
                <w:webHidden/>
              </w:rPr>
              <w:tab/>
            </w:r>
            <w:r w:rsidR="005B31C6">
              <w:rPr>
                <w:noProof/>
                <w:webHidden/>
              </w:rPr>
              <w:fldChar w:fldCharType="begin"/>
            </w:r>
            <w:r w:rsidR="005B31C6">
              <w:rPr>
                <w:noProof/>
                <w:webHidden/>
              </w:rPr>
              <w:instrText xml:space="preserve"> PAGEREF _Toc536797835 \h </w:instrText>
            </w:r>
            <w:r w:rsidR="005B31C6">
              <w:rPr>
                <w:noProof/>
                <w:webHidden/>
              </w:rPr>
            </w:r>
            <w:r w:rsidR="005B31C6">
              <w:rPr>
                <w:noProof/>
                <w:webHidden/>
              </w:rPr>
              <w:fldChar w:fldCharType="separate"/>
            </w:r>
            <w:r w:rsidR="0062760A">
              <w:rPr>
                <w:noProof/>
                <w:webHidden/>
              </w:rPr>
              <w:t>65</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36" w:history="1">
            <w:r w:rsidR="005B31C6" w:rsidRPr="00F93FB8">
              <w:rPr>
                <w:rStyle w:val="Hyperlink"/>
                <w:noProof/>
                <w:lang w:val="nl-BE"/>
              </w:rPr>
              <w:t>12.</w:t>
            </w:r>
            <w:r w:rsidR="005B31C6">
              <w:rPr>
                <w:rFonts w:asciiTheme="minorHAnsi" w:eastAsiaTheme="minorEastAsia" w:hAnsiTheme="minorHAnsi" w:cstheme="minorBidi"/>
                <w:noProof/>
                <w:lang w:val="nl-BE"/>
              </w:rPr>
              <w:tab/>
            </w:r>
            <w:r w:rsidR="005B31C6" w:rsidRPr="00F93FB8">
              <w:rPr>
                <w:rStyle w:val="Hyperlink"/>
                <w:noProof/>
                <w:lang w:val="nl-BE"/>
              </w:rPr>
              <w:t>Bijlage 1: regelgeving in de voorbije legislatuur</w:t>
            </w:r>
            <w:r w:rsidR="005B31C6">
              <w:rPr>
                <w:noProof/>
                <w:webHidden/>
              </w:rPr>
              <w:tab/>
            </w:r>
            <w:r w:rsidR="005B31C6">
              <w:rPr>
                <w:noProof/>
                <w:webHidden/>
              </w:rPr>
              <w:fldChar w:fldCharType="begin"/>
            </w:r>
            <w:r w:rsidR="005B31C6">
              <w:rPr>
                <w:noProof/>
                <w:webHidden/>
              </w:rPr>
              <w:instrText xml:space="preserve"> PAGEREF _Toc536797836 \h </w:instrText>
            </w:r>
            <w:r w:rsidR="005B31C6">
              <w:rPr>
                <w:noProof/>
                <w:webHidden/>
              </w:rPr>
            </w:r>
            <w:r w:rsidR="005B31C6">
              <w:rPr>
                <w:noProof/>
                <w:webHidden/>
              </w:rPr>
              <w:fldChar w:fldCharType="separate"/>
            </w:r>
            <w:r w:rsidR="0062760A">
              <w:rPr>
                <w:noProof/>
                <w:webHidden/>
              </w:rPr>
              <w:t>66</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7" w:history="1">
            <w:r w:rsidR="005B31C6" w:rsidRPr="00F93FB8">
              <w:rPr>
                <w:rStyle w:val="Hyperlink"/>
                <w:noProof/>
                <w:lang w:val="nl-BE"/>
              </w:rPr>
              <w:t>12.1.</w:t>
            </w:r>
            <w:r w:rsidR="005B31C6">
              <w:rPr>
                <w:rFonts w:asciiTheme="minorHAnsi" w:eastAsiaTheme="minorEastAsia" w:hAnsiTheme="minorHAnsi" w:cstheme="minorBidi"/>
                <w:noProof/>
                <w:lang w:val="nl-BE"/>
              </w:rPr>
              <w:tab/>
            </w:r>
            <w:r w:rsidR="005B31C6" w:rsidRPr="00F93FB8">
              <w:rPr>
                <w:rStyle w:val="Hyperlink"/>
                <w:noProof/>
                <w:lang w:val="nl-BE"/>
              </w:rPr>
              <w:t>Besluiten van de Vlaamse Regering en ministeriële besluiten</w:t>
            </w:r>
            <w:r w:rsidR="005B31C6">
              <w:rPr>
                <w:noProof/>
                <w:webHidden/>
              </w:rPr>
              <w:tab/>
            </w:r>
            <w:r w:rsidR="005B31C6">
              <w:rPr>
                <w:noProof/>
                <w:webHidden/>
              </w:rPr>
              <w:fldChar w:fldCharType="begin"/>
            </w:r>
            <w:r w:rsidR="005B31C6">
              <w:rPr>
                <w:noProof/>
                <w:webHidden/>
              </w:rPr>
              <w:instrText xml:space="preserve"> PAGEREF _Toc536797837 \h </w:instrText>
            </w:r>
            <w:r w:rsidR="005B31C6">
              <w:rPr>
                <w:noProof/>
                <w:webHidden/>
              </w:rPr>
            </w:r>
            <w:r w:rsidR="005B31C6">
              <w:rPr>
                <w:noProof/>
                <w:webHidden/>
              </w:rPr>
              <w:fldChar w:fldCharType="separate"/>
            </w:r>
            <w:r w:rsidR="0062760A">
              <w:rPr>
                <w:noProof/>
                <w:webHidden/>
              </w:rPr>
              <w:t>66</w:t>
            </w:r>
            <w:r w:rsidR="005B31C6">
              <w:rPr>
                <w:noProof/>
                <w:webHidden/>
              </w:rPr>
              <w:fldChar w:fldCharType="end"/>
            </w:r>
          </w:hyperlink>
        </w:p>
        <w:p w:rsidR="005B31C6" w:rsidRDefault="00943B0C">
          <w:pPr>
            <w:pStyle w:val="Inhopg1"/>
            <w:tabs>
              <w:tab w:val="left" w:pos="880"/>
              <w:tab w:val="right" w:leader="dot" w:pos="8893"/>
            </w:tabs>
            <w:rPr>
              <w:rFonts w:asciiTheme="minorHAnsi" w:eastAsiaTheme="minorEastAsia" w:hAnsiTheme="minorHAnsi" w:cstheme="minorBidi"/>
              <w:noProof/>
              <w:lang w:val="nl-BE"/>
            </w:rPr>
          </w:pPr>
          <w:hyperlink w:anchor="_Toc536797838" w:history="1">
            <w:r w:rsidR="005B31C6" w:rsidRPr="00F93FB8">
              <w:rPr>
                <w:rStyle w:val="Hyperlink"/>
                <w:noProof/>
                <w:lang w:val="nl-BE"/>
              </w:rPr>
              <w:t>12.2.</w:t>
            </w:r>
            <w:r w:rsidR="005B31C6">
              <w:rPr>
                <w:rFonts w:asciiTheme="minorHAnsi" w:eastAsiaTheme="minorEastAsia" w:hAnsiTheme="minorHAnsi" w:cstheme="minorBidi"/>
                <w:noProof/>
                <w:lang w:val="nl-BE"/>
              </w:rPr>
              <w:tab/>
            </w:r>
            <w:r w:rsidR="005B31C6" w:rsidRPr="00F93FB8">
              <w:rPr>
                <w:rStyle w:val="Hyperlink"/>
                <w:noProof/>
                <w:lang w:val="nl-BE"/>
              </w:rPr>
              <w:t>Decreten</w:t>
            </w:r>
            <w:r w:rsidR="005B31C6">
              <w:rPr>
                <w:noProof/>
                <w:webHidden/>
              </w:rPr>
              <w:tab/>
            </w:r>
            <w:r w:rsidR="005B31C6">
              <w:rPr>
                <w:noProof/>
                <w:webHidden/>
              </w:rPr>
              <w:fldChar w:fldCharType="begin"/>
            </w:r>
            <w:r w:rsidR="005B31C6">
              <w:rPr>
                <w:noProof/>
                <w:webHidden/>
              </w:rPr>
              <w:instrText xml:space="preserve"> PAGEREF _Toc536797838 \h </w:instrText>
            </w:r>
            <w:r w:rsidR="005B31C6">
              <w:rPr>
                <w:noProof/>
                <w:webHidden/>
              </w:rPr>
            </w:r>
            <w:r w:rsidR="005B31C6">
              <w:rPr>
                <w:noProof/>
                <w:webHidden/>
              </w:rPr>
              <w:fldChar w:fldCharType="separate"/>
            </w:r>
            <w:r w:rsidR="0062760A">
              <w:rPr>
                <w:noProof/>
                <w:webHidden/>
              </w:rPr>
              <w:t>76</w:t>
            </w:r>
            <w:r w:rsidR="005B31C6">
              <w:rPr>
                <w:noProof/>
                <w:webHidden/>
              </w:rPr>
              <w:fldChar w:fldCharType="end"/>
            </w:r>
          </w:hyperlink>
        </w:p>
        <w:p w:rsidR="005B31C6" w:rsidRDefault="00943B0C">
          <w:pPr>
            <w:pStyle w:val="Inhopg1"/>
            <w:tabs>
              <w:tab w:val="left" w:pos="660"/>
              <w:tab w:val="right" w:leader="dot" w:pos="8893"/>
            </w:tabs>
            <w:rPr>
              <w:rFonts w:asciiTheme="minorHAnsi" w:eastAsiaTheme="minorEastAsia" w:hAnsiTheme="minorHAnsi" w:cstheme="minorBidi"/>
              <w:noProof/>
              <w:lang w:val="nl-BE"/>
            </w:rPr>
          </w:pPr>
          <w:hyperlink w:anchor="_Toc536797839" w:history="1">
            <w:r w:rsidR="005B31C6" w:rsidRPr="00F93FB8">
              <w:rPr>
                <w:rStyle w:val="Hyperlink"/>
                <w:noProof/>
                <w:lang w:val="nl-BE"/>
              </w:rPr>
              <w:t>13.</w:t>
            </w:r>
            <w:r w:rsidR="005B31C6">
              <w:rPr>
                <w:rFonts w:asciiTheme="minorHAnsi" w:eastAsiaTheme="minorEastAsia" w:hAnsiTheme="minorHAnsi" w:cstheme="minorBidi"/>
                <w:noProof/>
                <w:lang w:val="nl-BE"/>
              </w:rPr>
              <w:tab/>
            </w:r>
            <w:r w:rsidR="005B31C6" w:rsidRPr="00F93FB8">
              <w:rPr>
                <w:rStyle w:val="Hyperlink"/>
                <w:noProof/>
                <w:lang w:val="nl-BE"/>
              </w:rPr>
              <w:t>Bijlage 2: lijst met afkortingen</w:t>
            </w:r>
            <w:r w:rsidR="005B31C6">
              <w:rPr>
                <w:noProof/>
                <w:webHidden/>
              </w:rPr>
              <w:tab/>
            </w:r>
            <w:r w:rsidR="005B31C6">
              <w:rPr>
                <w:noProof/>
                <w:webHidden/>
              </w:rPr>
              <w:fldChar w:fldCharType="begin"/>
            </w:r>
            <w:r w:rsidR="005B31C6">
              <w:rPr>
                <w:noProof/>
                <w:webHidden/>
              </w:rPr>
              <w:instrText xml:space="preserve"> PAGEREF _Toc536797839 \h </w:instrText>
            </w:r>
            <w:r w:rsidR="005B31C6">
              <w:rPr>
                <w:noProof/>
                <w:webHidden/>
              </w:rPr>
            </w:r>
            <w:r w:rsidR="005B31C6">
              <w:rPr>
                <w:noProof/>
                <w:webHidden/>
              </w:rPr>
              <w:fldChar w:fldCharType="separate"/>
            </w:r>
            <w:r w:rsidR="0062760A">
              <w:rPr>
                <w:noProof/>
                <w:webHidden/>
              </w:rPr>
              <w:t>78</w:t>
            </w:r>
            <w:r w:rsidR="005B31C6">
              <w:rPr>
                <w:noProof/>
                <w:webHidden/>
              </w:rPr>
              <w:fldChar w:fldCharType="end"/>
            </w:r>
          </w:hyperlink>
        </w:p>
        <w:p w:rsidR="007700F7" w:rsidRPr="00E6515F" w:rsidRDefault="00BB57EF" w:rsidP="007700F7">
          <w:pPr>
            <w:rPr>
              <w:lang w:val="nl-BE"/>
            </w:rPr>
          </w:pPr>
          <w:r w:rsidRPr="00E6515F">
            <w:rPr>
              <w:b/>
              <w:bCs/>
              <w:lang w:val="nl-BE"/>
            </w:rPr>
            <w:fldChar w:fldCharType="end"/>
          </w:r>
        </w:p>
        <w:p w:rsidR="00BB57EF" w:rsidRPr="00E6515F" w:rsidRDefault="007700F7" w:rsidP="007700F7">
          <w:pPr>
            <w:rPr>
              <w:lang w:val="nl-BE"/>
            </w:rPr>
          </w:pPr>
          <w:r w:rsidRPr="00E6515F">
            <w:rPr>
              <w:lang w:val="nl-BE"/>
            </w:rPr>
            <w:br w:type="page"/>
          </w:r>
        </w:p>
      </w:sdtContent>
    </w:sdt>
    <w:p w:rsidR="00604C8C" w:rsidRPr="00E6515F" w:rsidRDefault="00604C8C" w:rsidP="00B65CB7">
      <w:pPr>
        <w:pStyle w:val="Kop1"/>
        <w:widowControl w:val="0"/>
        <w:numPr>
          <w:ilvl w:val="0"/>
          <w:numId w:val="1"/>
        </w:numPr>
        <w:pBdr>
          <w:top w:val="nil"/>
          <w:left w:val="nil"/>
          <w:bottom w:val="nil"/>
          <w:right w:val="nil"/>
          <w:between w:val="nil"/>
        </w:pBdr>
        <w:ind w:left="544" w:hanging="570"/>
        <w:rPr>
          <w:lang w:val="nl-BE"/>
        </w:rPr>
      </w:pPr>
      <w:bookmarkStart w:id="5" w:name="_gbm4y19eyaw4" w:colFirst="0" w:colLast="0"/>
      <w:bookmarkStart w:id="6" w:name="_k571wfrvju6t" w:colFirst="0" w:colLast="0"/>
      <w:bookmarkStart w:id="7" w:name="_amg5pzg9sfiy" w:colFirst="0" w:colLast="0"/>
      <w:bookmarkStart w:id="8" w:name="_x8sldbfq9j65" w:colFirst="0" w:colLast="0"/>
      <w:bookmarkStart w:id="9" w:name="_Toc536797793"/>
      <w:bookmarkStart w:id="10" w:name="_Toc528227880"/>
      <w:bookmarkEnd w:id="5"/>
      <w:bookmarkEnd w:id="6"/>
      <w:bookmarkEnd w:id="7"/>
      <w:bookmarkEnd w:id="8"/>
      <w:r w:rsidRPr="00E6515F">
        <w:rPr>
          <w:lang w:val="nl-BE"/>
        </w:rPr>
        <w:lastRenderedPageBreak/>
        <w:t>Historisch overzicht</w:t>
      </w:r>
      <w:bookmarkEnd w:id="9"/>
      <w:r w:rsidRPr="00E6515F">
        <w:rPr>
          <w:lang w:val="nl-BE"/>
        </w:rPr>
        <w:t xml:space="preserve"> </w:t>
      </w:r>
    </w:p>
    <w:p w:rsidR="007B3CA4" w:rsidRPr="00E6515F" w:rsidRDefault="00B717DF" w:rsidP="007B3CA4">
      <w:pPr>
        <w:ind w:left="360"/>
        <w:jc w:val="both"/>
        <w:rPr>
          <w:lang w:val="nl-BE"/>
        </w:rPr>
      </w:pPr>
      <w:r>
        <w:rPr>
          <w:lang w:val="nl-BE"/>
        </w:rPr>
        <w:t>De erkenning en subsidiëring van zorg en ondersteuning en de registratie van zorgvragen zijn de voorbije twee legislaturen grondig gewijzigd.</w:t>
      </w:r>
      <w:r w:rsidR="007B3CA4" w:rsidRPr="00E6515F">
        <w:rPr>
          <w:lang w:val="nl-BE"/>
        </w:rPr>
        <w:t xml:space="preserve"> In dit hoofdstuk geven we een overzicht van de belangrijkste wijzigingen. </w:t>
      </w:r>
    </w:p>
    <w:p w:rsidR="007B3CA4" w:rsidRPr="00E6515F" w:rsidRDefault="007B3CA4" w:rsidP="00CB4393">
      <w:pPr>
        <w:ind w:left="360"/>
        <w:jc w:val="both"/>
        <w:rPr>
          <w:lang w:val="nl-BE"/>
        </w:rPr>
      </w:pPr>
    </w:p>
    <w:p w:rsidR="007B3CA4" w:rsidRPr="00E6515F" w:rsidRDefault="00B717DF" w:rsidP="0079403F">
      <w:pPr>
        <w:ind w:left="360"/>
        <w:jc w:val="both"/>
        <w:rPr>
          <w:lang w:val="nl-BE"/>
        </w:rPr>
      </w:pPr>
      <w:r>
        <w:rPr>
          <w:lang w:val="nl-BE"/>
        </w:rPr>
        <w:t>In</w:t>
      </w:r>
      <w:r w:rsidRPr="00E6515F">
        <w:rPr>
          <w:lang w:val="nl-BE"/>
        </w:rPr>
        <w:t xml:space="preserve"> </w:t>
      </w:r>
      <w:r w:rsidR="007B3CA4" w:rsidRPr="00E6515F">
        <w:rPr>
          <w:lang w:val="nl-BE"/>
        </w:rPr>
        <w:t xml:space="preserve">2014 werd de intersectorale toegangspoort </w:t>
      </w:r>
      <w:r>
        <w:rPr>
          <w:lang w:val="nl-BE"/>
        </w:rPr>
        <w:t xml:space="preserve">(ITP) </w:t>
      </w:r>
      <w:r w:rsidR="007B3CA4" w:rsidRPr="00E6515F">
        <w:rPr>
          <w:lang w:val="nl-BE"/>
        </w:rPr>
        <w:t xml:space="preserve">opgestart. </w:t>
      </w:r>
      <w:r>
        <w:rPr>
          <w:lang w:val="nl-BE"/>
        </w:rPr>
        <w:t>Sindsdien krijgen</w:t>
      </w:r>
      <w:r w:rsidR="007B3CA4" w:rsidRPr="00E6515F">
        <w:rPr>
          <w:lang w:val="nl-BE"/>
        </w:rPr>
        <w:t xml:space="preserve"> minderjarigen geen beslissing </w:t>
      </w:r>
      <w:r>
        <w:rPr>
          <w:lang w:val="nl-BE"/>
        </w:rPr>
        <w:t xml:space="preserve">van de provinciale evaluatiecommissie (PEC) </w:t>
      </w:r>
      <w:r w:rsidR="007B3CA4" w:rsidRPr="00E6515F">
        <w:rPr>
          <w:lang w:val="nl-BE"/>
        </w:rPr>
        <w:t>meer van het VAPH</w:t>
      </w:r>
      <w:r>
        <w:rPr>
          <w:lang w:val="nl-BE"/>
        </w:rPr>
        <w:t>,</w:t>
      </w:r>
      <w:r w:rsidR="007B3CA4" w:rsidRPr="00E6515F">
        <w:rPr>
          <w:lang w:val="nl-BE"/>
        </w:rPr>
        <w:t xml:space="preserve"> maar een indicatiestelling via de toegangspoort. Daarnaast kunnen ze geen zorgvraag meer stellen, maar moeten ze de jeugdhulpregie doorlopen en een toewijzing krijgen van een bepaalde typemodule met een bepaalde handicapcode in een organisatie die </w:t>
      </w:r>
      <w:r>
        <w:rPr>
          <w:lang w:val="nl-BE"/>
        </w:rPr>
        <w:t xml:space="preserve">daar </w:t>
      </w:r>
      <w:r w:rsidR="007B3CA4" w:rsidRPr="00E6515F">
        <w:rPr>
          <w:lang w:val="nl-BE"/>
        </w:rPr>
        <w:t xml:space="preserve">volgens de moduledatabank ruimte </w:t>
      </w:r>
      <w:r>
        <w:rPr>
          <w:lang w:val="nl-BE"/>
        </w:rPr>
        <w:t xml:space="preserve">voor </w:t>
      </w:r>
      <w:r w:rsidR="007B3CA4" w:rsidRPr="00E6515F">
        <w:rPr>
          <w:lang w:val="nl-BE"/>
        </w:rPr>
        <w:t xml:space="preserve">heeft. De koppeling tussen cliëntregistratie (CR) en de centrale registratie van zorgvragen (CRZ) </w:t>
      </w:r>
      <w:r w:rsidR="00FA3429">
        <w:rPr>
          <w:lang w:val="nl-BE"/>
        </w:rPr>
        <w:t>werd</w:t>
      </w:r>
      <w:r w:rsidR="00FA3429" w:rsidRPr="00E6515F">
        <w:rPr>
          <w:lang w:val="nl-BE"/>
        </w:rPr>
        <w:t xml:space="preserve"> </w:t>
      </w:r>
      <w:r w:rsidR="007B3CA4" w:rsidRPr="00E6515F">
        <w:rPr>
          <w:lang w:val="nl-BE"/>
        </w:rPr>
        <w:t>losgelaten: begeleidingsovereenkomsten kunnen rechtstreeks geregistreerd worden in de databank</w:t>
      </w:r>
      <w:r>
        <w:rPr>
          <w:lang w:val="nl-BE"/>
        </w:rPr>
        <w:t>,</w:t>
      </w:r>
      <w:r w:rsidR="007B3CA4" w:rsidRPr="00E6515F">
        <w:rPr>
          <w:lang w:val="nl-BE"/>
        </w:rPr>
        <w:t xml:space="preserve"> maar worden nog uitgedrukt in werkvormtypes en afdelingen, niet in typemodules. </w:t>
      </w:r>
    </w:p>
    <w:p w:rsidR="007B3CA4" w:rsidRPr="00E6515F" w:rsidRDefault="007B3CA4" w:rsidP="005E5E26">
      <w:pPr>
        <w:ind w:left="360"/>
        <w:jc w:val="both"/>
        <w:rPr>
          <w:lang w:val="nl-BE"/>
        </w:rPr>
      </w:pPr>
    </w:p>
    <w:p w:rsidR="007B3CA4" w:rsidRPr="00E6515F" w:rsidRDefault="007B3CA4" w:rsidP="00FA0664">
      <w:pPr>
        <w:ind w:left="360"/>
        <w:jc w:val="both"/>
        <w:rPr>
          <w:lang w:val="nl-BE"/>
        </w:rPr>
      </w:pPr>
      <w:r w:rsidRPr="00E6515F">
        <w:rPr>
          <w:lang w:val="nl-BE"/>
        </w:rPr>
        <w:t xml:space="preserve">In 2012 </w:t>
      </w:r>
      <w:r w:rsidR="00B717DF">
        <w:rPr>
          <w:lang w:val="nl-BE"/>
        </w:rPr>
        <w:t>werden</w:t>
      </w:r>
      <w:r w:rsidR="00B717DF" w:rsidRPr="00E6515F">
        <w:rPr>
          <w:lang w:val="nl-BE"/>
        </w:rPr>
        <w:t xml:space="preserve"> </w:t>
      </w:r>
      <w:r w:rsidRPr="00E6515F">
        <w:rPr>
          <w:lang w:val="nl-BE"/>
        </w:rPr>
        <w:t xml:space="preserve">via een pilootproject 10 organisaties omgevormd tot </w:t>
      </w:r>
      <w:r w:rsidR="00C01F1C" w:rsidRPr="00E6515F">
        <w:rPr>
          <w:lang w:val="nl-BE"/>
        </w:rPr>
        <w:t>multif</w:t>
      </w:r>
      <w:r w:rsidR="0080224D" w:rsidRPr="00E6515F">
        <w:rPr>
          <w:lang w:val="nl-BE"/>
        </w:rPr>
        <w:t>unctionele centra (</w:t>
      </w:r>
      <w:proofErr w:type="spellStart"/>
      <w:r w:rsidRPr="00E6515F">
        <w:rPr>
          <w:lang w:val="nl-BE"/>
        </w:rPr>
        <w:t>MFC’s</w:t>
      </w:r>
      <w:proofErr w:type="spellEnd"/>
      <w:r w:rsidR="0080224D" w:rsidRPr="00E6515F">
        <w:rPr>
          <w:lang w:val="nl-BE"/>
        </w:rPr>
        <w:t>)</w:t>
      </w:r>
      <w:r w:rsidRPr="00E6515F">
        <w:rPr>
          <w:lang w:val="nl-BE"/>
        </w:rPr>
        <w:t>. Vanaf 2015 zijn alle voorzieningen</w:t>
      </w:r>
      <w:r w:rsidR="00FA3429">
        <w:rPr>
          <w:lang w:val="nl-BE"/>
        </w:rPr>
        <w:t xml:space="preserve"> voor minderjarigen</w:t>
      </w:r>
      <w:r w:rsidRPr="00E6515F">
        <w:rPr>
          <w:lang w:val="nl-BE"/>
        </w:rPr>
        <w:t xml:space="preserve"> omgevormd tot </w:t>
      </w:r>
      <w:proofErr w:type="spellStart"/>
      <w:r w:rsidRPr="00E6515F">
        <w:rPr>
          <w:lang w:val="nl-BE"/>
        </w:rPr>
        <w:t>MFC’s</w:t>
      </w:r>
      <w:proofErr w:type="spellEnd"/>
      <w:r w:rsidRPr="00E6515F">
        <w:rPr>
          <w:lang w:val="nl-BE"/>
        </w:rPr>
        <w:t xml:space="preserve">. Ze </w:t>
      </w:r>
      <w:r w:rsidR="00B717DF">
        <w:rPr>
          <w:lang w:val="nl-BE"/>
        </w:rPr>
        <w:t>gingen</w:t>
      </w:r>
      <w:r w:rsidR="00B717DF" w:rsidRPr="00E6515F">
        <w:rPr>
          <w:lang w:val="nl-BE"/>
        </w:rPr>
        <w:t xml:space="preserve"> </w:t>
      </w:r>
      <w:r w:rsidRPr="00E6515F">
        <w:rPr>
          <w:lang w:val="nl-BE"/>
        </w:rPr>
        <w:t xml:space="preserve">over van een erkenning in plaatsen per afdeling naar een erkenning in personeelspunten. </w:t>
      </w:r>
    </w:p>
    <w:p w:rsidR="007B3CA4" w:rsidRPr="00E6515F" w:rsidRDefault="007B3CA4" w:rsidP="0013775C">
      <w:pPr>
        <w:ind w:left="360"/>
        <w:jc w:val="both"/>
        <w:rPr>
          <w:lang w:val="nl-BE"/>
        </w:rPr>
      </w:pPr>
    </w:p>
    <w:p w:rsidR="007B3CA4" w:rsidRPr="00E6515F" w:rsidRDefault="007B3CA4" w:rsidP="004A35A5">
      <w:pPr>
        <w:ind w:left="360"/>
        <w:jc w:val="both"/>
        <w:rPr>
          <w:lang w:val="nl-BE"/>
        </w:rPr>
      </w:pPr>
      <w:r w:rsidRPr="00E6515F">
        <w:rPr>
          <w:lang w:val="nl-BE"/>
        </w:rPr>
        <w:t xml:space="preserve">Ook in </w:t>
      </w:r>
      <w:r w:rsidR="00FA3429">
        <w:rPr>
          <w:lang w:val="nl-BE"/>
        </w:rPr>
        <w:t xml:space="preserve">de </w:t>
      </w:r>
      <w:r w:rsidRPr="00E6515F">
        <w:rPr>
          <w:lang w:val="nl-BE"/>
        </w:rPr>
        <w:t xml:space="preserve">voorzieningen </w:t>
      </w:r>
      <w:r w:rsidR="002F0516">
        <w:rPr>
          <w:lang w:val="nl-BE"/>
        </w:rPr>
        <w:t>voor meerderjari</w:t>
      </w:r>
      <w:r w:rsidR="00B717DF">
        <w:rPr>
          <w:lang w:val="nl-BE"/>
        </w:rPr>
        <w:t xml:space="preserve">gen werden </w:t>
      </w:r>
      <w:r w:rsidR="00B717DF" w:rsidRPr="00E6515F">
        <w:rPr>
          <w:lang w:val="nl-BE"/>
        </w:rPr>
        <w:t xml:space="preserve">vanaf 2012 </w:t>
      </w:r>
      <w:r w:rsidRPr="00E6515F">
        <w:rPr>
          <w:lang w:val="nl-BE"/>
        </w:rPr>
        <w:t xml:space="preserve">alle afdelingen </w:t>
      </w:r>
      <w:r w:rsidR="00063317" w:rsidRPr="00E6515F">
        <w:rPr>
          <w:lang w:val="nl-BE"/>
        </w:rPr>
        <w:t xml:space="preserve">stapsgewijs </w:t>
      </w:r>
      <w:r w:rsidRPr="00E6515F">
        <w:rPr>
          <w:lang w:val="nl-BE"/>
        </w:rPr>
        <w:t>samengevoegd tot een flexibel aanbod meerderjarigen</w:t>
      </w:r>
      <w:r w:rsidR="0080224D" w:rsidRPr="00E6515F">
        <w:rPr>
          <w:lang w:val="nl-BE"/>
        </w:rPr>
        <w:t xml:space="preserve"> (FAM</w:t>
      </w:r>
      <w:r w:rsidRPr="00E6515F">
        <w:rPr>
          <w:lang w:val="nl-BE"/>
        </w:rPr>
        <w:t xml:space="preserve">). In 2015 </w:t>
      </w:r>
      <w:r w:rsidR="00B717DF">
        <w:rPr>
          <w:lang w:val="nl-BE"/>
        </w:rPr>
        <w:t>waren</w:t>
      </w:r>
      <w:r w:rsidR="00B717DF" w:rsidRPr="00E6515F">
        <w:rPr>
          <w:lang w:val="nl-BE"/>
        </w:rPr>
        <w:t xml:space="preserve"> </w:t>
      </w:r>
      <w:r w:rsidRPr="00E6515F">
        <w:rPr>
          <w:lang w:val="nl-BE"/>
        </w:rPr>
        <w:t xml:space="preserve">alle voorzieningen omgezet naar FAM. Vanaf dan worden </w:t>
      </w:r>
      <w:r w:rsidR="00B717DF">
        <w:rPr>
          <w:lang w:val="nl-BE"/>
        </w:rPr>
        <w:t xml:space="preserve">er </w:t>
      </w:r>
      <w:r w:rsidRPr="00E6515F">
        <w:rPr>
          <w:lang w:val="nl-BE"/>
        </w:rPr>
        <w:t>geen afdelingen meer gesubsidieerd</w:t>
      </w:r>
      <w:r w:rsidR="00B717DF">
        <w:rPr>
          <w:lang w:val="nl-BE"/>
        </w:rPr>
        <w:t>,</w:t>
      </w:r>
      <w:r w:rsidRPr="00E6515F">
        <w:rPr>
          <w:lang w:val="nl-BE"/>
        </w:rPr>
        <w:t xml:space="preserve"> maar subsidie-eenheden (</w:t>
      </w:r>
      <w:proofErr w:type="spellStart"/>
      <w:r w:rsidRPr="00E6515F">
        <w:rPr>
          <w:lang w:val="nl-BE"/>
        </w:rPr>
        <w:t>SE</w:t>
      </w:r>
      <w:r w:rsidR="00B717DF">
        <w:rPr>
          <w:lang w:val="nl-BE"/>
        </w:rPr>
        <w:t>’s</w:t>
      </w:r>
      <w:proofErr w:type="spellEnd"/>
      <w:r w:rsidRPr="00E6515F">
        <w:rPr>
          <w:lang w:val="nl-BE"/>
        </w:rPr>
        <w:t xml:space="preserve">). Een </w:t>
      </w:r>
      <w:r w:rsidR="00B717DF">
        <w:rPr>
          <w:lang w:val="nl-BE"/>
        </w:rPr>
        <w:t>subsidie-eenheid</w:t>
      </w:r>
      <w:r w:rsidR="00B717DF" w:rsidRPr="00E6515F">
        <w:rPr>
          <w:lang w:val="nl-BE"/>
        </w:rPr>
        <w:t xml:space="preserve"> </w:t>
      </w:r>
      <w:r w:rsidRPr="00E6515F">
        <w:rPr>
          <w:lang w:val="nl-BE"/>
        </w:rPr>
        <w:t xml:space="preserve">is een groepering van </w:t>
      </w:r>
      <w:r w:rsidR="00B717DF">
        <w:rPr>
          <w:lang w:val="nl-BE"/>
        </w:rPr>
        <w:t>een</w:t>
      </w:r>
      <w:r w:rsidR="00B717DF" w:rsidRPr="00E6515F">
        <w:rPr>
          <w:lang w:val="nl-BE"/>
        </w:rPr>
        <w:t xml:space="preserve"> </w:t>
      </w:r>
      <w:r w:rsidRPr="00E6515F">
        <w:rPr>
          <w:lang w:val="nl-BE"/>
        </w:rPr>
        <w:t xml:space="preserve">of meerdere voorzieningen die een gemeenschappelijke afrekening krijgen. Afdelingen worden gebundeld in ondersteuningsvormen en </w:t>
      </w:r>
      <w:r w:rsidR="00B717DF">
        <w:rPr>
          <w:lang w:val="nl-BE"/>
        </w:rPr>
        <w:t xml:space="preserve">personen met een handicap kunnen </w:t>
      </w:r>
      <w:r w:rsidRPr="00E6515F">
        <w:rPr>
          <w:lang w:val="nl-BE"/>
        </w:rPr>
        <w:t xml:space="preserve">vlot </w:t>
      </w:r>
      <w:r w:rsidR="00B717DF">
        <w:rPr>
          <w:lang w:val="nl-BE"/>
        </w:rPr>
        <w:t>veranderen</w:t>
      </w:r>
      <w:r w:rsidR="00B717DF" w:rsidRPr="00E6515F">
        <w:rPr>
          <w:lang w:val="nl-BE"/>
        </w:rPr>
        <w:t xml:space="preserve"> </w:t>
      </w:r>
      <w:r w:rsidRPr="00E6515F">
        <w:rPr>
          <w:lang w:val="nl-BE"/>
        </w:rPr>
        <w:t>van ondersteuning</w:t>
      </w:r>
      <w:r w:rsidR="00B717DF">
        <w:rPr>
          <w:lang w:val="nl-BE"/>
        </w:rPr>
        <w:t>,</w:t>
      </w:r>
      <w:r w:rsidRPr="00E6515F">
        <w:rPr>
          <w:lang w:val="nl-BE"/>
        </w:rPr>
        <w:t xml:space="preserve"> binnen eenzelfde ondersteuningsvorm of naar een lagere ondersteuningsvorm. Een flexibele wijze van ondersteuning </w:t>
      </w:r>
      <w:r w:rsidR="00FA3429" w:rsidRPr="00E6515F">
        <w:rPr>
          <w:lang w:val="nl-BE"/>
        </w:rPr>
        <w:t>verg</w:t>
      </w:r>
      <w:r w:rsidR="00FA3429">
        <w:rPr>
          <w:lang w:val="nl-BE"/>
        </w:rPr>
        <w:t>de</w:t>
      </w:r>
      <w:r w:rsidR="00FA3429" w:rsidRPr="00E6515F">
        <w:rPr>
          <w:lang w:val="nl-BE"/>
        </w:rPr>
        <w:t xml:space="preserve"> </w:t>
      </w:r>
      <w:r w:rsidRPr="00E6515F">
        <w:rPr>
          <w:lang w:val="nl-BE"/>
        </w:rPr>
        <w:t>ook een flexibele wijze van registratie. Vragen moe</w:t>
      </w:r>
      <w:r w:rsidR="00FA3429">
        <w:rPr>
          <w:lang w:val="nl-BE"/>
        </w:rPr>
        <w:t>s</w:t>
      </w:r>
      <w:r w:rsidRPr="00E6515F">
        <w:rPr>
          <w:lang w:val="nl-BE"/>
        </w:rPr>
        <w:t xml:space="preserve">ten niet meer geregistreerd worden </w:t>
      </w:r>
      <w:r w:rsidR="0080224D" w:rsidRPr="00E6515F">
        <w:rPr>
          <w:lang w:val="nl-BE"/>
        </w:rPr>
        <w:t>in fu</w:t>
      </w:r>
      <w:r w:rsidR="00B65CB7" w:rsidRPr="00E6515F">
        <w:rPr>
          <w:lang w:val="nl-BE"/>
        </w:rPr>
        <w:t>n</w:t>
      </w:r>
      <w:r w:rsidR="0080224D" w:rsidRPr="00E6515F">
        <w:rPr>
          <w:lang w:val="nl-BE"/>
        </w:rPr>
        <w:t xml:space="preserve">ctie van </w:t>
      </w:r>
      <w:r w:rsidRPr="00E6515F">
        <w:rPr>
          <w:lang w:val="nl-BE"/>
        </w:rPr>
        <w:t xml:space="preserve">deze wijzigingen. </w:t>
      </w:r>
    </w:p>
    <w:p w:rsidR="007B3CA4" w:rsidRPr="00E6515F" w:rsidRDefault="007B3CA4" w:rsidP="004A35A5">
      <w:pPr>
        <w:ind w:left="360"/>
        <w:jc w:val="both"/>
        <w:rPr>
          <w:lang w:val="nl-BE"/>
        </w:rPr>
      </w:pPr>
    </w:p>
    <w:p w:rsidR="007B3CA4" w:rsidRPr="00E6515F" w:rsidRDefault="00B717DF" w:rsidP="00B65CB7">
      <w:pPr>
        <w:ind w:left="360"/>
        <w:jc w:val="both"/>
        <w:rPr>
          <w:lang w:val="nl-BE"/>
        </w:rPr>
      </w:pPr>
      <w:r>
        <w:rPr>
          <w:lang w:val="nl-BE"/>
        </w:rPr>
        <w:t>De p</w:t>
      </w:r>
      <w:r w:rsidRPr="00E6515F">
        <w:rPr>
          <w:lang w:val="nl-BE"/>
        </w:rPr>
        <w:t xml:space="preserve">ersoonsvolgende </w:t>
      </w:r>
      <w:r w:rsidR="007B3CA4" w:rsidRPr="00E6515F">
        <w:rPr>
          <w:lang w:val="nl-BE"/>
        </w:rPr>
        <w:t xml:space="preserve">financiering </w:t>
      </w:r>
      <w:r w:rsidR="00FA3429">
        <w:rPr>
          <w:lang w:val="nl-BE"/>
        </w:rPr>
        <w:t>werd</w:t>
      </w:r>
      <w:r w:rsidR="00FA3429" w:rsidRPr="00E6515F">
        <w:rPr>
          <w:lang w:val="nl-BE"/>
        </w:rPr>
        <w:t xml:space="preserve"> </w:t>
      </w:r>
      <w:r w:rsidR="007B3CA4" w:rsidRPr="00E6515F">
        <w:rPr>
          <w:lang w:val="nl-BE"/>
        </w:rPr>
        <w:t xml:space="preserve">ingevoerd in verschillende fasen vanaf 1 april 2016. Nieuwe vragen kunnen gesteld worden aan de hand van de nieuwe </w:t>
      </w:r>
      <w:proofErr w:type="spellStart"/>
      <w:r w:rsidR="007B3CA4" w:rsidRPr="00E6515F">
        <w:rPr>
          <w:lang w:val="nl-BE"/>
        </w:rPr>
        <w:t>toeleidingsprocedure</w:t>
      </w:r>
      <w:proofErr w:type="spellEnd"/>
      <w:r w:rsidR="007B3CA4" w:rsidRPr="00E6515F">
        <w:rPr>
          <w:lang w:val="nl-BE"/>
        </w:rPr>
        <w:t xml:space="preserve"> en prioriteringsregels. </w:t>
      </w:r>
      <w:r w:rsidR="00670105" w:rsidRPr="00E6515F">
        <w:rPr>
          <w:lang w:val="nl-BE"/>
        </w:rPr>
        <w:t>D</w:t>
      </w:r>
      <w:r w:rsidR="00670105">
        <w:rPr>
          <w:lang w:val="nl-BE"/>
        </w:rPr>
        <w:t>a</w:t>
      </w:r>
      <w:r w:rsidR="00670105" w:rsidRPr="00E6515F">
        <w:rPr>
          <w:lang w:val="nl-BE"/>
        </w:rPr>
        <w:t xml:space="preserve">t </w:t>
      </w:r>
      <w:r w:rsidR="007B3CA4" w:rsidRPr="00E6515F">
        <w:rPr>
          <w:lang w:val="nl-BE"/>
        </w:rPr>
        <w:t xml:space="preserve">zijn geen zorgvragen meer, maar vragen naar een persoonsvolgend budget (PVB). </w:t>
      </w:r>
      <w:r w:rsidR="00670105" w:rsidRPr="00E6515F">
        <w:rPr>
          <w:lang w:val="nl-BE"/>
        </w:rPr>
        <w:t>D</w:t>
      </w:r>
      <w:r w:rsidR="00670105">
        <w:rPr>
          <w:lang w:val="nl-BE"/>
        </w:rPr>
        <w:t>ie</w:t>
      </w:r>
      <w:r w:rsidR="00670105" w:rsidRPr="00E6515F">
        <w:rPr>
          <w:lang w:val="nl-BE"/>
        </w:rPr>
        <w:t xml:space="preserve"> </w:t>
      </w:r>
      <w:r w:rsidR="007B3CA4" w:rsidRPr="00E6515F">
        <w:rPr>
          <w:lang w:val="nl-BE"/>
        </w:rPr>
        <w:t xml:space="preserve">vragen komen niet meer terecht op de </w:t>
      </w:r>
      <w:r w:rsidR="00670105" w:rsidRPr="00E6515F">
        <w:rPr>
          <w:lang w:val="nl-BE"/>
        </w:rPr>
        <w:t>centrale registratie van zorgvragen</w:t>
      </w:r>
      <w:r w:rsidR="007B3CA4" w:rsidRPr="00E6515F">
        <w:rPr>
          <w:lang w:val="nl-BE"/>
        </w:rPr>
        <w:t xml:space="preserve">, maar in een prioriteitengroep. Er zijn drie prioriteitengroepen. </w:t>
      </w:r>
      <w:r w:rsidR="0080224D" w:rsidRPr="00E6515F">
        <w:rPr>
          <w:lang w:val="nl-BE"/>
        </w:rPr>
        <w:t xml:space="preserve">De actieve CRZ-vragen </w:t>
      </w:r>
      <w:r w:rsidR="00670105" w:rsidRPr="00E6515F">
        <w:rPr>
          <w:lang w:val="nl-BE"/>
        </w:rPr>
        <w:t>w</w:t>
      </w:r>
      <w:r w:rsidR="00670105">
        <w:rPr>
          <w:lang w:val="nl-BE"/>
        </w:rPr>
        <w:t>e</w:t>
      </w:r>
      <w:r w:rsidR="00670105" w:rsidRPr="00E6515F">
        <w:rPr>
          <w:lang w:val="nl-BE"/>
        </w:rPr>
        <w:t xml:space="preserve">rden </w:t>
      </w:r>
      <w:r w:rsidR="0080224D" w:rsidRPr="00E6515F">
        <w:rPr>
          <w:lang w:val="nl-BE"/>
        </w:rPr>
        <w:t xml:space="preserve">omgezet naar PVB-vragen. </w:t>
      </w:r>
      <w:r w:rsidR="007B3CA4" w:rsidRPr="00E6515F">
        <w:rPr>
          <w:lang w:val="nl-BE"/>
        </w:rPr>
        <w:t xml:space="preserve">De eerste nieuwe gebruikers van een </w:t>
      </w:r>
      <w:r w:rsidR="00670105">
        <w:rPr>
          <w:lang w:val="nl-BE"/>
        </w:rPr>
        <w:t>persoonsvolgend budget</w:t>
      </w:r>
      <w:r w:rsidR="00670105" w:rsidRPr="00E6515F">
        <w:rPr>
          <w:lang w:val="nl-BE"/>
        </w:rPr>
        <w:t xml:space="preserve"> </w:t>
      </w:r>
      <w:r w:rsidR="00670105">
        <w:rPr>
          <w:lang w:val="nl-BE"/>
        </w:rPr>
        <w:t>konden</w:t>
      </w:r>
      <w:r w:rsidR="00670105" w:rsidRPr="00E6515F">
        <w:rPr>
          <w:lang w:val="nl-BE"/>
        </w:rPr>
        <w:t xml:space="preserve"> </w:t>
      </w:r>
      <w:r w:rsidR="007B3CA4" w:rsidRPr="00E6515F">
        <w:rPr>
          <w:lang w:val="nl-BE"/>
        </w:rPr>
        <w:t xml:space="preserve">starten met hun besteding in de vorm van cash of voucher, of een combinatie van beide. </w:t>
      </w:r>
      <w:r w:rsidR="00670105">
        <w:rPr>
          <w:lang w:val="nl-BE"/>
        </w:rPr>
        <w:t>Sinds</w:t>
      </w:r>
      <w:r w:rsidR="00670105" w:rsidRPr="00E6515F">
        <w:rPr>
          <w:lang w:val="nl-BE"/>
        </w:rPr>
        <w:t xml:space="preserve"> </w:t>
      </w:r>
      <w:r w:rsidR="007B3CA4" w:rsidRPr="00E6515F">
        <w:rPr>
          <w:lang w:val="nl-BE"/>
        </w:rPr>
        <w:t xml:space="preserve">1 september 2016 </w:t>
      </w:r>
      <w:r w:rsidR="00670105">
        <w:rPr>
          <w:lang w:val="nl-BE"/>
        </w:rPr>
        <w:t>zijn</w:t>
      </w:r>
      <w:r w:rsidR="00670105" w:rsidRPr="00E6515F">
        <w:rPr>
          <w:lang w:val="nl-BE"/>
        </w:rPr>
        <w:t xml:space="preserve"> </w:t>
      </w:r>
      <w:r w:rsidR="007B3CA4" w:rsidRPr="00E6515F">
        <w:rPr>
          <w:lang w:val="nl-BE"/>
        </w:rPr>
        <w:t xml:space="preserve">alle bestaande </w:t>
      </w:r>
      <w:proofErr w:type="spellStart"/>
      <w:r w:rsidR="007B3CA4" w:rsidRPr="00E6515F">
        <w:rPr>
          <w:lang w:val="nl-BE"/>
        </w:rPr>
        <w:t>FAM’s</w:t>
      </w:r>
      <w:proofErr w:type="spellEnd"/>
      <w:r w:rsidR="007B3CA4" w:rsidRPr="00E6515F">
        <w:rPr>
          <w:lang w:val="nl-BE"/>
        </w:rPr>
        <w:t xml:space="preserve"> en </w:t>
      </w:r>
      <w:proofErr w:type="spellStart"/>
      <w:r w:rsidR="007B3CA4" w:rsidRPr="00E6515F">
        <w:rPr>
          <w:lang w:val="nl-BE"/>
        </w:rPr>
        <w:t>MFC’s</w:t>
      </w:r>
      <w:proofErr w:type="spellEnd"/>
      <w:r w:rsidR="007B3CA4" w:rsidRPr="00E6515F">
        <w:rPr>
          <w:lang w:val="nl-BE"/>
        </w:rPr>
        <w:t xml:space="preserve"> automatisch vergund als vergunde zorgaanbieder. </w:t>
      </w:r>
      <w:r w:rsidR="0080224D" w:rsidRPr="00E6515F">
        <w:rPr>
          <w:lang w:val="nl-BE"/>
        </w:rPr>
        <w:t>Ook n</w:t>
      </w:r>
      <w:r w:rsidR="007B3CA4" w:rsidRPr="00E6515F">
        <w:rPr>
          <w:lang w:val="nl-BE"/>
        </w:rPr>
        <w:t xml:space="preserve">ieuwe aanbieders kunnen vergund worden vanaf </w:t>
      </w:r>
      <w:r w:rsidR="00670105">
        <w:rPr>
          <w:lang w:val="nl-BE"/>
        </w:rPr>
        <w:t>die</w:t>
      </w:r>
      <w:r w:rsidR="0080224D" w:rsidRPr="00E6515F">
        <w:rPr>
          <w:lang w:val="nl-BE"/>
        </w:rPr>
        <w:t xml:space="preserve"> datum. </w:t>
      </w:r>
    </w:p>
    <w:p w:rsidR="007B3CA4" w:rsidRPr="00E6515F" w:rsidRDefault="007B3CA4" w:rsidP="00B65CB7">
      <w:pPr>
        <w:ind w:left="360"/>
        <w:jc w:val="both"/>
        <w:rPr>
          <w:lang w:val="nl-BE"/>
        </w:rPr>
      </w:pPr>
    </w:p>
    <w:p w:rsidR="007B3CA4" w:rsidRPr="00E6515F" w:rsidRDefault="007B3CA4" w:rsidP="00B65CB7">
      <w:pPr>
        <w:ind w:left="360"/>
        <w:jc w:val="both"/>
        <w:rPr>
          <w:lang w:val="nl-BE"/>
        </w:rPr>
      </w:pPr>
      <w:r w:rsidRPr="00E6515F">
        <w:rPr>
          <w:lang w:val="nl-BE"/>
        </w:rPr>
        <w:t xml:space="preserve">Daarnaast </w:t>
      </w:r>
      <w:r w:rsidR="00670105" w:rsidRPr="00E6515F">
        <w:rPr>
          <w:lang w:val="nl-BE"/>
        </w:rPr>
        <w:t>w</w:t>
      </w:r>
      <w:r w:rsidR="00670105">
        <w:rPr>
          <w:lang w:val="nl-BE"/>
        </w:rPr>
        <w:t>e</w:t>
      </w:r>
      <w:r w:rsidR="00670105" w:rsidRPr="00E6515F">
        <w:rPr>
          <w:lang w:val="nl-BE"/>
        </w:rPr>
        <w:t xml:space="preserve">rden </w:t>
      </w:r>
      <w:r w:rsidRPr="00E6515F">
        <w:rPr>
          <w:lang w:val="nl-BE"/>
        </w:rPr>
        <w:t xml:space="preserve">in 2016 de eerste stappen gezet voor de transitie </w:t>
      </w:r>
      <w:r w:rsidR="00670105">
        <w:rPr>
          <w:lang w:val="nl-BE"/>
        </w:rPr>
        <w:t xml:space="preserve">van </w:t>
      </w:r>
      <w:r w:rsidRPr="00E6515F">
        <w:rPr>
          <w:lang w:val="nl-BE"/>
        </w:rPr>
        <w:t>zorg in natura (ZIN). D</w:t>
      </w:r>
      <w:r w:rsidR="00670105">
        <w:rPr>
          <w:lang w:val="nl-BE"/>
        </w:rPr>
        <w:t>a</w:t>
      </w:r>
      <w:r w:rsidRPr="00E6515F">
        <w:rPr>
          <w:lang w:val="nl-BE"/>
        </w:rPr>
        <w:t xml:space="preserve">t is de overgang van </w:t>
      </w:r>
      <w:r w:rsidR="00670105">
        <w:rPr>
          <w:lang w:val="nl-BE"/>
        </w:rPr>
        <w:t>het</w:t>
      </w:r>
      <w:r w:rsidR="00670105" w:rsidRPr="00E6515F">
        <w:rPr>
          <w:lang w:val="nl-BE"/>
        </w:rPr>
        <w:t xml:space="preserve"> </w:t>
      </w:r>
      <w:r w:rsidRPr="00E6515F">
        <w:rPr>
          <w:lang w:val="nl-BE"/>
        </w:rPr>
        <w:t xml:space="preserve">bestaande </w:t>
      </w:r>
      <w:r w:rsidR="00670105">
        <w:rPr>
          <w:lang w:val="nl-BE"/>
        </w:rPr>
        <w:t xml:space="preserve">systeem van </w:t>
      </w:r>
      <w:r w:rsidRPr="00E6515F">
        <w:rPr>
          <w:lang w:val="nl-BE"/>
        </w:rPr>
        <w:t xml:space="preserve">subsidiëring aan de hand van erkenningen naar het systeem van de persoonsvolgende financiering. Aan de </w:t>
      </w:r>
      <w:proofErr w:type="spellStart"/>
      <w:r w:rsidR="00DC5DD6" w:rsidRPr="00E6515F">
        <w:rPr>
          <w:lang w:val="nl-BE"/>
        </w:rPr>
        <w:t>FAM’s</w:t>
      </w:r>
      <w:proofErr w:type="spellEnd"/>
      <w:r w:rsidR="00DC5DD6" w:rsidRPr="00E6515F">
        <w:rPr>
          <w:lang w:val="nl-BE"/>
        </w:rPr>
        <w:t xml:space="preserve"> en thuisb</w:t>
      </w:r>
      <w:r w:rsidR="00670105">
        <w:rPr>
          <w:lang w:val="nl-BE"/>
        </w:rPr>
        <w:t>e</w:t>
      </w:r>
      <w:r w:rsidR="00DC5DD6" w:rsidRPr="00E6515F">
        <w:rPr>
          <w:lang w:val="nl-BE"/>
        </w:rPr>
        <w:t>geleidingsdienst</w:t>
      </w:r>
      <w:r w:rsidRPr="00E6515F">
        <w:rPr>
          <w:lang w:val="nl-BE"/>
        </w:rPr>
        <w:t xml:space="preserve">en </w:t>
      </w:r>
      <w:r w:rsidR="00670105">
        <w:rPr>
          <w:lang w:val="nl-BE"/>
        </w:rPr>
        <w:t>werd</w:t>
      </w:r>
      <w:r w:rsidR="00670105" w:rsidRPr="00E6515F">
        <w:rPr>
          <w:lang w:val="nl-BE"/>
        </w:rPr>
        <w:t xml:space="preserve"> </w:t>
      </w:r>
      <w:r w:rsidRPr="00E6515F">
        <w:rPr>
          <w:lang w:val="nl-BE"/>
        </w:rPr>
        <w:t xml:space="preserve">gevraagd om zowel voor 1 april 2016 als voor 31 december </w:t>
      </w:r>
      <w:r w:rsidRPr="00E6515F">
        <w:rPr>
          <w:lang w:val="nl-BE"/>
        </w:rPr>
        <w:lastRenderedPageBreak/>
        <w:t xml:space="preserve">2016 een overzicht van alle gebruikers </w:t>
      </w:r>
      <w:r w:rsidR="00670105">
        <w:rPr>
          <w:lang w:val="nl-BE"/>
        </w:rPr>
        <w:t>van niet-rechtstreeks toegankelijke hulp (</w:t>
      </w:r>
      <w:proofErr w:type="spellStart"/>
      <w:r w:rsidR="00670105">
        <w:rPr>
          <w:lang w:val="nl-BE"/>
        </w:rPr>
        <w:t>nRTH</w:t>
      </w:r>
      <w:proofErr w:type="spellEnd"/>
      <w:r w:rsidR="00670105">
        <w:rPr>
          <w:lang w:val="nl-BE"/>
        </w:rPr>
        <w:t>)</w:t>
      </w:r>
      <w:r w:rsidR="00670105" w:rsidRPr="00E6515F">
        <w:rPr>
          <w:lang w:val="nl-BE"/>
        </w:rPr>
        <w:t xml:space="preserve"> </w:t>
      </w:r>
      <w:r w:rsidRPr="00E6515F">
        <w:rPr>
          <w:lang w:val="nl-BE"/>
        </w:rPr>
        <w:t xml:space="preserve">te bezorgen. Aan de hand van een vertaaltabel </w:t>
      </w:r>
      <w:r w:rsidR="00670105">
        <w:rPr>
          <w:lang w:val="nl-BE"/>
        </w:rPr>
        <w:t>werd</w:t>
      </w:r>
      <w:r w:rsidR="00670105" w:rsidRPr="00E6515F">
        <w:rPr>
          <w:lang w:val="nl-BE"/>
        </w:rPr>
        <w:t xml:space="preserve"> </w:t>
      </w:r>
      <w:r w:rsidRPr="00E6515F">
        <w:rPr>
          <w:lang w:val="nl-BE"/>
        </w:rPr>
        <w:t xml:space="preserve">op basis van </w:t>
      </w:r>
      <w:r w:rsidR="00670105">
        <w:rPr>
          <w:lang w:val="nl-BE"/>
        </w:rPr>
        <w:t xml:space="preserve">de </w:t>
      </w:r>
      <w:r w:rsidRPr="00E6515F">
        <w:rPr>
          <w:lang w:val="nl-BE"/>
        </w:rPr>
        <w:t xml:space="preserve">effectieve ondersteuningsfrequenties per functie en ingeschatte </w:t>
      </w:r>
      <w:r w:rsidR="00B65CB7" w:rsidRPr="00E6515F">
        <w:rPr>
          <w:lang w:val="nl-BE"/>
        </w:rPr>
        <w:t>P-</w:t>
      </w:r>
      <w:r w:rsidRPr="00E6515F">
        <w:rPr>
          <w:lang w:val="nl-BE"/>
        </w:rPr>
        <w:t xml:space="preserve"> en </w:t>
      </w:r>
      <w:r w:rsidR="00B65CB7" w:rsidRPr="00E6515F">
        <w:rPr>
          <w:lang w:val="nl-BE"/>
        </w:rPr>
        <w:t>B-</w:t>
      </w:r>
      <w:r w:rsidRPr="00E6515F">
        <w:rPr>
          <w:lang w:val="nl-BE"/>
        </w:rPr>
        <w:t>waarden</w:t>
      </w:r>
      <w:r w:rsidR="00670105">
        <w:rPr>
          <w:rStyle w:val="Voetnootmarkering"/>
          <w:lang w:val="nl-BE"/>
        </w:rPr>
        <w:footnoteReference w:id="2"/>
      </w:r>
      <w:r w:rsidRPr="00E6515F">
        <w:rPr>
          <w:lang w:val="nl-BE"/>
        </w:rPr>
        <w:t xml:space="preserve"> de hoogte van het </w:t>
      </w:r>
      <w:r w:rsidR="00670105">
        <w:rPr>
          <w:lang w:val="nl-BE"/>
        </w:rPr>
        <w:t>persoonsvolgend budget</w:t>
      </w:r>
      <w:r w:rsidR="00670105" w:rsidRPr="00E6515F">
        <w:rPr>
          <w:lang w:val="nl-BE"/>
        </w:rPr>
        <w:t xml:space="preserve"> </w:t>
      </w:r>
      <w:r w:rsidRPr="00E6515F">
        <w:rPr>
          <w:lang w:val="nl-BE"/>
        </w:rPr>
        <w:t xml:space="preserve">bepaald of </w:t>
      </w:r>
      <w:r w:rsidR="00670105" w:rsidRPr="00E6515F">
        <w:rPr>
          <w:lang w:val="nl-BE"/>
        </w:rPr>
        <w:t>w</w:t>
      </w:r>
      <w:r w:rsidR="00670105">
        <w:rPr>
          <w:lang w:val="nl-BE"/>
        </w:rPr>
        <w:t>e</w:t>
      </w:r>
      <w:r w:rsidR="00670105" w:rsidRPr="00E6515F">
        <w:rPr>
          <w:lang w:val="nl-BE"/>
        </w:rPr>
        <w:t xml:space="preserve">rden </w:t>
      </w:r>
      <w:r w:rsidRPr="00E6515F">
        <w:rPr>
          <w:lang w:val="nl-BE"/>
        </w:rPr>
        <w:t xml:space="preserve">mensen </w:t>
      </w:r>
      <w:proofErr w:type="spellStart"/>
      <w:r w:rsidRPr="00E6515F">
        <w:rPr>
          <w:lang w:val="nl-BE"/>
        </w:rPr>
        <w:t>toegeleid</w:t>
      </w:r>
      <w:proofErr w:type="spellEnd"/>
      <w:r w:rsidRPr="00E6515F">
        <w:rPr>
          <w:lang w:val="nl-BE"/>
        </w:rPr>
        <w:t xml:space="preserve"> naar </w:t>
      </w:r>
      <w:r w:rsidR="00670105">
        <w:rPr>
          <w:lang w:val="nl-BE"/>
        </w:rPr>
        <w:t>rechtstreeks toegankelijke hulp</w:t>
      </w:r>
      <w:r w:rsidRPr="00E6515F">
        <w:rPr>
          <w:lang w:val="nl-BE"/>
        </w:rPr>
        <w:t xml:space="preserve">. De punten </w:t>
      </w:r>
      <w:r w:rsidR="00670105">
        <w:rPr>
          <w:lang w:val="nl-BE"/>
        </w:rPr>
        <w:t>voor rechtstreeks toegankelijke hulp</w:t>
      </w:r>
      <w:r w:rsidR="00670105" w:rsidRPr="00E6515F">
        <w:rPr>
          <w:lang w:val="nl-BE"/>
        </w:rPr>
        <w:t xml:space="preserve"> </w:t>
      </w:r>
      <w:r w:rsidR="00670105">
        <w:rPr>
          <w:lang w:val="nl-BE"/>
        </w:rPr>
        <w:t>werden</w:t>
      </w:r>
      <w:r w:rsidR="00670105" w:rsidRPr="00E6515F">
        <w:rPr>
          <w:lang w:val="nl-BE"/>
        </w:rPr>
        <w:t xml:space="preserve"> </w:t>
      </w:r>
      <w:r w:rsidRPr="00E6515F">
        <w:rPr>
          <w:lang w:val="nl-BE"/>
        </w:rPr>
        <w:t xml:space="preserve">toegevoegd aan de erkenning van de voorziening. Vanaf 1 januari 2017 </w:t>
      </w:r>
      <w:r w:rsidR="00670105" w:rsidRPr="00E6515F">
        <w:rPr>
          <w:lang w:val="nl-BE"/>
        </w:rPr>
        <w:t>w</w:t>
      </w:r>
      <w:r w:rsidR="00670105">
        <w:rPr>
          <w:lang w:val="nl-BE"/>
        </w:rPr>
        <w:t>e</w:t>
      </w:r>
      <w:r w:rsidR="00670105" w:rsidRPr="00E6515F">
        <w:rPr>
          <w:lang w:val="nl-BE"/>
        </w:rPr>
        <w:t xml:space="preserve">rden </w:t>
      </w:r>
      <w:r w:rsidR="00DD02E4">
        <w:rPr>
          <w:lang w:val="nl-BE"/>
        </w:rPr>
        <w:t>persoonsvolgende budgette</w:t>
      </w:r>
      <w:r w:rsidR="00670105">
        <w:rPr>
          <w:lang w:val="nl-BE"/>
        </w:rPr>
        <w:t>n</w:t>
      </w:r>
      <w:r w:rsidR="00670105" w:rsidRPr="00E6515F">
        <w:rPr>
          <w:lang w:val="nl-BE"/>
        </w:rPr>
        <w:t xml:space="preserve"> </w:t>
      </w:r>
      <w:r w:rsidR="00B65CB7" w:rsidRPr="00E6515F">
        <w:rPr>
          <w:lang w:val="nl-BE"/>
        </w:rPr>
        <w:t xml:space="preserve">ter beschikking gesteld </w:t>
      </w:r>
      <w:r w:rsidRPr="00E6515F">
        <w:rPr>
          <w:lang w:val="nl-BE"/>
        </w:rPr>
        <w:t xml:space="preserve">aan bestaande gebruikers van een FAM of thuisbegeleidingsdienst.  </w:t>
      </w:r>
    </w:p>
    <w:p w:rsidR="007B3CA4" w:rsidRPr="00E6515F" w:rsidRDefault="007B3CA4" w:rsidP="00B65CB7">
      <w:pPr>
        <w:ind w:left="360"/>
        <w:jc w:val="both"/>
        <w:rPr>
          <w:lang w:val="nl-BE"/>
        </w:rPr>
      </w:pPr>
    </w:p>
    <w:p w:rsidR="007B3CA4" w:rsidRPr="00E6515F" w:rsidRDefault="007B3CA4" w:rsidP="00B65CB7">
      <w:pPr>
        <w:ind w:left="360"/>
        <w:jc w:val="both"/>
        <w:rPr>
          <w:lang w:val="nl-BE"/>
        </w:rPr>
      </w:pPr>
      <w:r w:rsidRPr="00E6515F">
        <w:rPr>
          <w:lang w:val="nl-BE"/>
        </w:rPr>
        <w:t xml:space="preserve">Ook alle meerderjarige personen met een </w:t>
      </w:r>
      <w:r w:rsidR="00670105">
        <w:rPr>
          <w:lang w:val="nl-BE"/>
        </w:rPr>
        <w:t>persoonlijke-assistentiebudget</w:t>
      </w:r>
      <w:r w:rsidR="00670105" w:rsidRPr="00E6515F">
        <w:rPr>
          <w:lang w:val="nl-BE"/>
        </w:rPr>
        <w:t xml:space="preserve"> </w:t>
      </w:r>
      <w:r w:rsidRPr="00E6515F">
        <w:rPr>
          <w:lang w:val="nl-BE"/>
        </w:rPr>
        <w:t xml:space="preserve">of een </w:t>
      </w:r>
      <w:r w:rsidR="00670105">
        <w:rPr>
          <w:lang w:val="nl-BE"/>
        </w:rPr>
        <w:t>persoonsgebonden budget</w:t>
      </w:r>
      <w:r w:rsidR="00670105" w:rsidRPr="00E6515F">
        <w:rPr>
          <w:lang w:val="nl-BE"/>
        </w:rPr>
        <w:t xml:space="preserve"> </w:t>
      </w:r>
      <w:r w:rsidR="00670105">
        <w:rPr>
          <w:lang w:val="nl-BE"/>
        </w:rPr>
        <w:t>kregen</w:t>
      </w:r>
      <w:r w:rsidR="00670105" w:rsidRPr="00E6515F">
        <w:rPr>
          <w:lang w:val="nl-BE"/>
        </w:rPr>
        <w:t xml:space="preserve"> </w:t>
      </w:r>
      <w:r w:rsidRPr="00E6515F">
        <w:rPr>
          <w:lang w:val="nl-BE"/>
        </w:rPr>
        <w:t xml:space="preserve">een persoonsvolgend budget op 1 januari 2017. </w:t>
      </w:r>
    </w:p>
    <w:p w:rsidR="007B3CA4" w:rsidRPr="00E6515F" w:rsidRDefault="007B3CA4" w:rsidP="00B65CB7">
      <w:pPr>
        <w:ind w:left="360"/>
        <w:jc w:val="both"/>
        <w:rPr>
          <w:lang w:val="nl-BE"/>
        </w:rPr>
      </w:pPr>
    </w:p>
    <w:p w:rsidR="00B65CB7" w:rsidRPr="00E6515F" w:rsidRDefault="007B3CA4" w:rsidP="00B65CB7">
      <w:pPr>
        <w:ind w:left="360"/>
        <w:jc w:val="both"/>
        <w:rPr>
          <w:lang w:val="nl-BE"/>
        </w:rPr>
      </w:pPr>
      <w:r w:rsidRPr="00E6515F">
        <w:rPr>
          <w:lang w:val="nl-BE"/>
        </w:rPr>
        <w:t xml:space="preserve">Tot slot is er vanaf 2017 geen centrale databank meer met zorgvragers en open plaatsen. Personen </w:t>
      </w:r>
      <w:r w:rsidR="00670105">
        <w:rPr>
          <w:lang w:val="nl-BE"/>
        </w:rPr>
        <w:t xml:space="preserve">met een handicap </w:t>
      </w:r>
      <w:r w:rsidRPr="00E6515F">
        <w:rPr>
          <w:lang w:val="nl-BE"/>
        </w:rPr>
        <w:t xml:space="preserve">krijgen </w:t>
      </w:r>
      <w:r w:rsidR="00670105">
        <w:rPr>
          <w:lang w:val="nl-BE"/>
        </w:rPr>
        <w:t xml:space="preserve">de </w:t>
      </w:r>
      <w:r w:rsidRPr="00E6515F">
        <w:rPr>
          <w:lang w:val="nl-BE"/>
        </w:rPr>
        <w:t>regie in eigen handen en gaan</w:t>
      </w:r>
      <w:r w:rsidR="00670105">
        <w:rPr>
          <w:lang w:val="nl-BE"/>
        </w:rPr>
        <w:t>,</w:t>
      </w:r>
      <w:r w:rsidRPr="00E6515F">
        <w:rPr>
          <w:lang w:val="nl-BE"/>
        </w:rPr>
        <w:t xml:space="preserve"> eventueel samen met </w:t>
      </w:r>
      <w:r w:rsidR="00670105">
        <w:rPr>
          <w:lang w:val="nl-BE"/>
        </w:rPr>
        <w:t>een</w:t>
      </w:r>
      <w:r w:rsidR="00670105" w:rsidRPr="00E6515F">
        <w:rPr>
          <w:lang w:val="nl-BE"/>
        </w:rPr>
        <w:t xml:space="preserve"> </w:t>
      </w:r>
      <w:r w:rsidRPr="00E6515F">
        <w:rPr>
          <w:lang w:val="nl-BE"/>
        </w:rPr>
        <w:t>bijstandsorganisatie</w:t>
      </w:r>
      <w:r w:rsidR="00670105">
        <w:rPr>
          <w:lang w:val="nl-BE"/>
        </w:rPr>
        <w:t>,</w:t>
      </w:r>
      <w:r w:rsidRPr="00E6515F">
        <w:rPr>
          <w:lang w:val="nl-BE"/>
        </w:rPr>
        <w:t xml:space="preserve"> op zoek naar ondersteuning om hun budget optimaal te besteden. </w:t>
      </w:r>
      <w:r w:rsidR="00670105">
        <w:rPr>
          <w:lang w:val="nl-BE"/>
        </w:rPr>
        <w:t>Daa</w:t>
      </w:r>
      <w:r w:rsidR="00670105" w:rsidRPr="00E6515F">
        <w:rPr>
          <w:lang w:val="nl-BE"/>
        </w:rPr>
        <w:t xml:space="preserve">rbij </w:t>
      </w:r>
      <w:r w:rsidRPr="00E6515F">
        <w:rPr>
          <w:lang w:val="nl-BE"/>
        </w:rPr>
        <w:t xml:space="preserve">kunnen ze ook gebruik maken van de </w:t>
      </w:r>
      <w:r w:rsidR="002F0516">
        <w:rPr>
          <w:lang w:val="nl-BE"/>
        </w:rPr>
        <w:t>W</w:t>
      </w:r>
      <w:r w:rsidR="002F0516" w:rsidRPr="00E6515F">
        <w:rPr>
          <w:lang w:val="nl-BE"/>
        </w:rPr>
        <w:t xml:space="preserve">egwijzer </w:t>
      </w:r>
      <w:r w:rsidR="00B65CB7" w:rsidRPr="00E6515F">
        <w:rPr>
          <w:lang w:val="nl-BE"/>
        </w:rPr>
        <w:t>VAPH-ondersteuning</w:t>
      </w:r>
      <w:r w:rsidRPr="00E6515F">
        <w:rPr>
          <w:lang w:val="nl-BE"/>
        </w:rPr>
        <w:t>, waar vergunde zorgaanbieders hun aanbod kenbaar op kunnen maken.</w:t>
      </w:r>
    </w:p>
    <w:p w:rsidR="00B65CB7" w:rsidRPr="00E6515F" w:rsidRDefault="00B65CB7">
      <w:pPr>
        <w:rPr>
          <w:lang w:val="nl-BE"/>
        </w:rPr>
      </w:pPr>
      <w:r w:rsidRPr="00E6515F">
        <w:rPr>
          <w:lang w:val="nl-BE"/>
        </w:rPr>
        <w:br w:type="page"/>
      </w:r>
    </w:p>
    <w:p w:rsidR="00EE4250" w:rsidRPr="00E6515F" w:rsidRDefault="00EE4250" w:rsidP="00EE4250">
      <w:pPr>
        <w:pStyle w:val="Kop1"/>
        <w:widowControl w:val="0"/>
        <w:numPr>
          <w:ilvl w:val="0"/>
          <w:numId w:val="1"/>
        </w:numPr>
        <w:pBdr>
          <w:top w:val="nil"/>
          <w:left w:val="nil"/>
          <w:bottom w:val="nil"/>
          <w:right w:val="nil"/>
          <w:between w:val="nil"/>
        </w:pBdr>
        <w:ind w:left="544" w:hanging="570"/>
        <w:rPr>
          <w:lang w:val="nl-BE"/>
        </w:rPr>
      </w:pPr>
      <w:bookmarkStart w:id="11" w:name="_Toc536797794"/>
      <w:r w:rsidRPr="00E6515F">
        <w:rPr>
          <w:lang w:val="nl-BE"/>
        </w:rPr>
        <w:lastRenderedPageBreak/>
        <w:t>Inhoudelijke realisaties</w:t>
      </w:r>
      <w:bookmarkEnd w:id="11"/>
    </w:p>
    <w:p w:rsidR="0085452E" w:rsidRPr="00E6515F" w:rsidRDefault="0085452E" w:rsidP="0085452E">
      <w:pPr>
        <w:jc w:val="both"/>
        <w:rPr>
          <w:i/>
          <w:color w:val="0000FF"/>
          <w:lang w:val="nl-BE"/>
        </w:rPr>
      </w:pPr>
      <w:r w:rsidRPr="00E6515F">
        <w:rPr>
          <w:i/>
          <w:color w:val="0000FF"/>
          <w:lang w:val="nl-BE"/>
        </w:rPr>
        <w:t>SD 1 Om mensen te versterken in hun welbevinden willen we gezondheids- en welzijnsproblemen voorkomen en realiseren we, ingebed in de samenleving, laagdrempelige eerstelijnshulp</w:t>
      </w:r>
    </w:p>
    <w:p w:rsidR="0085452E" w:rsidRPr="00E6515F" w:rsidRDefault="0085452E" w:rsidP="0085452E">
      <w:pPr>
        <w:jc w:val="both"/>
        <w:rPr>
          <w:i/>
          <w:color w:val="0000FF"/>
          <w:lang w:val="nl-BE"/>
        </w:rPr>
      </w:pPr>
    </w:p>
    <w:p w:rsidR="0085452E" w:rsidRPr="00E6515F" w:rsidRDefault="0085452E" w:rsidP="0085452E">
      <w:pPr>
        <w:jc w:val="both"/>
        <w:rPr>
          <w:i/>
          <w:color w:val="0000FF"/>
          <w:lang w:val="nl-BE"/>
        </w:rPr>
      </w:pPr>
      <w:r w:rsidRPr="00E6515F">
        <w:rPr>
          <w:i/>
          <w:color w:val="0000FF"/>
          <w:lang w:val="nl-BE"/>
        </w:rPr>
        <w:t>OD 1.2 We realiseren, ingebed in de samenleving, laagdrempelige eerstelijnshulp om mensen met vragen en problemen snel te kunnen helpen</w:t>
      </w:r>
    </w:p>
    <w:p w:rsidR="0085452E" w:rsidRPr="00E6515F" w:rsidRDefault="0085452E" w:rsidP="0085452E">
      <w:pPr>
        <w:jc w:val="both"/>
        <w:rPr>
          <w:i/>
          <w:color w:val="0000FF"/>
          <w:lang w:val="nl-BE"/>
        </w:rPr>
      </w:pPr>
    </w:p>
    <w:p w:rsidR="0085452E" w:rsidRPr="00E6515F" w:rsidRDefault="0085452E" w:rsidP="0085452E">
      <w:pPr>
        <w:jc w:val="both"/>
        <w:rPr>
          <w:b/>
          <w:color w:val="38761D"/>
          <w:lang w:val="nl-BE"/>
        </w:rPr>
      </w:pPr>
      <w:r w:rsidRPr="00E6515F">
        <w:rPr>
          <w:b/>
          <w:color w:val="38761D"/>
          <w:lang w:val="nl-BE"/>
        </w:rPr>
        <w:t>OOD  1.1 We hebben aandacht voor de brede toegankelijkheid van de minst ingrijpende hulp voor personen met een beperking</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We evalueren de rechtstreeks toegankelijke hulp voor personen met een beperking met het oog op een conceptuele herwerking en de uitbreiding ervan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Rechtstreeks toegankelijke hulp </w:t>
      </w:r>
      <w:r w:rsidR="00BA1CEE">
        <w:rPr>
          <w:lang w:val="nl-BE"/>
        </w:rPr>
        <w:t xml:space="preserve">(RTH) </w:t>
      </w:r>
      <w:r w:rsidRPr="00E6515F">
        <w:rPr>
          <w:lang w:val="nl-BE"/>
        </w:rPr>
        <w:t xml:space="preserve">vormt een belangrijke eerste trap binnen het systeem van persoonsvolgende financiering. Een aanbod van laagdrempelige, </w:t>
      </w:r>
      <w:proofErr w:type="spellStart"/>
      <w:r w:rsidRPr="00E6515F">
        <w:rPr>
          <w:lang w:val="nl-BE"/>
        </w:rPr>
        <w:t>handicapspecifieke</w:t>
      </w:r>
      <w:proofErr w:type="spellEnd"/>
      <w:r w:rsidRPr="00E6515F">
        <w:rPr>
          <w:lang w:val="nl-BE"/>
        </w:rPr>
        <w:t xml:space="preserve"> ondersteuning moet personen met een handicap en hun gezin toelaten minder snel de stap naar niet</w:t>
      </w:r>
      <w:r w:rsidR="00BA1CEE">
        <w:rPr>
          <w:lang w:val="nl-BE"/>
        </w:rPr>
        <w:t>-</w:t>
      </w:r>
      <w:r w:rsidRPr="00E6515F">
        <w:rPr>
          <w:lang w:val="nl-BE"/>
        </w:rPr>
        <w:t>rechtstreeks toegankelijke hulp te zetten.</w:t>
      </w:r>
    </w:p>
    <w:p w:rsidR="0085452E" w:rsidRPr="00E6515F" w:rsidRDefault="0085452E" w:rsidP="0085452E">
      <w:pPr>
        <w:jc w:val="both"/>
        <w:rPr>
          <w:lang w:val="nl-BE"/>
        </w:rPr>
      </w:pPr>
    </w:p>
    <w:p w:rsidR="0085452E" w:rsidRDefault="0085452E" w:rsidP="0085452E">
      <w:pPr>
        <w:jc w:val="both"/>
        <w:rPr>
          <w:lang w:val="nl-BE"/>
        </w:rPr>
      </w:pPr>
      <w:r w:rsidRPr="00E6515F">
        <w:rPr>
          <w:lang w:val="nl-BE"/>
        </w:rPr>
        <w:t xml:space="preserve">De werking, effecten en nood aan </w:t>
      </w:r>
      <w:r w:rsidR="00BA1CEE">
        <w:rPr>
          <w:lang w:val="nl-BE"/>
        </w:rPr>
        <w:t>rechtstreeks toegankelijke hulp</w:t>
      </w:r>
      <w:r w:rsidR="00BA1CEE" w:rsidRPr="00E6515F">
        <w:rPr>
          <w:lang w:val="nl-BE"/>
        </w:rPr>
        <w:t xml:space="preserve"> </w:t>
      </w:r>
      <w:r w:rsidR="00594A0B">
        <w:rPr>
          <w:lang w:val="nl-BE"/>
        </w:rPr>
        <w:t xml:space="preserve">werden </w:t>
      </w:r>
      <w:r w:rsidRPr="00E6515F">
        <w:rPr>
          <w:lang w:val="nl-BE"/>
        </w:rPr>
        <w:t>geëvalueerd in een onderzoek van de Hogeschool Gent (2015)</w:t>
      </w:r>
      <w:r w:rsidR="00594A0B">
        <w:rPr>
          <w:rStyle w:val="Voetnootmarkering"/>
          <w:lang w:val="nl-BE"/>
        </w:rPr>
        <w:footnoteReference w:id="3"/>
      </w:r>
      <w:r w:rsidRPr="00E6515F">
        <w:rPr>
          <w:lang w:val="nl-BE"/>
        </w:rPr>
        <w:t>.</w:t>
      </w:r>
    </w:p>
    <w:p w:rsidR="00BA1CEE" w:rsidRPr="00E6515F" w:rsidRDefault="00BA1CEE" w:rsidP="0085452E">
      <w:pPr>
        <w:jc w:val="both"/>
        <w:rPr>
          <w:lang w:val="nl-BE"/>
        </w:rPr>
      </w:pPr>
    </w:p>
    <w:p w:rsidR="0085452E" w:rsidRPr="00E6515F" w:rsidRDefault="0085452E" w:rsidP="0085452E">
      <w:pPr>
        <w:jc w:val="both"/>
        <w:rPr>
          <w:lang w:val="nl-BE"/>
        </w:rPr>
      </w:pPr>
      <w:r w:rsidRPr="00E6515F">
        <w:rPr>
          <w:lang w:val="nl-BE"/>
        </w:rPr>
        <w:t xml:space="preserve">De regelgeving </w:t>
      </w:r>
      <w:r w:rsidR="00BA1CEE">
        <w:rPr>
          <w:lang w:val="nl-BE"/>
        </w:rPr>
        <w:t>voor rechtstreeks toegankelijke hulp</w:t>
      </w:r>
      <w:r w:rsidR="00BA1CEE" w:rsidRPr="00E6515F">
        <w:rPr>
          <w:lang w:val="nl-BE"/>
        </w:rPr>
        <w:t xml:space="preserve"> </w:t>
      </w:r>
      <w:r w:rsidRPr="00E6515F">
        <w:rPr>
          <w:lang w:val="nl-BE"/>
        </w:rPr>
        <w:t xml:space="preserve">werd </w:t>
      </w:r>
      <w:r w:rsidR="00BA1CEE">
        <w:rPr>
          <w:lang w:val="nl-BE"/>
        </w:rPr>
        <w:t xml:space="preserve">tijdens </w:t>
      </w:r>
      <w:r w:rsidRPr="00E6515F">
        <w:rPr>
          <w:lang w:val="nl-BE"/>
        </w:rPr>
        <w:t>deze regeerperiode tweemaal aangepast om zo adequaat en soepel mogelijk in te kunnen spelen op de noden en verwachtingen van personen met een handicap en hun gezin. In een eerste fase (2016) werd de inzet van RTH-middelen op persoonsniveau versoepeld</w:t>
      </w:r>
      <w:r w:rsidR="00BA1CEE">
        <w:rPr>
          <w:lang w:val="nl-BE"/>
        </w:rPr>
        <w:t>:</w:t>
      </w:r>
      <w:r w:rsidRPr="00E6515F">
        <w:rPr>
          <w:lang w:val="nl-BE"/>
        </w:rPr>
        <w:t xml:space="preserve"> een strikte afbakening van de inzet per ondersteuningsfunctie was niet langer nodig. In een tweede fase (2018) werd via </w:t>
      </w:r>
      <w:r w:rsidR="00BA1CEE">
        <w:rPr>
          <w:lang w:val="nl-BE"/>
        </w:rPr>
        <w:t>rechtstreeks toegankelijke hulp</w:t>
      </w:r>
      <w:r w:rsidR="00BA1CEE" w:rsidRPr="00E6515F">
        <w:rPr>
          <w:lang w:val="nl-BE"/>
        </w:rPr>
        <w:t xml:space="preserve"> </w:t>
      </w:r>
      <w:r w:rsidRPr="00E6515F">
        <w:rPr>
          <w:lang w:val="nl-BE"/>
        </w:rPr>
        <w:t xml:space="preserve">voorzien in de mogelijkheid tot respijtzorg: voormalige gebruikers </w:t>
      </w:r>
      <w:r w:rsidR="00DD02E4">
        <w:rPr>
          <w:lang w:val="nl-BE"/>
        </w:rPr>
        <w:t>van een persoonlijke-assistentiebudget</w:t>
      </w:r>
      <w:r w:rsidR="00DD02E4" w:rsidRPr="00E6515F">
        <w:rPr>
          <w:lang w:val="nl-BE"/>
        </w:rPr>
        <w:t xml:space="preserve"> </w:t>
      </w:r>
      <w:r w:rsidRPr="00E6515F">
        <w:rPr>
          <w:lang w:val="nl-BE"/>
        </w:rPr>
        <w:t xml:space="preserve">en zorg in natura kunnen voortaan hun </w:t>
      </w:r>
      <w:r w:rsidR="00DD02E4">
        <w:rPr>
          <w:lang w:val="nl-BE"/>
        </w:rPr>
        <w:t>persoonsvolgend budget</w:t>
      </w:r>
      <w:r w:rsidR="00DD02E4" w:rsidRPr="00E6515F">
        <w:rPr>
          <w:lang w:val="nl-BE"/>
        </w:rPr>
        <w:t xml:space="preserve"> </w:t>
      </w:r>
      <w:r w:rsidRPr="00E6515F">
        <w:rPr>
          <w:lang w:val="nl-BE"/>
        </w:rPr>
        <w:t xml:space="preserve">tot op zeker hoogte combineren met </w:t>
      </w:r>
      <w:r w:rsidR="00DD02E4">
        <w:rPr>
          <w:lang w:val="nl-BE"/>
        </w:rPr>
        <w:t>rechtstreeks toegankelijke hulp</w:t>
      </w:r>
      <w:r w:rsidR="00DD02E4" w:rsidRPr="00E6515F">
        <w:rPr>
          <w:lang w:val="nl-BE"/>
        </w:rPr>
        <w:t xml:space="preserve"> </w:t>
      </w:r>
      <w:r w:rsidRPr="00E6515F">
        <w:rPr>
          <w:lang w:val="nl-BE"/>
        </w:rPr>
        <w:t xml:space="preserve">om bijkomende opvang te realiseren bovenop het </w:t>
      </w:r>
      <w:r w:rsidR="00DD02E4">
        <w:rPr>
          <w:lang w:val="nl-BE"/>
        </w:rPr>
        <w:t>persoonsvolgend budget</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De capaciteit van het aanbod </w:t>
      </w:r>
      <w:r w:rsidR="00DD02E4">
        <w:rPr>
          <w:lang w:val="nl-BE"/>
        </w:rPr>
        <w:t>rech</w:t>
      </w:r>
      <w:r w:rsidR="009F5B77">
        <w:rPr>
          <w:lang w:val="nl-BE"/>
        </w:rPr>
        <w:t>t</w:t>
      </w:r>
      <w:r w:rsidR="00DD02E4">
        <w:rPr>
          <w:lang w:val="nl-BE"/>
        </w:rPr>
        <w:t>streeks toegankelijke</w:t>
      </w:r>
      <w:r w:rsidR="005367E4">
        <w:rPr>
          <w:lang w:val="nl-BE"/>
        </w:rPr>
        <w:t xml:space="preserve"> </w:t>
      </w:r>
      <w:r w:rsidR="00DD02E4">
        <w:rPr>
          <w:lang w:val="nl-BE"/>
        </w:rPr>
        <w:t>hulp</w:t>
      </w:r>
      <w:r w:rsidR="00DD02E4" w:rsidRPr="00E6515F">
        <w:rPr>
          <w:lang w:val="nl-BE"/>
        </w:rPr>
        <w:t xml:space="preserve"> </w:t>
      </w:r>
      <w:r w:rsidRPr="00E6515F">
        <w:rPr>
          <w:lang w:val="nl-BE"/>
        </w:rPr>
        <w:t xml:space="preserve">werd uitgebreid met behulp van bijkomende middelen uit het uitbreidingsbeleid </w:t>
      </w:r>
      <w:r w:rsidR="009F5B77">
        <w:rPr>
          <w:lang w:val="nl-BE"/>
        </w:rPr>
        <w:t>voor personen met een handicap</w:t>
      </w:r>
      <w:r w:rsidRPr="00E6515F">
        <w:rPr>
          <w:lang w:val="nl-BE"/>
        </w:rPr>
        <w:t xml:space="preserve">. In het kader van de omschakeling van de zorg en ondersteuning voor meerderjarige </w:t>
      </w:r>
      <w:r w:rsidR="009F5B77">
        <w:rPr>
          <w:lang w:val="nl-BE"/>
        </w:rPr>
        <w:t>personen met een handicap</w:t>
      </w:r>
      <w:r w:rsidRPr="00E6515F">
        <w:rPr>
          <w:lang w:val="nl-BE"/>
        </w:rPr>
        <w:t xml:space="preserve"> naar het systeem van persoonsvolgende financiering</w:t>
      </w:r>
      <w:r w:rsidR="009F5B77">
        <w:rPr>
          <w:lang w:val="nl-BE"/>
        </w:rPr>
        <w:t>,</w:t>
      </w:r>
      <w:r w:rsidRPr="00E6515F">
        <w:rPr>
          <w:lang w:val="nl-BE"/>
        </w:rPr>
        <w:t xml:space="preserve"> werd een deel van de capaciteit niet</w:t>
      </w:r>
      <w:r w:rsidR="009F5B77">
        <w:rPr>
          <w:lang w:val="nl-BE"/>
        </w:rPr>
        <w:t>-</w:t>
      </w:r>
      <w:r w:rsidRPr="00E6515F">
        <w:rPr>
          <w:lang w:val="nl-BE"/>
        </w:rPr>
        <w:t xml:space="preserve">rechtstreeks toegankelijke hulp omgezet naar </w:t>
      </w:r>
      <w:r w:rsidR="00DD02E4">
        <w:rPr>
          <w:lang w:val="nl-BE"/>
        </w:rPr>
        <w:t>rechtstreeks toegankelijke hulp</w:t>
      </w:r>
      <w:r w:rsidRPr="00E6515F">
        <w:rPr>
          <w:lang w:val="nl-BE"/>
        </w:rPr>
        <w:t xml:space="preserve">. Het aanbod van de diensten voor </w:t>
      </w:r>
      <w:r w:rsidR="009F5B77">
        <w:rPr>
          <w:lang w:val="nl-BE"/>
        </w:rPr>
        <w:t>t</w:t>
      </w:r>
      <w:r w:rsidR="009F5B77" w:rsidRPr="00E6515F">
        <w:rPr>
          <w:lang w:val="nl-BE"/>
        </w:rPr>
        <w:t xml:space="preserve">huisbegeleiding </w:t>
      </w:r>
      <w:r w:rsidRPr="00E6515F">
        <w:rPr>
          <w:lang w:val="nl-BE"/>
        </w:rPr>
        <w:t xml:space="preserve">werd nagenoeg volledig </w:t>
      </w:r>
      <w:proofErr w:type="spellStart"/>
      <w:r w:rsidRPr="00E6515F">
        <w:rPr>
          <w:lang w:val="nl-BE"/>
        </w:rPr>
        <w:t>ingekanteld</w:t>
      </w:r>
      <w:proofErr w:type="spellEnd"/>
      <w:r w:rsidRPr="00E6515F">
        <w:rPr>
          <w:lang w:val="nl-BE"/>
        </w:rPr>
        <w:t xml:space="preserve"> in</w:t>
      </w:r>
      <w:r w:rsidR="009F5B77">
        <w:rPr>
          <w:lang w:val="nl-BE"/>
        </w:rPr>
        <w:t xml:space="preserve"> de</w:t>
      </w:r>
      <w:r w:rsidRPr="00E6515F">
        <w:rPr>
          <w:lang w:val="nl-BE"/>
        </w:rPr>
        <w:t xml:space="preserve"> </w:t>
      </w:r>
      <w:r w:rsidR="00DD02E4">
        <w:rPr>
          <w:lang w:val="nl-BE"/>
        </w:rPr>
        <w:t>rechtstreeks toegankelijke hulp</w:t>
      </w:r>
      <w:r w:rsidRPr="00E6515F">
        <w:rPr>
          <w:lang w:val="nl-BE"/>
        </w:rPr>
        <w:t xml:space="preserve"> (sinds 1 januari 2017).</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 xml:space="preserve">2° We stimuleren de inclusieve zorg voor personen met een beperking via 1) het inbrengen van </w:t>
      </w:r>
      <w:proofErr w:type="spellStart"/>
      <w:r w:rsidRPr="00E6515F">
        <w:rPr>
          <w:b/>
          <w:lang w:val="nl-BE"/>
        </w:rPr>
        <w:t>handicapspecifieke</w:t>
      </w:r>
      <w:proofErr w:type="spellEnd"/>
      <w:r w:rsidRPr="00E6515F">
        <w:rPr>
          <w:b/>
          <w:lang w:val="nl-BE"/>
        </w:rPr>
        <w:t xml:space="preserve"> expertise in de reguliere zorg, 2) het aanbieden van zorgtrajecten voor </w:t>
      </w:r>
      <w:r w:rsidRPr="00E6515F">
        <w:rPr>
          <w:b/>
          <w:lang w:val="nl-BE"/>
        </w:rPr>
        <w:lastRenderedPageBreak/>
        <w:t>personen met een beperking binnen de reguliere eerstelijnszorg via verlenging, bijsturing of uitbreiding van bestaande maatregelen, en 3) door gericht in te zetten op bilateraal overleg met andere beleidsdomeinen, aanvullend aan het transversaal beleid van gelijke kansen Vlaanderen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Voorafgaand aan de invoering van de persoonsvolgende financiering voor meerderjarige </w:t>
      </w:r>
      <w:r w:rsidR="009F5B77">
        <w:rPr>
          <w:lang w:val="nl-BE"/>
        </w:rPr>
        <w:t>personen met een handicap,</w:t>
      </w:r>
      <w:r w:rsidRPr="00E6515F">
        <w:rPr>
          <w:lang w:val="nl-BE"/>
        </w:rPr>
        <w:t xml:space="preserve"> werd aan de hand van specifieke, eenmalige initiatieven ingezet op het stimuleren van inclusieve zorg en ondersteuning voor personen met een handicap. </w:t>
      </w:r>
      <w:r w:rsidR="009F5B77">
        <w:rPr>
          <w:lang w:val="nl-BE"/>
        </w:rPr>
        <w:t>Voorbeel</w:t>
      </w:r>
      <w:r w:rsidR="005367E4">
        <w:rPr>
          <w:lang w:val="nl-BE"/>
        </w:rPr>
        <w:t>d</w:t>
      </w:r>
      <w:r w:rsidR="009F5B77">
        <w:rPr>
          <w:lang w:val="nl-BE"/>
        </w:rPr>
        <w:t>en zijn</w:t>
      </w:r>
      <w:r w:rsidRPr="00E6515F">
        <w:rPr>
          <w:lang w:val="nl-BE"/>
        </w:rPr>
        <w:t xml:space="preserve"> het begeleidingstraject van de erkende </w:t>
      </w:r>
      <w:r w:rsidR="009F5B77">
        <w:rPr>
          <w:lang w:val="nl-BE"/>
        </w:rPr>
        <w:t>c</w:t>
      </w:r>
      <w:r w:rsidR="009F5B77" w:rsidRPr="00E6515F">
        <w:rPr>
          <w:lang w:val="nl-BE"/>
        </w:rPr>
        <w:t xml:space="preserve">entra </w:t>
      </w:r>
      <w:r w:rsidRPr="00E6515F">
        <w:rPr>
          <w:lang w:val="nl-BE"/>
        </w:rPr>
        <w:t xml:space="preserve">voor </w:t>
      </w:r>
      <w:r w:rsidR="009F5B77">
        <w:rPr>
          <w:lang w:val="nl-BE"/>
        </w:rPr>
        <w:t>i</w:t>
      </w:r>
      <w:r w:rsidR="009F5B77" w:rsidRPr="00E6515F">
        <w:rPr>
          <w:lang w:val="nl-BE"/>
        </w:rPr>
        <w:t xml:space="preserve">nclusieve </w:t>
      </w:r>
      <w:r w:rsidR="009F5B77">
        <w:rPr>
          <w:lang w:val="nl-BE"/>
        </w:rPr>
        <w:t>k</w:t>
      </w:r>
      <w:r w:rsidRPr="00E6515F">
        <w:rPr>
          <w:lang w:val="nl-BE"/>
        </w:rPr>
        <w:t xml:space="preserve">inderopvang van Kind </w:t>
      </w:r>
      <w:r w:rsidR="009F5B77">
        <w:rPr>
          <w:lang w:val="nl-BE"/>
        </w:rPr>
        <w:t>en</w:t>
      </w:r>
      <w:r w:rsidR="009F5B77" w:rsidRPr="00E6515F">
        <w:rPr>
          <w:lang w:val="nl-BE"/>
        </w:rPr>
        <w:t xml:space="preserve"> </w:t>
      </w:r>
      <w:r w:rsidRPr="00E6515F">
        <w:rPr>
          <w:lang w:val="nl-BE"/>
        </w:rPr>
        <w:t xml:space="preserve">Gezin, de samenwerkingsverbanden </w:t>
      </w:r>
      <w:r w:rsidR="00C25BD3">
        <w:rPr>
          <w:lang w:val="nl-BE"/>
        </w:rPr>
        <w:t>tussen diensten ondersteuningsplan en diensten voor gezinszorg en aanvullende thuiszorg</w:t>
      </w:r>
      <w:r w:rsidRPr="00E6515F">
        <w:rPr>
          <w:lang w:val="nl-BE"/>
        </w:rPr>
        <w:t xml:space="preserve">, de inbouw van expertise in de </w:t>
      </w:r>
      <w:proofErr w:type="spellStart"/>
      <w:r w:rsidRPr="00E6515F">
        <w:rPr>
          <w:lang w:val="nl-BE"/>
        </w:rPr>
        <w:t>OCMW’s</w:t>
      </w:r>
      <w:proofErr w:type="spellEnd"/>
      <w:r w:rsidRPr="00E6515F">
        <w:rPr>
          <w:lang w:val="nl-BE"/>
        </w:rPr>
        <w:t xml:space="preserve"> en </w:t>
      </w:r>
      <w:proofErr w:type="spellStart"/>
      <w:r w:rsidRPr="00E6515F">
        <w:rPr>
          <w:lang w:val="nl-BE"/>
        </w:rPr>
        <w:t>CAW’s</w:t>
      </w:r>
      <w:proofErr w:type="spellEnd"/>
      <w:r w:rsidRPr="00E6515F">
        <w:rPr>
          <w:lang w:val="nl-BE"/>
        </w:rPr>
        <w:t xml:space="preserve"> aan de hand van het NGT-project Z11/KR8, en de projecten </w:t>
      </w:r>
      <w:r w:rsidR="00C25BD3">
        <w:rPr>
          <w:lang w:val="nl-BE"/>
        </w:rPr>
        <w:t xml:space="preserve">met betrekking tot </w:t>
      </w:r>
      <w:r w:rsidRPr="00E6515F">
        <w:rPr>
          <w:lang w:val="nl-BE"/>
        </w:rPr>
        <w:t>dubbeldiagnose.</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Met de invoering van de persoonsvolgende financiering zijn de accenten in het kader van </w:t>
      </w:r>
      <w:r w:rsidR="00C25BD3">
        <w:rPr>
          <w:lang w:val="nl-BE"/>
        </w:rPr>
        <w:t>de realisatie</w:t>
      </w:r>
      <w:r w:rsidRPr="00E6515F">
        <w:rPr>
          <w:lang w:val="nl-BE"/>
        </w:rPr>
        <w:t xml:space="preserve"> van meer inclusie voor personen met een handicap duidelijk verschoven. Sinds eind 2016 wordt meer en meer ingezet op overleg en afstemming met andere sectoren binnen het beleidsdomein </w:t>
      </w:r>
      <w:r w:rsidR="00C25BD3">
        <w:rPr>
          <w:lang w:val="nl-BE"/>
        </w:rPr>
        <w:t xml:space="preserve">Welzijn, Volksgezondheid en Gezin </w:t>
      </w:r>
      <w:r w:rsidRPr="00E6515F">
        <w:rPr>
          <w:lang w:val="nl-BE"/>
        </w:rPr>
        <w:t>én met aanpalende sectoren uit andere beleidsdomeinen</w:t>
      </w:r>
      <w:r w:rsidR="00C25BD3">
        <w:rPr>
          <w:lang w:val="nl-BE"/>
        </w:rPr>
        <w:t xml:space="preserve">. Zo wil men </w:t>
      </w:r>
      <w:r w:rsidRPr="00E6515F">
        <w:rPr>
          <w:lang w:val="nl-BE"/>
        </w:rPr>
        <w:t xml:space="preserve"> de mogelijkheden </w:t>
      </w:r>
      <w:r w:rsidR="00C25BD3">
        <w:rPr>
          <w:lang w:val="nl-BE"/>
        </w:rPr>
        <w:t>om</w:t>
      </w:r>
      <w:r w:rsidRPr="00E6515F">
        <w:rPr>
          <w:lang w:val="nl-BE"/>
        </w:rPr>
        <w:t xml:space="preserve"> het </w:t>
      </w:r>
      <w:r w:rsidR="00DD02E4">
        <w:rPr>
          <w:lang w:val="nl-BE"/>
        </w:rPr>
        <w:t>persoonsvolgend budget</w:t>
      </w:r>
      <w:r w:rsidRPr="00E6515F">
        <w:rPr>
          <w:lang w:val="nl-BE"/>
        </w:rPr>
        <w:t xml:space="preserve"> </w:t>
      </w:r>
      <w:r w:rsidR="00C25BD3">
        <w:rPr>
          <w:lang w:val="nl-BE"/>
        </w:rPr>
        <w:t xml:space="preserve">te combineren </w:t>
      </w:r>
      <w:r w:rsidRPr="00E6515F">
        <w:rPr>
          <w:lang w:val="nl-BE"/>
        </w:rPr>
        <w:t>met zorg en ondersteuning binnen andere sectoren</w:t>
      </w:r>
      <w:r w:rsidR="00C25BD3">
        <w:rPr>
          <w:lang w:val="nl-BE"/>
        </w:rPr>
        <w:t xml:space="preserve"> concretiseren, net als</w:t>
      </w:r>
      <w:r w:rsidR="004C2D9F">
        <w:rPr>
          <w:lang w:val="nl-BE"/>
        </w:rPr>
        <w:t xml:space="preserve"> </w:t>
      </w:r>
      <w:r w:rsidRPr="00E6515F">
        <w:rPr>
          <w:lang w:val="nl-BE"/>
        </w:rPr>
        <w:t xml:space="preserve">de inzet van het </w:t>
      </w:r>
      <w:r w:rsidR="00DD02E4">
        <w:rPr>
          <w:lang w:val="nl-BE"/>
        </w:rPr>
        <w:t>persoonsvolgend budget</w:t>
      </w:r>
      <w:r w:rsidRPr="00E6515F">
        <w:rPr>
          <w:lang w:val="nl-BE"/>
        </w:rPr>
        <w:t xml:space="preserve"> in </w:t>
      </w:r>
      <w:r w:rsidR="00CE624B">
        <w:rPr>
          <w:lang w:val="nl-BE"/>
        </w:rPr>
        <w:t>die</w:t>
      </w:r>
      <w:r w:rsidR="00CE624B" w:rsidRPr="00E6515F">
        <w:rPr>
          <w:lang w:val="nl-BE"/>
        </w:rPr>
        <w:t xml:space="preserve"> </w:t>
      </w:r>
      <w:r w:rsidRPr="00E6515F">
        <w:rPr>
          <w:lang w:val="nl-BE"/>
        </w:rPr>
        <w:t>andere sectoren:</w:t>
      </w:r>
    </w:p>
    <w:p w:rsidR="0085452E" w:rsidRPr="00E6515F" w:rsidRDefault="0085452E" w:rsidP="0085452E">
      <w:pPr>
        <w:jc w:val="both"/>
        <w:rPr>
          <w:lang w:val="nl-BE"/>
        </w:rPr>
      </w:pPr>
    </w:p>
    <w:p w:rsidR="0085452E" w:rsidRPr="00E6515F" w:rsidRDefault="00CE624B" w:rsidP="0085452E">
      <w:pPr>
        <w:numPr>
          <w:ilvl w:val="0"/>
          <w:numId w:val="22"/>
        </w:numPr>
        <w:spacing w:after="240"/>
        <w:contextualSpacing/>
        <w:jc w:val="both"/>
        <w:rPr>
          <w:lang w:val="nl-BE"/>
        </w:rPr>
      </w:pPr>
      <w:r>
        <w:rPr>
          <w:lang w:val="nl-BE"/>
        </w:rPr>
        <w:t>E</w:t>
      </w:r>
      <w:r w:rsidRPr="00E6515F">
        <w:rPr>
          <w:lang w:val="nl-BE"/>
        </w:rPr>
        <w:t xml:space="preserve">r </w:t>
      </w:r>
      <w:r w:rsidR="0085452E" w:rsidRPr="00E6515F">
        <w:rPr>
          <w:lang w:val="nl-BE"/>
        </w:rPr>
        <w:t xml:space="preserve">wordt bijgedragen aan de realisatie van </w:t>
      </w:r>
      <w:r>
        <w:rPr>
          <w:lang w:val="nl-BE"/>
        </w:rPr>
        <w:t>a</w:t>
      </w:r>
      <w:r w:rsidRPr="00E6515F">
        <w:rPr>
          <w:lang w:val="nl-BE"/>
        </w:rPr>
        <w:t xml:space="preserve">rbeidsmatige </w:t>
      </w:r>
      <w:r>
        <w:rPr>
          <w:lang w:val="nl-BE"/>
        </w:rPr>
        <w:t>a</w:t>
      </w:r>
      <w:r w:rsidRPr="00E6515F">
        <w:rPr>
          <w:lang w:val="nl-BE"/>
        </w:rPr>
        <w:t xml:space="preserve">ctiviteiten </w:t>
      </w:r>
      <w:r w:rsidR="0085452E" w:rsidRPr="00E6515F">
        <w:rPr>
          <w:lang w:val="nl-BE"/>
        </w:rPr>
        <w:t xml:space="preserve">(AMA) in het kader van de uitvoering van het decreet </w:t>
      </w:r>
      <w:r w:rsidR="005A0B40">
        <w:rPr>
          <w:lang w:val="nl-BE"/>
        </w:rPr>
        <w:t xml:space="preserve">werk- en </w:t>
      </w:r>
      <w:r>
        <w:rPr>
          <w:lang w:val="nl-BE"/>
        </w:rPr>
        <w:t>z</w:t>
      </w:r>
      <w:r w:rsidR="0085452E" w:rsidRPr="00E6515F">
        <w:rPr>
          <w:lang w:val="nl-BE"/>
        </w:rPr>
        <w:t>orgtrajecten</w:t>
      </w:r>
      <w:r>
        <w:rPr>
          <w:lang w:val="nl-BE"/>
        </w:rPr>
        <w:t>.</w:t>
      </w:r>
    </w:p>
    <w:p w:rsidR="0085452E" w:rsidRPr="00E6515F" w:rsidRDefault="00CE624B" w:rsidP="0085452E">
      <w:pPr>
        <w:numPr>
          <w:ilvl w:val="0"/>
          <w:numId w:val="22"/>
        </w:numPr>
        <w:spacing w:after="240"/>
        <w:contextualSpacing/>
        <w:jc w:val="both"/>
        <w:rPr>
          <w:lang w:val="nl-BE"/>
        </w:rPr>
      </w:pPr>
      <w:r>
        <w:rPr>
          <w:lang w:val="nl-BE"/>
        </w:rPr>
        <w:t>I</w:t>
      </w:r>
      <w:r w:rsidRPr="00E6515F">
        <w:rPr>
          <w:lang w:val="nl-BE"/>
        </w:rPr>
        <w:t xml:space="preserve">n </w:t>
      </w:r>
      <w:r w:rsidR="0085452E" w:rsidRPr="00E6515F">
        <w:rPr>
          <w:lang w:val="nl-BE"/>
        </w:rPr>
        <w:t xml:space="preserve">overleg met </w:t>
      </w:r>
      <w:r w:rsidR="005B2ED3">
        <w:rPr>
          <w:lang w:val="nl-BE"/>
        </w:rPr>
        <w:t>het agentschap</w:t>
      </w:r>
      <w:r w:rsidR="0085452E" w:rsidRPr="00E6515F">
        <w:rPr>
          <w:lang w:val="nl-BE"/>
        </w:rPr>
        <w:t xml:space="preserve"> Zorg </w:t>
      </w:r>
      <w:r w:rsidR="005B2ED3">
        <w:rPr>
          <w:lang w:val="nl-BE"/>
        </w:rPr>
        <w:t>en</w:t>
      </w:r>
      <w:r w:rsidR="005B2ED3" w:rsidRPr="00E6515F">
        <w:rPr>
          <w:lang w:val="nl-BE"/>
        </w:rPr>
        <w:t xml:space="preserve"> </w:t>
      </w:r>
      <w:r w:rsidR="0085452E" w:rsidRPr="00E6515F">
        <w:rPr>
          <w:lang w:val="nl-BE"/>
        </w:rPr>
        <w:t xml:space="preserve">Gezondheid werd een regeling uitgewerkt </w:t>
      </w:r>
      <w:r w:rsidR="005B2ED3">
        <w:rPr>
          <w:lang w:val="nl-BE"/>
        </w:rPr>
        <w:t>voor</w:t>
      </w:r>
      <w:r w:rsidR="005B2ED3" w:rsidRPr="00E6515F">
        <w:rPr>
          <w:lang w:val="nl-BE"/>
        </w:rPr>
        <w:t xml:space="preserve"> </w:t>
      </w:r>
      <w:r w:rsidR="0085452E" w:rsidRPr="00E6515F">
        <w:rPr>
          <w:lang w:val="nl-BE"/>
        </w:rPr>
        <w:t xml:space="preserve">de inzet van het </w:t>
      </w:r>
      <w:r w:rsidR="00DD02E4">
        <w:rPr>
          <w:lang w:val="nl-BE"/>
        </w:rPr>
        <w:t>persoonsvolgend budget</w:t>
      </w:r>
      <w:r w:rsidR="005B2ED3">
        <w:rPr>
          <w:lang w:val="nl-BE"/>
        </w:rPr>
        <w:t xml:space="preserve"> om</w:t>
      </w:r>
      <w:r w:rsidR="005B2ED3" w:rsidRPr="00E6515F">
        <w:rPr>
          <w:lang w:val="nl-BE"/>
        </w:rPr>
        <w:t xml:space="preserve"> </w:t>
      </w:r>
      <w:r w:rsidR="0085452E" w:rsidRPr="00E6515F">
        <w:rPr>
          <w:lang w:val="nl-BE"/>
        </w:rPr>
        <w:t>(gesubsidieerde) gezinszorg</w:t>
      </w:r>
      <w:r w:rsidR="005B2ED3">
        <w:rPr>
          <w:lang w:val="nl-BE"/>
        </w:rPr>
        <w:t xml:space="preserve"> in te kopen.</w:t>
      </w:r>
    </w:p>
    <w:p w:rsidR="0085452E" w:rsidRPr="00E6515F" w:rsidRDefault="005B2ED3" w:rsidP="0085452E">
      <w:pPr>
        <w:numPr>
          <w:ilvl w:val="0"/>
          <w:numId w:val="22"/>
        </w:numPr>
        <w:spacing w:after="240"/>
        <w:contextualSpacing/>
        <w:jc w:val="both"/>
        <w:rPr>
          <w:lang w:val="nl-BE"/>
        </w:rPr>
      </w:pPr>
      <w:r>
        <w:rPr>
          <w:lang w:val="nl-BE"/>
        </w:rPr>
        <w:t>E</w:t>
      </w:r>
      <w:r w:rsidRPr="00E6515F">
        <w:rPr>
          <w:lang w:val="nl-BE"/>
        </w:rPr>
        <w:t xml:space="preserve">r </w:t>
      </w:r>
      <w:r w:rsidR="0085452E" w:rsidRPr="00E6515F">
        <w:rPr>
          <w:lang w:val="nl-BE"/>
        </w:rPr>
        <w:t xml:space="preserve">vond herhaald overleg plaats met het kabinet Demir en de FOD Sociale Zekerheid over de mogelijke impact van de invoering van de </w:t>
      </w:r>
      <w:r w:rsidR="009F5B77">
        <w:rPr>
          <w:lang w:val="nl-BE"/>
        </w:rPr>
        <w:t>persoonsvolgende financiering</w:t>
      </w:r>
      <w:r w:rsidR="0085452E" w:rsidRPr="00E6515F">
        <w:rPr>
          <w:lang w:val="nl-BE"/>
        </w:rPr>
        <w:t xml:space="preserve"> op het </w:t>
      </w:r>
      <w:r w:rsidRPr="00E6515F">
        <w:rPr>
          <w:lang w:val="nl-BE"/>
        </w:rPr>
        <w:t>federa</w:t>
      </w:r>
      <w:r>
        <w:rPr>
          <w:lang w:val="nl-BE"/>
        </w:rPr>
        <w:t>le</w:t>
      </w:r>
      <w:r w:rsidRPr="00E6515F">
        <w:rPr>
          <w:lang w:val="nl-BE"/>
        </w:rPr>
        <w:t xml:space="preserve"> </w:t>
      </w:r>
      <w:r w:rsidR="0085452E" w:rsidRPr="00E6515F">
        <w:rPr>
          <w:lang w:val="nl-BE"/>
        </w:rPr>
        <w:t>tegemoetkomingenstelsel</w:t>
      </w:r>
      <w:r>
        <w:rPr>
          <w:lang w:val="nl-BE"/>
        </w:rPr>
        <w:t>.</w:t>
      </w:r>
    </w:p>
    <w:p w:rsidR="0085452E" w:rsidRPr="00E6515F" w:rsidRDefault="005B2ED3" w:rsidP="0085452E">
      <w:pPr>
        <w:numPr>
          <w:ilvl w:val="0"/>
          <w:numId w:val="22"/>
        </w:numPr>
        <w:spacing w:after="240"/>
        <w:contextualSpacing/>
        <w:jc w:val="both"/>
        <w:rPr>
          <w:lang w:val="nl-BE"/>
        </w:rPr>
      </w:pPr>
      <w:r>
        <w:rPr>
          <w:lang w:val="nl-BE"/>
        </w:rPr>
        <w:t>I</w:t>
      </w:r>
      <w:r w:rsidR="0085452E" w:rsidRPr="00E6515F">
        <w:rPr>
          <w:lang w:val="nl-BE"/>
        </w:rPr>
        <w:t xml:space="preserve">n overleg met het </w:t>
      </w:r>
      <w:r>
        <w:rPr>
          <w:lang w:val="nl-BE"/>
        </w:rPr>
        <w:t>a</w:t>
      </w:r>
      <w:r w:rsidRPr="00E6515F">
        <w:rPr>
          <w:lang w:val="nl-BE"/>
        </w:rPr>
        <w:t xml:space="preserve">gentschap </w:t>
      </w:r>
      <w:r w:rsidR="0085452E" w:rsidRPr="00E6515F">
        <w:rPr>
          <w:lang w:val="nl-BE"/>
        </w:rPr>
        <w:t xml:space="preserve">Jongerenwelzijn wordt aan de hand van een omzendbrief duidelijkheid gegeven over de mogelijkheden </w:t>
      </w:r>
      <w:r>
        <w:rPr>
          <w:lang w:val="nl-BE"/>
        </w:rPr>
        <w:t>om</w:t>
      </w:r>
      <w:r w:rsidR="0085452E" w:rsidRPr="00E6515F">
        <w:rPr>
          <w:lang w:val="nl-BE"/>
        </w:rPr>
        <w:t xml:space="preserve"> het </w:t>
      </w:r>
      <w:r w:rsidR="00DD02E4">
        <w:rPr>
          <w:lang w:val="nl-BE"/>
        </w:rPr>
        <w:t>persoonsvolgend budget</w:t>
      </w:r>
      <w:r w:rsidR="0085452E" w:rsidRPr="00E6515F">
        <w:rPr>
          <w:lang w:val="nl-BE"/>
        </w:rPr>
        <w:t xml:space="preserve"> </w:t>
      </w:r>
      <w:r>
        <w:rPr>
          <w:lang w:val="nl-BE"/>
        </w:rPr>
        <w:t xml:space="preserve">in te zetten </w:t>
      </w:r>
      <w:r w:rsidR="0085452E" w:rsidRPr="00E6515F">
        <w:rPr>
          <w:lang w:val="nl-BE"/>
        </w:rPr>
        <w:t>in combinatie met pleegzorg</w:t>
      </w:r>
      <w:r>
        <w:rPr>
          <w:lang w:val="nl-BE"/>
        </w:rPr>
        <w:t>.</w:t>
      </w:r>
    </w:p>
    <w:p w:rsidR="0085452E" w:rsidRPr="00E6515F" w:rsidRDefault="005B2ED3" w:rsidP="0085452E">
      <w:pPr>
        <w:numPr>
          <w:ilvl w:val="0"/>
          <w:numId w:val="22"/>
        </w:numPr>
        <w:spacing w:after="240"/>
        <w:contextualSpacing/>
        <w:jc w:val="both"/>
        <w:rPr>
          <w:lang w:val="nl-BE"/>
        </w:rPr>
      </w:pPr>
      <w:r>
        <w:rPr>
          <w:lang w:val="nl-BE"/>
        </w:rPr>
        <w:t>S</w:t>
      </w:r>
      <w:r w:rsidRPr="00E6515F">
        <w:rPr>
          <w:lang w:val="nl-BE"/>
        </w:rPr>
        <w:t xml:space="preserve">amen </w:t>
      </w:r>
      <w:r w:rsidR="0085452E" w:rsidRPr="00E6515F">
        <w:rPr>
          <w:lang w:val="nl-BE"/>
        </w:rPr>
        <w:t xml:space="preserve">met </w:t>
      </w:r>
      <w:r>
        <w:rPr>
          <w:lang w:val="nl-BE"/>
        </w:rPr>
        <w:t>het agentschap</w:t>
      </w:r>
      <w:r w:rsidR="0085452E" w:rsidRPr="00E6515F">
        <w:rPr>
          <w:lang w:val="nl-BE"/>
        </w:rPr>
        <w:t xml:space="preserve"> Zorg </w:t>
      </w:r>
      <w:r>
        <w:rPr>
          <w:lang w:val="nl-BE"/>
        </w:rPr>
        <w:t>en</w:t>
      </w:r>
      <w:r w:rsidRPr="00E6515F">
        <w:rPr>
          <w:lang w:val="nl-BE"/>
        </w:rPr>
        <w:t xml:space="preserve"> </w:t>
      </w:r>
      <w:r w:rsidR="0085452E" w:rsidRPr="00E6515F">
        <w:rPr>
          <w:lang w:val="nl-BE"/>
        </w:rPr>
        <w:t xml:space="preserve">Gezondheid en de sectoren handicap en ouderenzorg worden onder wetenschappelijke begeleiding via het Steunpunt </w:t>
      </w:r>
      <w:r>
        <w:rPr>
          <w:lang w:val="nl-BE"/>
        </w:rPr>
        <w:t>Welzijn, Volksgezondheid en Gezin (SWVG)</w:t>
      </w:r>
      <w:r w:rsidRPr="00E6515F">
        <w:rPr>
          <w:lang w:val="nl-BE"/>
        </w:rPr>
        <w:t xml:space="preserve"> </w:t>
      </w:r>
      <w:r w:rsidR="0085452E" w:rsidRPr="00E6515F">
        <w:rPr>
          <w:lang w:val="nl-BE"/>
        </w:rPr>
        <w:t xml:space="preserve">de mogelijkheden en beperkingen onderzocht van de inzet van het </w:t>
      </w:r>
      <w:r w:rsidR="00DD02E4">
        <w:rPr>
          <w:lang w:val="nl-BE"/>
        </w:rPr>
        <w:t>persoonsvolgend budget</w:t>
      </w:r>
      <w:r w:rsidR="0085452E" w:rsidRPr="00E6515F">
        <w:rPr>
          <w:lang w:val="nl-BE"/>
        </w:rPr>
        <w:t xml:space="preserve"> binnen de erkende en gesubsidieerde capaciteit van een </w:t>
      </w:r>
      <w:r>
        <w:rPr>
          <w:lang w:val="nl-BE"/>
        </w:rPr>
        <w:t>woonzorgcentrum (</w:t>
      </w:r>
      <w:proofErr w:type="spellStart"/>
      <w:r>
        <w:rPr>
          <w:lang w:val="nl-BE"/>
        </w:rPr>
        <w:t>wzc</w:t>
      </w:r>
      <w:proofErr w:type="spellEnd"/>
      <w:r>
        <w:rPr>
          <w:lang w:val="nl-BE"/>
        </w:rPr>
        <w:t>)</w:t>
      </w:r>
      <w:r w:rsidR="0085452E" w:rsidRPr="00E6515F">
        <w:rPr>
          <w:lang w:val="nl-BE"/>
        </w:rPr>
        <w:t xml:space="preserve">. In afwachting kunnen de </w:t>
      </w:r>
      <w:r>
        <w:rPr>
          <w:lang w:val="nl-BE"/>
        </w:rPr>
        <w:t>woonzorgcentra</w:t>
      </w:r>
      <w:r w:rsidRPr="00E6515F">
        <w:rPr>
          <w:lang w:val="nl-BE"/>
        </w:rPr>
        <w:t xml:space="preserve"> </w:t>
      </w:r>
      <w:r>
        <w:rPr>
          <w:lang w:val="nl-BE"/>
        </w:rPr>
        <w:t>dat al</w:t>
      </w:r>
      <w:r w:rsidR="0085452E" w:rsidRPr="00E6515F">
        <w:rPr>
          <w:lang w:val="nl-BE"/>
        </w:rPr>
        <w:t xml:space="preserve"> realiseren buiten hun erkende capaciteit</w:t>
      </w:r>
      <w:r>
        <w:rPr>
          <w:lang w:val="nl-BE"/>
        </w:rPr>
        <w:t>.</w:t>
      </w:r>
    </w:p>
    <w:p w:rsidR="0085452E" w:rsidRPr="00E6515F" w:rsidRDefault="005B2ED3" w:rsidP="0085452E">
      <w:pPr>
        <w:numPr>
          <w:ilvl w:val="0"/>
          <w:numId w:val="22"/>
        </w:numPr>
        <w:spacing w:after="240"/>
        <w:contextualSpacing/>
        <w:jc w:val="both"/>
        <w:rPr>
          <w:lang w:val="nl-BE"/>
        </w:rPr>
      </w:pPr>
      <w:r>
        <w:rPr>
          <w:lang w:val="nl-BE"/>
        </w:rPr>
        <w:t>D</w:t>
      </w:r>
      <w:r w:rsidRPr="00E6515F">
        <w:rPr>
          <w:lang w:val="nl-BE"/>
        </w:rPr>
        <w:t xml:space="preserve">e </w:t>
      </w:r>
      <w:r w:rsidR="0085452E" w:rsidRPr="00E6515F">
        <w:rPr>
          <w:lang w:val="nl-BE"/>
        </w:rPr>
        <w:t xml:space="preserve">eerdere projecten </w:t>
      </w:r>
      <w:r>
        <w:rPr>
          <w:lang w:val="nl-BE"/>
        </w:rPr>
        <w:t xml:space="preserve">met betrekking tot </w:t>
      </w:r>
      <w:r w:rsidR="0085452E" w:rsidRPr="00E6515F">
        <w:rPr>
          <w:lang w:val="nl-BE"/>
        </w:rPr>
        <w:t>dubbeldiagnose worden gecontinueerd</w:t>
      </w:r>
      <w:r w:rsidR="00626513">
        <w:rPr>
          <w:lang w:val="nl-BE"/>
        </w:rPr>
        <w:t>,</w:t>
      </w:r>
      <w:r w:rsidR="0085452E" w:rsidRPr="00E6515F">
        <w:rPr>
          <w:lang w:val="nl-BE"/>
        </w:rPr>
        <w:t xml:space="preserve"> waarbij expliciet</w:t>
      </w:r>
      <w:r w:rsidR="00626513">
        <w:rPr>
          <w:lang w:val="nl-BE"/>
        </w:rPr>
        <w:t>er</w:t>
      </w:r>
      <w:r w:rsidR="0085452E" w:rsidRPr="00E6515F">
        <w:rPr>
          <w:lang w:val="nl-BE"/>
        </w:rPr>
        <w:t xml:space="preserve"> ingezet wordt op het onderzoeken van de mogelijkheden </w:t>
      </w:r>
      <w:r w:rsidR="00626513">
        <w:rPr>
          <w:lang w:val="nl-BE"/>
        </w:rPr>
        <w:t xml:space="preserve">om </w:t>
      </w:r>
      <w:r w:rsidR="0085452E" w:rsidRPr="00E6515F">
        <w:rPr>
          <w:lang w:val="nl-BE"/>
        </w:rPr>
        <w:t xml:space="preserve">het </w:t>
      </w:r>
      <w:r w:rsidR="00DD02E4">
        <w:rPr>
          <w:lang w:val="nl-BE"/>
        </w:rPr>
        <w:t>persoonsvolgend budget</w:t>
      </w:r>
      <w:r w:rsidR="0085452E" w:rsidRPr="00E6515F">
        <w:rPr>
          <w:lang w:val="nl-BE"/>
        </w:rPr>
        <w:t xml:space="preserve"> </w:t>
      </w:r>
      <w:r w:rsidR="00626513">
        <w:rPr>
          <w:lang w:val="nl-BE"/>
        </w:rPr>
        <w:t xml:space="preserve">in te zetten </w:t>
      </w:r>
      <w:r w:rsidR="0085452E" w:rsidRPr="00E6515F">
        <w:rPr>
          <w:lang w:val="nl-BE"/>
        </w:rPr>
        <w:t>binnen de specifieke behandelunits voor dubbeldiagnose binnen de psychiatrische ziekenhuizen</w:t>
      </w:r>
      <w:r>
        <w:rPr>
          <w:lang w:val="nl-BE"/>
        </w:rPr>
        <w:t>.</w:t>
      </w:r>
    </w:p>
    <w:p w:rsidR="0085452E" w:rsidRPr="00E6515F" w:rsidRDefault="005B2ED3" w:rsidP="0085452E">
      <w:pPr>
        <w:numPr>
          <w:ilvl w:val="0"/>
          <w:numId w:val="22"/>
        </w:numPr>
        <w:spacing w:after="240"/>
        <w:contextualSpacing/>
        <w:jc w:val="both"/>
        <w:rPr>
          <w:lang w:val="nl-BE"/>
        </w:rPr>
      </w:pPr>
      <w:r>
        <w:rPr>
          <w:lang w:val="nl-BE"/>
        </w:rPr>
        <w:t>O</w:t>
      </w:r>
      <w:r w:rsidRPr="00E6515F">
        <w:rPr>
          <w:lang w:val="nl-BE"/>
        </w:rPr>
        <w:t xml:space="preserve">p </w:t>
      </w:r>
      <w:r w:rsidR="0085452E" w:rsidRPr="00E6515F">
        <w:rPr>
          <w:lang w:val="nl-BE"/>
        </w:rPr>
        <w:t>periodieke basis is er overleg met de administratie en het kabinet Onderwijs</w:t>
      </w:r>
      <w:r>
        <w:rPr>
          <w:lang w:val="nl-BE"/>
        </w:rPr>
        <w:t>.</w:t>
      </w:r>
      <w:r w:rsidRPr="00E6515F">
        <w:rPr>
          <w:lang w:val="nl-BE"/>
        </w:rPr>
        <w:t xml:space="preserve"> </w:t>
      </w:r>
    </w:p>
    <w:p w:rsidR="0085452E" w:rsidRPr="00E6515F" w:rsidRDefault="005B2ED3" w:rsidP="0085452E">
      <w:pPr>
        <w:numPr>
          <w:ilvl w:val="0"/>
          <w:numId w:val="22"/>
        </w:numPr>
        <w:spacing w:after="240"/>
        <w:contextualSpacing/>
        <w:jc w:val="both"/>
        <w:rPr>
          <w:lang w:val="nl-BE"/>
        </w:rPr>
      </w:pPr>
      <w:r>
        <w:rPr>
          <w:lang w:val="nl-BE"/>
        </w:rPr>
        <w:t>H</w:t>
      </w:r>
      <w:r w:rsidRPr="00E6515F">
        <w:rPr>
          <w:lang w:val="nl-BE"/>
        </w:rPr>
        <w:t xml:space="preserve">et </w:t>
      </w:r>
      <w:r w:rsidR="0085452E" w:rsidRPr="00E6515F">
        <w:rPr>
          <w:lang w:val="nl-BE"/>
        </w:rPr>
        <w:t xml:space="preserve">overleg met de VDAB </w:t>
      </w:r>
      <w:r w:rsidR="00626513">
        <w:rPr>
          <w:lang w:val="nl-BE"/>
        </w:rPr>
        <w:t>over de</w:t>
      </w:r>
      <w:r w:rsidR="00626513" w:rsidRPr="00E6515F">
        <w:rPr>
          <w:lang w:val="nl-BE"/>
        </w:rPr>
        <w:t xml:space="preserve"> </w:t>
      </w:r>
      <w:r w:rsidR="0085452E" w:rsidRPr="00E6515F">
        <w:rPr>
          <w:lang w:val="nl-BE"/>
        </w:rPr>
        <w:t xml:space="preserve">tewerkstelling </w:t>
      </w:r>
      <w:r w:rsidR="00626513">
        <w:rPr>
          <w:lang w:val="nl-BE"/>
        </w:rPr>
        <w:t>van</w:t>
      </w:r>
      <w:r w:rsidR="00626513" w:rsidRPr="00E6515F">
        <w:rPr>
          <w:lang w:val="nl-BE"/>
        </w:rPr>
        <w:t xml:space="preserve"> </w:t>
      </w:r>
      <w:r w:rsidR="0085452E" w:rsidRPr="00E6515F">
        <w:rPr>
          <w:lang w:val="nl-BE"/>
        </w:rPr>
        <w:t>personen met een handicap werd in 2018 opnieuw geactiveerd.</w:t>
      </w:r>
    </w:p>
    <w:p w:rsidR="0085452E" w:rsidRPr="00E6515F" w:rsidRDefault="0085452E" w:rsidP="0085452E">
      <w:pPr>
        <w:spacing w:after="240"/>
        <w:ind w:left="720"/>
        <w:contextualSpacing/>
        <w:jc w:val="both"/>
        <w:rPr>
          <w:lang w:val="nl-BE"/>
        </w:rPr>
      </w:pPr>
    </w:p>
    <w:p w:rsidR="0085452E" w:rsidRPr="00E6515F" w:rsidRDefault="0085452E" w:rsidP="0085452E">
      <w:pPr>
        <w:jc w:val="both"/>
        <w:rPr>
          <w:lang w:val="nl-BE"/>
        </w:rPr>
      </w:pPr>
      <w:r w:rsidRPr="00E6515F">
        <w:rPr>
          <w:lang w:val="nl-BE"/>
        </w:rPr>
        <w:lastRenderedPageBreak/>
        <w:t xml:space="preserve">Daarnaast blijft het VAPH actief meewerken aan de realisatie van het armoedeplan, </w:t>
      </w:r>
      <w:r w:rsidR="00626513">
        <w:rPr>
          <w:lang w:val="nl-BE"/>
        </w:rPr>
        <w:t>werkte het</w:t>
      </w:r>
      <w:r w:rsidR="00626513" w:rsidRPr="00E6515F">
        <w:rPr>
          <w:lang w:val="nl-BE"/>
        </w:rPr>
        <w:t xml:space="preserve"> </w:t>
      </w:r>
      <w:r w:rsidRPr="00E6515F">
        <w:rPr>
          <w:lang w:val="nl-BE"/>
        </w:rPr>
        <w:t xml:space="preserve">actief mee aan de invoering van de European </w:t>
      </w:r>
      <w:proofErr w:type="spellStart"/>
      <w:r w:rsidRPr="00E6515F">
        <w:rPr>
          <w:lang w:val="nl-BE"/>
        </w:rPr>
        <w:t>Disability</w:t>
      </w:r>
      <w:proofErr w:type="spellEnd"/>
      <w:r w:rsidRPr="00E6515F">
        <w:rPr>
          <w:lang w:val="nl-BE"/>
        </w:rPr>
        <w:t xml:space="preserve"> Card en vond er herhaaldelijk overleg plaats met de afdeling Woonbeleid </w:t>
      </w:r>
      <w:r w:rsidR="00626513">
        <w:rPr>
          <w:lang w:val="nl-BE"/>
        </w:rPr>
        <w:t xml:space="preserve">van Wonen-Vlaanderen </w:t>
      </w:r>
      <w:r w:rsidRPr="00E6515F">
        <w:rPr>
          <w:lang w:val="nl-BE"/>
        </w:rPr>
        <w:t xml:space="preserve">met het oog op bijstelling van </w:t>
      </w:r>
      <w:r w:rsidR="00626513">
        <w:rPr>
          <w:lang w:val="nl-BE"/>
        </w:rPr>
        <w:t xml:space="preserve">de </w:t>
      </w:r>
      <w:r w:rsidR="00626513" w:rsidRPr="00E6515F">
        <w:rPr>
          <w:lang w:val="nl-BE"/>
        </w:rPr>
        <w:t xml:space="preserve"> </w:t>
      </w:r>
      <w:r w:rsidRPr="00E6515F">
        <w:rPr>
          <w:lang w:val="nl-BE"/>
        </w:rPr>
        <w:t xml:space="preserve">regelgeving inzake de </w:t>
      </w:r>
      <w:r w:rsidR="00880402">
        <w:rPr>
          <w:lang w:val="nl-BE"/>
        </w:rPr>
        <w:t>ADL</w:t>
      </w:r>
      <w:r w:rsidRPr="00E6515F">
        <w:rPr>
          <w:lang w:val="nl-BE"/>
        </w:rPr>
        <w:t>-clusters</w:t>
      </w:r>
      <w:r w:rsidR="00626513">
        <w:rPr>
          <w:lang w:val="nl-BE"/>
        </w:rPr>
        <w:t xml:space="preserve"> (activiteiten van het dagelijks leven)</w:t>
      </w:r>
      <w:r w:rsidRPr="00E6515F">
        <w:rPr>
          <w:lang w:val="nl-BE"/>
        </w:rPr>
        <w:t xml:space="preserve"> (de </w:t>
      </w:r>
      <w:r w:rsidR="00626513">
        <w:rPr>
          <w:lang w:val="nl-BE"/>
        </w:rPr>
        <w:t>zogenaamde</w:t>
      </w:r>
      <w:r w:rsidR="00626513" w:rsidRPr="00E6515F">
        <w:rPr>
          <w:lang w:val="nl-BE"/>
        </w:rPr>
        <w:t xml:space="preserve"> </w:t>
      </w:r>
      <w:r w:rsidRPr="00E6515F">
        <w:rPr>
          <w:lang w:val="nl-BE"/>
        </w:rPr>
        <w:t>‘wet</w:t>
      </w:r>
      <w:r w:rsidR="00626513">
        <w:rPr>
          <w:lang w:val="nl-BE"/>
        </w:rPr>
        <w:t>-</w:t>
      </w:r>
      <w:r w:rsidRPr="00E6515F">
        <w:rPr>
          <w:lang w:val="nl-BE"/>
        </w:rPr>
        <w:t xml:space="preserve">De </w:t>
      </w:r>
      <w:proofErr w:type="spellStart"/>
      <w:r w:rsidRPr="00E6515F">
        <w:rPr>
          <w:lang w:val="nl-BE"/>
        </w:rPr>
        <w:t>Batselier</w:t>
      </w:r>
      <w:proofErr w:type="spellEnd"/>
      <w:r w:rsidRPr="00E6515F">
        <w:rPr>
          <w:lang w:val="nl-BE"/>
        </w:rPr>
        <w:t>’).</w:t>
      </w:r>
    </w:p>
    <w:p w:rsidR="0085452E" w:rsidRPr="00E6515F" w:rsidRDefault="0085452E" w:rsidP="0085452E">
      <w:pPr>
        <w:jc w:val="both"/>
        <w:rPr>
          <w:lang w:val="nl-BE"/>
        </w:rPr>
      </w:pPr>
    </w:p>
    <w:p w:rsidR="0085452E" w:rsidRPr="00E6515F" w:rsidRDefault="0085452E" w:rsidP="0085452E">
      <w:pPr>
        <w:jc w:val="both"/>
        <w:rPr>
          <w:i/>
          <w:color w:val="0000FF"/>
          <w:lang w:val="nl-BE"/>
        </w:rPr>
      </w:pPr>
      <w:r w:rsidRPr="00E6515F">
        <w:rPr>
          <w:i/>
          <w:color w:val="0000FF"/>
          <w:lang w:val="nl-BE"/>
        </w:rPr>
        <w:t>SD 2 We willen, vertrekkend van de mogelijkheden van mensen, zorg op maat realiseren</w:t>
      </w:r>
    </w:p>
    <w:p w:rsidR="0085452E" w:rsidRPr="00E6515F" w:rsidRDefault="0085452E" w:rsidP="0085452E">
      <w:pPr>
        <w:jc w:val="both"/>
        <w:rPr>
          <w:i/>
          <w:color w:val="0000FF"/>
          <w:lang w:val="nl-BE"/>
        </w:rPr>
      </w:pPr>
      <w:r w:rsidRPr="00E6515F">
        <w:rPr>
          <w:i/>
          <w:color w:val="0000FF"/>
          <w:lang w:val="nl-BE"/>
        </w:rPr>
        <w:t>OD 2.2 We zetten voor personen met een beperking, geënt op de persoonsvolgende financiering en conform Perspectief 2020, verder in op innovatie en uitbreiding zodat zij hun zorg maximaal in eigen regie vorm kunnen geven</w:t>
      </w:r>
    </w:p>
    <w:p w:rsidR="0085452E" w:rsidRPr="00E6515F" w:rsidRDefault="0085452E" w:rsidP="0085452E">
      <w:pPr>
        <w:jc w:val="both"/>
        <w:rPr>
          <w:i/>
          <w:color w:val="0000FF"/>
          <w:lang w:val="nl-BE"/>
        </w:rPr>
      </w:pPr>
    </w:p>
    <w:p w:rsidR="0085452E" w:rsidRPr="00E6515F" w:rsidRDefault="0085452E" w:rsidP="0085452E">
      <w:pPr>
        <w:jc w:val="both"/>
        <w:rPr>
          <w:b/>
          <w:color w:val="38761D"/>
          <w:lang w:val="nl-BE"/>
        </w:rPr>
      </w:pPr>
      <w:r w:rsidRPr="00E6515F">
        <w:rPr>
          <w:b/>
          <w:color w:val="38761D"/>
          <w:lang w:val="nl-BE"/>
        </w:rPr>
        <w:t>OOD 1.2 We voeren een systeemwijziging door met het oog op de realisatie van Perspectief 2020</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We willen personen met een beperking informeren en engageren rond de op til staande veranderingen. Met het oog daarop zoeken we samenwerkingen met betrokken partners en actoren uit de sector om communicatie-initiatieven op te zetten en te organiseren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Op 28 april 2015 vond het congres DURF2020 plaats. </w:t>
      </w:r>
      <w:r w:rsidR="00AF43D6" w:rsidRPr="00E6515F">
        <w:rPr>
          <w:lang w:val="nl-BE"/>
        </w:rPr>
        <w:t>D</w:t>
      </w:r>
      <w:r w:rsidR="00AF43D6">
        <w:rPr>
          <w:lang w:val="nl-BE"/>
        </w:rPr>
        <w:t>a</w:t>
      </w:r>
      <w:r w:rsidR="00AF43D6" w:rsidRPr="00E6515F">
        <w:rPr>
          <w:lang w:val="nl-BE"/>
        </w:rPr>
        <w:t xml:space="preserve">t </w:t>
      </w:r>
      <w:r w:rsidRPr="00E6515F">
        <w:rPr>
          <w:lang w:val="nl-BE"/>
        </w:rPr>
        <w:t xml:space="preserve">was met 750 deelnemers (personen met een handicap, hun netwerk en professionelen) een succes: mensen met een handicap werden op een actieve manier betrokken. Een en ander resulteerde in het ‘Uitdaagboek van en voor Durvers’ dat op 3 domeinen telkens 7 concrete en praktische aanbevelingen formuleert die mensen met een handicap belangrijk vinden: </w:t>
      </w:r>
      <w:r w:rsidR="00025516">
        <w:rPr>
          <w:lang w:val="nl-BE"/>
        </w:rPr>
        <w:t>over</w:t>
      </w:r>
      <w:r w:rsidR="00025516" w:rsidRPr="00E6515F">
        <w:rPr>
          <w:lang w:val="nl-BE"/>
        </w:rPr>
        <w:t xml:space="preserve"> </w:t>
      </w:r>
      <w:r w:rsidRPr="00E6515F">
        <w:rPr>
          <w:lang w:val="nl-BE"/>
        </w:rPr>
        <w:t xml:space="preserve">zelfregie, </w:t>
      </w:r>
      <w:r w:rsidR="00025516">
        <w:rPr>
          <w:lang w:val="nl-BE"/>
        </w:rPr>
        <w:t>over</w:t>
      </w:r>
      <w:r w:rsidR="00025516" w:rsidRPr="00E6515F">
        <w:rPr>
          <w:lang w:val="nl-BE"/>
        </w:rPr>
        <w:t xml:space="preserve"> </w:t>
      </w:r>
      <w:r w:rsidRPr="00E6515F">
        <w:rPr>
          <w:lang w:val="nl-BE"/>
        </w:rPr>
        <w:t>een betrokken samenleving (inclusie) en over ‘samen naar verandering’ (omkadering bij de veranderingen).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Daarnaast zette het VAPH de voorbije periode heel sterk in op communicatie naar de diverse stakeholders en in het bijzonder de personen met een handicap en hun gezinsleden zelf:</w:t>
      </w:r>
    </w:p>
    <w:p w:rsidR="0085452E" w:rsidRPr="00E6515F" w:rsidRDefault="0085452E" w:rsidP="0085452E">
      <w:pPr>
        <w:jc w:val="both"/>
        <w:rPr>
          <w:lang w:val="nl-BE"/>
        </w:rPr>
      </w:pPr>
    </w:p>
    <w:p w:rsidR="0085452E" w:rsidRPr="00E6515F" w:rsidRDefault="00025516" w:rsidP="0085452E">
      <w:pPr>
        <w:numPr>
          <w:ilvl w:val="0"/>
          <w:numId w:val="21"/>
        </w:numPr>
        <w:spacing w:after="240"/>
        <w:contextualSpacing/>
        <w:jc w:val="both"/>
        <w:rPr>
          <w:lang w:val="nl-BE"/>
        </w:rPr>
      </w:pPr>
      <w:r>
        <w:rPr>
          <w:lang w:val="nl-BE"/>
        </w:rPr>
        <w:t>E</w:t>
      </w:r>
      <w:r w:rsidRPr="00E6515F">
        <w:rPr>
          <w:lang w:val="nl-BE"/>
        </w:rPr>
        <w:t xml:space="preserve">en </w:t>
      </w:r>
      <w:r w:rsidR="0085452E" w:rsidRPr="00E6515F">
        <w:rPr>
          <w:lang w:val="nl-BE"/>
        </w:rPr>
        <w:t>communicatie-overleg werd geïnstalleerd met het oog op het gezamenlijk verspreiden en uitdragen van dezelfde communicatieve boodschappen</w:t>
      </w:r>
      <w:r>
        <w:rPr>
          <w:lang w:val="nl-BE"/>
        </w:rPr>
        <w:t>.</w:t>
      </w:r>
    </w:p>
    <w:p w:rsidR="0085452E" w:rsidRPr="00E6515F" w:rsidRDefault="00025516" w:rsidP="0085452E">
      <w:pPr>
        <w:numPr>
          <w:ilvl w:val="0"/>
          <w:numId w:val="21"/>
        </w:numPr>
        <w:spacing w:after="240"/>
        <w:contextualSpacing/>
        <w:jc w:val="both"/>
        <w:rPr>
          <w:lang w:val="nl-BE"/>
        </w:rPr>
      </w:pPr>
      <w:r>
        <w:rPr>
          <w:lang w:val="nl-BE"/>
        </w:rPr>
        <w:t>R</w:t>
      </w:r>
      <w:r w:rsidRPr="00E6515F">
        <w:rPr>
          <w:lang w:val="nl-BE"/>
        </w:rPr>
        <w:t xml:space="preserve">ond </w:t>
      </w:r>
      <w:r w:rsidR="0085452E" w:rsidRPr="00E6515F">
        <w:rPr>
          <w:lang w:val="nl-BE"/>
        </w:rPr>
        <w:t xml:space="preserve">elk onderdeel van de implementatie en de transitie van </w:t>
      </w:r>
      <w:r w:rsidR="009F5B77">
        <w:rPr>
          <w:lang w:val="nl-BE"/>
        </w:rPr>
        <w:t>persoonsvolgende financiering</w:t>
      </w:r>
      <w:r w:rsidR="0085452E" w:rsidRPr="00E6515F">
        <w:rPr>
          <w:lang w:val="nl-BE"/>
        </w:rPr>
        <w:t xml:space="preserve"> werd de voorbije periode tijdig en laagdrempelig de nodige communicatie gevoerd: via </w:t>
      </w:r>
      <w:proofErr w:type="spellStart"/>
      <w:r w:rsidR="0085452E" w:rsidRPr="00E6515F">
        <w:rPr>
          <w:lang w:val="nl-BE"/>
        </w:rPr>
        <w:t>webluiken</w:t>
      </w:r>
      <w:proofErr w:type="spellEnd"/>
      <w:r w:rsidR="0085452E" w:rsidRPr="00E6515F">
        <w:rPr>
          <w:lang w:val="nl-BE"/>
        </w:rPr>
        <w:t xml:space="preserve">, </w:t>
      </w:r>
      <w:proofErr w:type="spellStart"/>
      <w:r w:rsidR="0085452E" w:rsidRPr="00E6515F">
        <w:rPr>
          <w:lang w:val="nl-BE"/>
        </w:rPr>
        <w:t>veelgestelde</w:t>
      </w:r>
      <w:proofErr w:type="spellEnd"/>
      <w:r w:rsidR="0085452E" w:rsidRPr="00E6515F">
        <w:rPr>
          <w:lang w:val="nl-BE"/>
        </w:rPr>
        <w:t xml:space="preserve"> vragen, animatiefilmpjes en informatiesessies voor personen met een handicap en voor professionals</w:t>
      </w:r>
      <w:r>
        <w:rPr>
          <w:lang w:val="nl-BE"/>
        </w:rPr>
        <w:t>.</w:t>
      </w:r>
    </w:p>
    <w:p w:rsidR="0085452E" w:rsidRPr="00E6515F" w:rsidRDefault="00025516" w:rsidP="0085452E">
      <w:pPr>
        <w:numPr>
          <w:ilvl w:val="0"/>
          <w:numId w:val="21"/>
        </w:numPr>
        <w:spacing w:after="240"/>
        <w:contextualSpacing/>
        <w:jc w:val="both"/>
        <w:rPr>
          <w:lang w:val="nl-BE"/>
        </w:rPr>
      </w:pPr>
      <w:r>
        <w:rPr>
          <w:lang w:val="nl-BE"/>
        </w:rPr>
        <w:t>V</w:t>
      </w:r>
      <w:r w:rsidRPr="00E6515F">
        <w:rPr>
          <w:lang w:val="nl-BE"/>
        </w:rPr>
        <w:t xml:space="preserve">oor </w:t>
      </w:r>
      <w:r w:rsidR="0085452E" w:rsidRPr="00E6515F">
        <w:rPr>
          <w:lang w:val="nl-BE"/>
        </w:rPr>
        <w:t xml:space="preserve">de professionals werd een volledig vormingsplan uitgewerkt en gerealiseerd, onder meer </w:t>
      </w:r>
      <w:r>
        <w:rPr>
          <w:lang w:val="nl-BE"/>
        </w:rPr>
        <w:t>over</w:t>
      </w:r>
      <w:r w:rsidRPr="00E6515F">
        <w:rPr>
          <w:lang w:val="nl-BE"/>
        </w:rPr>
        <w:t xml:space="preserve"> </w:t>
      </w:r>
      <w:r w:rsidR="0085452E" w:rsidRPr="00E6515F">
        <w:rPr>
          <w:lang w:val="nl-BE"/>
        </w:rPr>
        <w:t>vergunn</w:t>
      </w:r>
      <w:r>
        <w:rPr>
          <w:lang w:val="nl-BE"/>
        </w:rPr>
        <w:t>ing</w:t>
      </w:r>
      <w:r w:rsidR="0085452E" w:rsidRPr="00E6515F">
        <w:rPr>
          <w:lang w:val="nl-BE"/>
        </w:rPr>
        <w:t xml:space="preserve"> en </w:t>
      </w:r>
      <w:r w:rsidRPr="00E6515F">
        <w:rPr>
          <w:lang w:val="nl-BE"/>
        </w:rPr>
        <w:t>bested</w:t>
      </w:r>
      <w:r>
        <w:rPr>
          <w:lang w:val="nl-BE"/>
        </w:rPr>
        <w:t>ing</w:t>
      </w:r>
      <w:r w:rsidR="0085452E" w:rsidRPr="00E6515F">
        <w:rPr>
          <w:lang w:val="nl-BE"/>
        </w:rPr>
        <w:t>, transitie en het nieuwe subsidiesysteem</w:t>
      </w:r>
      <w:r>
        <w:rPr>
          <w:lang w:val="nl-BE"/>
        </w:rPr>
        <w:t>.</w:t>
      </w:r>
      <w:r w:rsidRPr="00E6515F">
        <w:rPr>
          <w:lang w:val="nl-BE"/>
        </w:rPr>
        <w:t xml:space="preserve"> </w:t>
      </w:r>
    </w:p>
    <w:p w:rsidR="0085452E" w:rsidRPr="00E6515F" w:rsidRDefault="00025516" w:rsidP="0085452E">
      <w:pPr>
        <w:numPr>
          <w:ilvl w:val="0"/>
          <w:numId w:val="21"/>
        </w:numPr>
        <w:spacing w:after="240"/>
        <w:contextualSpacing/>
        <w:jc w:val="both"/>
        <w:rPr>
          <w:lang w:val="nl-BE"/>
        </w:rPr>
      </w:pPr>
      <w:r>
        <w:rPr>
          <w:lang w:val="nl-BE"/>
        </w:rPr>
        <w:t>I</w:t>
      </w:r>
      <w:r w:rsidRPr="00E6515F">
        <w:rPr>
          <w:lang w:val="nl-BE"/>
        </w:rPr>
        <w:t xml:space="preserve">n </w:t>
      </w:r>
      <w:r w:rsidR="0085452E" w:rsidRPr="00E6515F">
        <w:rPr>
          <w:lang w:val="nl-BE"/>
        </w:rPr>
        <w:t>samenwerking met de Vlaamse Infolijn (1700)  versterkte het VAPH zijn telefonische helpdeskdienstverlening. Een pool van 24 operatoren, die in de VAPH-materie werden opgeleid, behandelen  in de eerste lijn gemiddeld 160 telefoons</w:t>
      </w:r>
      <w:r>
        <w:rPr>
          <w:lang w:val="nl-BE"/>
        </w:rPr>
        <w:t xml:space="preserve"> per </w:t>
      </w:r>
      <w:r w:rsidR="0085452E" w:rsidRPr="00E6515F">
        <w:rPr>
          <w:lang w:val="nl-BE"/>
        </w:rPr>
        <w:t>dag. Zij antwoorden op basis van permanent geactualiseerde scripts.  Daarnaast worden complexe</w:t>
      </w:r>
      <w:r>
        <w:rPr>
          <w:lang w:val="nl-BE"/>
        </w:rPr>
        <w:t>re</w:t>
      </w:r>
      <w:r w:rsidR="0085452E" w:rsidRPr="00E6515F">
        <w:rPr>
          <w:lang w:val="nl-BE"/>
        </w:rPr>
        <w:t xml:space="preserve"> vragen geëscaleerd naar gespecialiseerde tweedelijns </w:t>
      </w:r>
      <w:proofErr w:type="spellStart"/>
      <w:r w:rsidRPr="00E6515F">
        <w:rPr>
          <w:lang w:val="nl-BE"/>
        </w:rPr>
        <w:t>helpdesk</w:t>
      </w:r>
      <w:r>
        <w:rPr>
          <w:lang w:val="nl-BE"/>
        </w:rPr>
        <w:t>s</w:t>
      </w:r>
      <w:proofErr w:type="spellEnd"/>
      <w:r>
        <w:rPr>
          <w:lang w:val="nl-BE"/>
        </w:rPr>
        <w:t>.</w:t>
      </w:r>
      <w:r w:rsidRPr="00E6515F">
        <w:rPr>
          <w:lang w:val="nl-BE"/>
        </w:rPr>
        <w:t xml:space="preserve"> </w:t>
      </w:r>
    </w:p>
    <w:p w:rsidR="0085452E" w:rsidRPr="00E6515F" w:rsidRDefault="00025516" w:rsidP="0085452E">
      <w:pPr>
        <w:numPr>
          <w:ilvl w:val="0"/>
          <w:numId w:val="21"/>
        </w:numPr>
        <w:spacing w:after="240"/>
        <w:contextualSpacing/>
        <w:jc w:val="both"/>
        <w:rPr>
          <w:lang w:val="nl-BE"/>
        </w:rPr>
      </w:pPr>
      <w:r>
        <w:rPr>
          <w:lang w:val="nl-BE"/>
        </w:rPr>
        <w:t>D</w:t>
      </w:r>
      <w:r w:rsidRPr="00E6515F">
        <w:rPr>
          <w:lang w:val="nl-BE"/>
        </w:rPr>
        <w:t xml:space="preserve">e </w:t>
      </w:r>
      <w:r w:rsidR="0085452E" w:rsidRPr="00E6515F">
        <w:rPr>
          <w:lang w:val="nl-BE"/>
        </w:rPr>
        <w:t>nieuwe website vaph.be werd in juni 2017 gelanceerd</w:t>
      </w:r>
      <w:r>
        <w:rPr>
          <w:lang w:val="nl-BE"/>
        </w:rPr>
        <w:t>.</w:t>
      </w:r>
      <w:r w:rsidRPr="00E6515F">
        <w:rPr>
          <w:lang w:val="nl-BE"/>
        </w:rPr>
        <w:t xml:space="preserve"> </w:t>
      </w:r>
      <w:r>
        <w:rPr>
          <w:lang w:val="nl-BE"/>
        </w:rPr>
        <w:t>T</w:t>
      </w:r>
      <w:r w:rsidRPr="00E6515F">
        <w:rPr>
          <w:lang w:val="nl-BE"/>
        </w:rPr>
        <w:t xml:space="preserve">en </w:t>
      </w:r>
      <w:r w:rsidR="0085452E" w:rsidRPr="00E6515F">
        <w:rPr>
          <w:lang w:val="nl-BE"/>
        </w:rPr>
        <w:t xml:space="preserve">opzichte van de vroegere website werden de navigatie en de gebruiksvriendelijkheid van de site grondig herwerkt. Via vaph.be communiceert het VAPH </w:t>
      </w:r>
      <w:r>
        <w:rPr>
          <w:lang w:val="nl-BE"/>
        </w:rPr>
        <w:t>over</w:t>
      </w:r>
      <w:r w:rsidRPr="00E6515F">
        <w:rPr>
          <w:lang w:val="nl-BE"/>
        </w:rPr>
        <w:t xml:space="preserve"> </w:t>
      </w:r>
      <w:r w:rsidR="0085452E" w:rsidRPr="00E6515F">
        <w:rPr>
          <w:lang w:val="nl-BE"/>
        </w:rPr>
        <w:t xml:space="preserve">de VAPH-ondersteuning en </w:t>
      </w:r>
      <w:r>
        <w:rPr>
          <w:lang w:val="nl-BE"/>
        </w:rPr>
        <w:t>over</w:t>
      </w:r>
      <w:r w:rsidRPr="00E6515F">
        <w:rPr>
          <w:lang w:val="nl-BE"/>
        </w:rPr>
        <w:t xml:space="preserve"> </w:t>
      </w:r>
      <w:r w:rsidR="0085452E" w:rsidRPr="00E6515F">
        <w:rPr>
          <w:lang w:val="nl-BE"/>
        </w:rPr>
        <w:t xml:space="preserve">verschillende thema’s: zorgcontinuïteit bij de overstap naar de meerderjarigenondersteuning, vrijwillige overstap naar </w:t>
      </w:r>
      <w:r>
        <w:rPr>
          <w:lang w:val="nl-BE"/>
        </w:rPr>
        <w:t xml:space="preserve">het </w:t>
      </w:r>
      <w:r w:rsidRPr="001A7677">
        <w:rPr>
          <w:lang w:val="nl-BE"/>
        </w:rPr>
        <w:t xml:space="preserve">zorgbudget voor mensen met een handicap </w:t>
      </w:r>
      <w:r w:rsidRPr="001A7677">
        <w:rPr>
          <w:lang w:val="nl-BE"/>
        </w:rPr>
        <w:lastRenderedPageBreak/>
        <w:t>(</w:t>
      </w:r>
      <w:proofErr w:type="spellStart"/>
      <w:r w:rsidRPr="001A7677">
        <w:rPr>
          <w:lang w:val="nl-BE"/>
        </w:rPr>
        <w:t>basisondersteuningsbudget</w:t>
      </w:r>
      <w:proofErr w:type="spellEnd"/>
      <w:r w:rsidRPr="001A7677">
        <w:rPr>
          <w:lang w:val="nl-BE"/>
        </w:rPr>
        <w:t>)</w:t>
      </w:r>
      <w:r w:rsidR="0085452E" w:rsidRPr="00E6515F">
        <w:rPr>
          <w:lang w:val="nl-BE"/>
        </w:rPr>
        <w:t>, herberekening</w:t>
      </w:r>
      <w:r>
        <w:rPr>
          <w:lang w:val="nl-BE"/>
        </w:rPr>
        <w:t xml:space="preserve"> van het</w:t>
      </w:r>
      <w:r w:rsidR="0085452E" w:rsidRPr="00E6515F">
        <w:rPr>
          <w:lang w:val="nl-BE"/>
        </w:rPr>
        <w:t xml:space="preserve"> </w:t>
      </w:r>
      <w:r w:rsidR="00DD02E4">
        <w:rPr>
          <w:lang w:val="nl-BE"/>
        </w:rPr>
        <w:t>persoonsvolgend budget</w:t>
      </w:r>
      <w:r w:rsidR="0085452E" w:rsidRPr="00E6515F">
        <w:rPr>
          <w:lang w:val="nl-BE"/>
        </w:rPr>
        <w:t xml:space="preserve"> met brievenronde ... Zo bieden we via het digitale platform informatie over de procedures, transitie-informatie, de mogelijkheden</w:t>
      </w:r>
      <w:r w:rsidRPr="00E6515F">
        <w:rPr>
          <w:lang w:val="nl-BE"/>
        </w:rPr>
        <w:t xml:space="preserve"> </w:t>
      </w:r>
      <w:r w:rsidR="0085452E" w:rsidRPr="00E6515F">
        <w:rPr>
          <w:lang w:val="nl-BE"/>
        </w:rPr>
        <w:t>…</w:t>
      </w:r>
    </w:p>
    <w:p w:rsidR="0085452E" w:rsidRPr="00E6515F" w:rsidRDefault="00025516" w:rsidP="0085452E">
      <w:pPr>
        <w:numPr>
          <w:ilvl w:val="0"/>
          <w:numId w:val="21"/>
        </w:numPr>
        <w:spacing w:after="240"/>
        <w:contextualSpacing/>
        <w:jc w:val="both"/>
        <w:rPr>
          <w:lang w:val="nl-BE"/>
        </w:rPr>
      </w:pPr>
      <w:r>
        <w:rPr>
          <w:lang w:val="nl-BE"/>
        </w:rPr>
        <w:t>O</w:t>
      </w:r>
      <w:r w:rsidRPr="00E6515F">
        <w:rPr>
          <w:lang w:val="nl-BE"/>
        </w:rPr>
        <w:t xml:space="preserve">p </w:t>
      </w:r>
      <w:r w:rsidR="0085452E" w:rsidRPr="00E6515F">
        <w:rPr>
          <w:lang w:val="nl-BE"/>
        </w:rPr>
        <w:t xml:space="preserve">de website </w:t>
      </w:r>
      <w:r w:rsidR="001E09E7">
        <w:rPr>
          <w:lang w:val="nl-BE"/>
        </w:rPr>
        <w:t>vaph.be</w:t>
      </w:r>
      <w:r w:rsidR="0085452E" w:rsidRPr="00E6515F">
        <w:rPr>
          <w:lang w:val="nl-BE"/>
        </w:rPr>
        <w:t xml:space="preserve"> werd een aparte zoekmachine geïnstalleerd zodat personen met een handicap vlot en gericht kunnen zoeken naar een voor hen gepaste ondersteuning (wegwijzer VAPH-ondersteuning). </w:t>
      </w:r>
      <w:r w:rsidR="001E09E7">
        <w:rPr>
          <w:lang w:val="nl-BE"/>
        </w:rPr>
        <w:t>Daarin</w:t>
      </w:r>
      <w:r w:rsidR="001E09E7" w:rsidRPr="00E6515F">
        <w:rPr>
          <w:lang w:val="nl-BE"/>
        </w:rPr>
        <w:t xml:space="preserve"> </w:t>
      </w:r>
      <w:r w:rsidR="0085452E" w:rsidRPr="00E6515F">
        <w:rPr>
          <w:lang w:val="nl-BE"/>
        </w:rPr>
        <w:t xml:space="preserve">hebben 223 vergunde zorgaanbieders hun aanbod geregistreerd. Gemiddeld worden </w:t>
      </w:r>
      <w:r w:rsidR="001E09E7">
        <w:rPr>
          <w:lang w:val="nl-BE"/>
        </w:rPr>
        <w:t>zo’n</w:t>
      </w:r>
      <w:r w:rsidR="0085452E" w:rsidRPr="00E6515F">
        <w:rPr>
          <w:lang w:val="nl-BE"/>
        </w:rPr>
        <w:t xml:space="preserve"> 40 zoekopdrachten per dag uitgevoerd</w:t>
      </w:r>
      <w:r w:rsidR="001E09E7">
        <w:rPr>
          <w:lang w:val="nl-BE"/>
        </w:rPr>
        <w:t>.</w:t>
      </w:r>
      <w:r w:rsidR="001E09E7" w:rsidRPr="00E6515F">
        <w:rPr>
          <w:lang w:val="nl-BE"/>
        </w:rPr>
        <w:t xml:space="preserve"> </w:t>
      </w:r>
    </w:p>
    <w:p w:rsidR="0085452E" w:rsidRPr="00E6515F" w:rsidRDefault="001E09E7" w:rsidP="0085452E">
      <w:pPr>
        <w:numPr>
          <w:ilvl w:val="0"/>
          <w:numId w:val="21"/>
        </w:numPr>
        <w:spacing w:after="240"/>
        <w:contextualSpacing/>
        <w:jc w:val="both"/>
        <w:rPr>
          <w:lang w:val="nl-BE"/>
        </w:rPr>
      </w:pPr>
      <w:r>
        <w:rPr>
          <w:lang w:val="nl-BE"/>
        </w:rPr>
        <w:t>In</w:t>
      </w:r>
      <w:r w:rsidRPr="00E6515F">
        <w:rPr>
          <w:lang w:val="nl-BE"/>
        </w:rPr>
        <w:t xml:space="preserve"> </w:t>
      </w:r>
      <w:r w:rsidR="0085452E" w:rsidRPr="00E6515F">
        <w:rPr>
          <w:lang w:val="nl-BE"/>
        </w:rPr>
        <w:t xml:space="preserve">juni 2017 werd gestart met een maandelijkse nieuwsbrief over de dienstverlening van het VAPH voor personen met een handicap en hun omgeving. In </w:t>
      </w:r>
      <w:r>
        <w:rPr>
          <w:lang w:val="nl-BE"/>
        </w:rPr>
        <w:t xml:space="preserve">december </w:t>
      </w:r>
      <w:r w:rsidR="0085452E" w:rsidRPr="00E6515F">
        <w:rPr>
          <w:lang w:val="nl-BE"/>
        </w:rPr>
        <w:t xml:space="preserve">2018 hadden </w:t>
      </w:r>
      <w:r>
        <w:rPr>
          <w:lang w:val="nl-BE"/>
        </w:rPr>
        <w:t>3669</w:t>
      </w:r>
      <w:r w:rsidRPr="00E6515F">
        <w:rPr>
          <w:lang w:val="nl-BE"/>
        </w:rPr>
        <w:t xml:space="preserve"> </w:t>
      </w:r>
      <w:r w:rsidR="0085452E" w:rsidRPr="00E6515F">
        <w:rPr>
          <w:lang w:val="nl-BE"/>
        </w:rPr>
        <w:t>mensen zich geabonneerd</w:t>
      </w:r>
      <w:r>
        <w:rPr>
          <w:lang w:val="nl-BE"/>
        </w:rPr>
        <w:t>.</w:t>
      </w:r>
    </w:p>
    <w:p w:rsidR="0085452E" w:rsidRPr="00E6515F" w:rsidRDefault="001E09E7" w:rsidP="0085452E">
      <w:pPr>
        <w:numPr>
          <w:ilvl w:val="0"/>
          <w:numId w:val="21"/>
        </w:numPr>
        <w:spacing w:after="240"/>
        <w:contextualSpacing/>
        <w:jc w:val="both"/>
        <w:rPr>
          <w:lang w:val="nl-BE"/>
        </w:rPr>
      </w:pPr>
      <w:r>
        <w:rPr>
          <w:lang w:val="nl-BE"/>
        </w:rPr>
        <w:t>S</w:t>
      </w:r>
      <w:r w:rsidRPr="00E6515F">
        <w:rPr>
          <w:lang w:val="nl-BE"/>
        </w:rPr>
        <w:t xml:space="preserve">amen </w:t>
      </w:r>
      <w:r w:rsidR="0085452E" w:rsidRPr="00E6515F">
        <w:rPr>
          <w:lang w:val="nl-BE"/>
        </w:rPr>
        <w:t xml:space="preserve">met de sector werd een </w:t>
      </w:r>
      <w:proofErr w:type="spellStart"/>
      <w:r w:rsidR="0085452E" w:rsidRPr="00E6515F">
        <w:rPr>
          <w:lang w:val="nl-BE"/>
        </w:rPr>
        <w:t>factcheck</w:t>
      </w:r>
      <w:proofErr w:type="spellEnd"/>
      <w:r w:rsidR="0085452E" w:rsidRPr="00E6515F">
        <w:rPr>
          <w:lang w:val="nl-BE"/>
        </w:rPr>
        <w:t xml:space="preserve"> opgesteld en gelanceerd op vaph.be en via de communicatiekanalen van de leden van het communicatie-overleg </w:t>
      </w:r>
      <w:r w:rsidR="009F5B77">
        <w:rPr>
          <w:lang w:val="nl-BE"/>
        </w:rPr>
        <w:t>persoonsvolgende financiering</w:t>
      </w:r>
      <w:r>
        <w:rPr>
          <w:lang w:val="nl-BE"/>
        </w:rPr>
        <w:t>.</w:t>
      </w:r>
    </w:p>
    <w:p w:rsidR="0085452E" w:rsidRPr="00E6515F" w:rsidRDefault="001E09E7" w:rsidP="0085452E">
      <w:pPr>
        <w:numPr>
          <w:ilvl w:val="0"/>
          <w:numId w:val="21"/>
        </w:numPr>
        <w:spacing w:after="240"/>
        <w:contextualSpacing/>
        <w:jc w:val="both"/>
        <w:rPr>
          <w:lang w:val="nl-BE"/>
        </w:rPr>
      </w:pPr>
      <w:r>
        <w:rPr>
          <w:lang w:val="nl-BE"/>
        </w:rPr>
        <w:t>H</w:t>
      </w:r>
      <w:r w:rsidRPr="00E6515F">
        <w:rPr>
          <w:lang w:val="nl-BE"/>
        </w:rPr>
        <w:t xml:space="preserve">et </w:t>
      </w:r>
      <w:r w:rsidR="0085452E" w:rsidRPr="00E6515F">
        <w:rPr>
          <w:lang w:val="nl-BE"/>
        </w:rPr>
        <w:t xml:space="preserve">folderaanbod werd grondig onder de loep genomen en geherstructureerd: om laagdrempelig informatie te bieden en rekening te houden met de digitale kloof, biedt het VAPH ook via </w:t>
      </w:r>
      <w:r w:rsidR="00626372">
        <w:rPr>
          <w:lang w:val="nl-BE"/>
        </w:rPr>
        <w:t>die</w:t>
      </w:r>
      <w:r w:rsidR="00626372" w:rsidRPr="00E6515F">
        <w:rPr>
          <w:lang w:val="nl-BE"/>
        </w:rPr>
        <w:t xml:space="preserve"> </w:t>
      </w:r>
      <w:r w:rsidR="0085452E" w:rsidRPr="00E6515F">
        <w:rPr>
          <w:lang w:val="nl-BE"/>
        </w:rPr>
        <w:t>weg informatie over de VAPH-ondersteuning</w:t>
      </w:r>
      <w:r w:rsidR="00626372">
        <w:rPr>
          <w:lang w:val="nl-BE"/>
        </w:rPr>
        <w:t>.</w:t>
      </w:r>
    </w:p>
    <w:p w:rsidR="0085452E" w:rsidRPr="00E6515F" w:rsidRDefault="00626372" w:rsidP="0085452E">
      <w:pPr>
        <w:numPr>
          <w:ilvl w:val="0"/>
          <w:numId w:val="21"/>
        </w:numPr>
        <w:spacing w:after="240"/>
        <w:contextualSpacing/>
        <w:jc w:val="both"/>
        <w:rPr>
          <w:lang w:val="nl-BE"/>
        </w:rPr>
      </w:pPr>
      <w:r>
        <w:rPr>
          <w:lang w:val="nl-BE"/>
        </w:rPr>
        <w:t>D</w:t>
      </w:r>
      <w:r w:rsidRPr="00E6515F">
        <w:rPr>
          <w:lang w:val="nl-BE"/>
        </w:rPr>
        <w:t xml:space="preserve">riemaandelijks </w:t>
      </w:r>
      <w:r w:rsidR="0085452E" w:rsidRPr="00E6515F">
        <w:rPr>
          <w:lang w:val="nl-BE"/>
        </w:rPr>
        <w:t xml:space="preserve">verschijnt het magazine </w:t>
      </w:r>
      <w:r>
        <w:rPr>
          <w:lang w:val="nl-BE"/>
        </w:rPr>
        <w:t>Sterk</w:t>
      </w:r>
      <w:r w:rsidRPr="00E6515F">
        <w:rPr>
          <w:lang w:val="nl-BE"/>
        </w:rPr>
        <w:t xml:space="preserve"> </w:t>
      </w:r>
      <w:r w:rsidR="0085452E" w:rsidRPr="00E6515F">
        <w:rPr>
          <w:lang w:val="nl-BE"/>
        </w:rPr>
        <w:t xml:space="preserve">met persoonlijke verhalen </w:t>
      </w:r>
      <w:r>
        <w:rPr>
          <w:lang w:val="nl-BE"/>
        </w:rPr>
        <w:t>over</w:t>
      </w:r>
      <w:r w:rsidRPr="00E6515F">
        <w:rPr>
          <w:lang w:val="nl-BE"/>
        </w:rPr>
        <w:t xml:space="preserve"> </w:t>
      </w:r>
      <w:r w:rsidR="009F5B77">
        <w:rPr>
          <w:lang w:val="nl-BE"/>
        </w:rPr>
        <w:t>persoonsvolgende financiering</w:t>
      </w:r>
      <w:r w:rsidR="0085452E" w:rsidRPr="00E6515F">
        <w:rPr>
          <w:lang w:val="nl-BE"/>
        </w:rPr>
        <w:t xml:space="preserve"> en zelfregie.</w:t>
      </w:r>
    </w:p>
    <w:p w:rsidR="0085452E" w:rsidRPr="00E6515F" w:rsidRDefault="0085452E" w:rsidP="0085452E">
      <w:pPr>
        <w:spacing w:after="240"/>
        <w:ind w:left="720"/>
        <w:contextualSpacing/>
        <w:jc w:val="both"/>
        <w:rPr>
          <w:lang w:val="nl-BE"/>
        </w:rPr>
      </w:pPr>
    </w:p>
    <w:p w:rsidR="0085452E" w:rsidRPr="00E6515F" w:rsidRDefault="0085452E" w:rsidP="0085452E">
      <w:pPr>
        <w:jc w:val="both"/>
        <w:rPr>
          <w:b/>
          <w:lang w:val="nl-BE"/>
        </w:rPr>
      </w:pPr>
      <w:r w:rsidRPr="00E6515F">
        <w:rPr>
          <w:b/>
          <w:lang w:val="nl-BE"/>
        </w:rPr>
        <w:t xml:space="preserve">2° Voor personen met een beperking stellen we vanuit de Vlaamse Sociale Bescherming een maandelijks forfaitair </w:t>
      </w:r>
      <w:proofErr w:type="spellStart"/>
      <w:r w:rsidRPr="00E6515F">
        <w:rPr>
          <w:b/>
          <w:lang w:val="nl-BE"/>
        </w:rPr>
        <w:t>basisondersteuningsbudget</w:t>
      </w:r>
      <w:proofErr w:type="spellEnd"/>
      <w:r w:rsidRPr="00E6515F">
        <w:rPr>
          <w:b/>
          <w:lang w:val="nl-BE"/>
        </w:rPr>
        <w:t xml:space="preserve"> ter beschikking. Dat budget is combineerbaar met rechtstreeks toegankelijke </w:t>
      </w:r>
      <w:proofErr w:type="spellStart"/>
      <w:r w:rsidRPr="00E6515F">
        <w:rPr>
          <w:b/>
          <w:lang w:val="nl-BE"/>
        </w:rPr>
        <w:t>handicapspecifieke</w:t>
      </w:r>
      <w:proofErr w:type="spellEnd"/>
      <w:r w:rsidRPr="00E6515F">
        <w:rPr>
          <w:b/>
          <w:lang w:val="nl-BE"/>
        </w:rPr>
        <w:t xml:space="preserve"> ondersteuning [Gedeelde verantwoordelijkheid met Zorg &amp; Gezondheid]</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Deze legislatuur werd het zorgbudget voor </w:t>
      </w:r>
      <w:r w:rsidR="00B92A87">
        <w:rPr>
          <w:lang w:val="nl-BE"/>
        </w:rPr>
        <w:t>mensen</w:t>
      </w:r>
      <w:r w:rsidR="00B92A87" w:rsidRPr="00E6515F">
        <w:rPr>
          <w:lang w:val="nl-BE"/>
        </w:rPr>
        <w:t xml:space="preserve"> </w:t>
      </w:r>
      <w:r w:rsidRPr="00E6515F">
        <w:rPr>
          <w:lang w:val="nl-BE"/>
        </w:rPr>
        <w:t>met een handicap</w:t>
      </w:r>
      <w:r w:rsidR="00626372">
        <w:rPr>
          <w:lang w:val="nl-BE"/>
        </w:rPr>
        <w:t xml:space="preserve"> (</w:t>
      </w:r>
      <w:proofErr w:type="spellStart"/>
      <w:r w:rsidRPr="00E6515F">
        <w:rPr>
          <w:lang w:val="nl-BE"/>
        </w:rPr>
        <w:t>basisondersteuningsbudget</w:t>
      </w:r>
      <w:proofErr w:type="spellEnd"/>
      <w:r w:rsidRPr="00E6515F">
        <w:rPr>
          <w:lang w:val="nl-BE"/>
        </w:rPr>
        <w:t xml:space="preserve"> </w:t>
      </w:r>
      <w:r w:rsidR="00626372">
        <w:rPr>
          <w:lang w:val="nl-BE"/>
        </w:rPr>
        <w:t>(</w:t>
      </w:r>
      <w:r w:rsidRPr="00E6515F">
        <w:rPr>
          <w:lang w:val="nl-BE"/>
        </w:rPr>
        <w:t>BOB</w:t>
      </w:r>
      <w:r w:rsidR="00626372">
        <w:rPr>
          <w:lang w:val="nl-BE"/>
        </w:rPr>
        <w:t>))</w:t>
      </w:r>
      <w:r w:rsidRPr="00E6515F">
        <w:rPr>
          <w:lang w:val="nl-BE"/>
        </w:rPr>
        <w:t xml:space="preserve"> gefaseerd ingevoerd. De aanvankelijk vooropgestelde groepen </w:t>
      </w:r>
      <w:r w:rsidR="00626372">
        <w:rPr>
          <w:lang w:val="nl-BE"/>
        </w:rPr>
        <w:t>die in aanmerking komen voor een zorgbudget</w:t>
      </w:r>
      <w:r w:rsidR="00B92A87">
        <w:rPr>
          <w:lang w:val="nl-BE"/>
        </w:rPr>
        <w:t xml:space="preserve"> voor mensen met een </w:t>
      </w:r>
      <w:r w:rsidR="001A7677">
        <w:rPr>
          <w:lang w:val="nl-BE"/>
        </w:rPr>
        <w:t>handicap</w:t>
      </w:r>
      <w:r w:rsidR="00626372" w:rsidRPr="00E6515F">
        <w:rPr>
          <w:lang w:val="nl-BE"/>
        </w:rPr>
        <w:t xml:space="preserve"> </w:t>
      </w:r>
      <w:r w:rsidRPr="00E6515F">
        <w:rPr>
          <w:lang w:val="nl-BE"/>
        </w:rPr>
        <w:t>(via</w:t>
      </w:r>
      <w:r w:rsidR="00626372">
        <w:rPr>
          <w:lang w:val="nl-BE"/>
        </w:rPr>
        <w:t xml:space="preserve"> een</w:t>
      </w:r>
      <w:r w:rsidRPr="00E6515F">
        <w:rPr>
          <w:lang w:val="nl-BE"/>
        </w:rPr>
        <w:t xml:space="preserve"> attest </w:t>
      </w:r>
      <w:r w:rsidR="00626372">
        <w:rPr>
          <w:lang w:val="nl-BE"/>
        </w:rPr>
        <w:t xml:space="preserve">van het </w:t>
      </w:r>
      <w:r w:rsidRPr="00E6515F">
        <w:rPr>
          <w:lang w:val="nl-BE"/>
        </w:rPr>
        <w:t xml:space="preserve">VAPH, </w:t>
      </w:r>
      <w:r w:rsidR="00626372">
        <w:rPr>
          <w:lang w:val="nl-BE"/>
        </w:rPr>
        <w:t xml:space="preserve">een </w:t>
      </w:r>
      <w:r w:rsidRPr="00E6515F">
        <w:rPr>
          <w:lang w:val="nl-BE"/>
        </w:rPr>
        <w:t xml:space="preserve">attest </w:t>
      </w:r>
      <w:r w:rsidR="00626372">
        <w:rPr>
          <w:lang w:val="nl-BE"/>
        </w:rPr>
        <w:t>van de intersectorale toegangspoort</w:t>
      </w:r>
      <w:r w:rsidRPr="00E6515F">
        <w:rPr>
          <w:lang w:val="nl-BE"/>
        </w:rPr>
        <w:t xml:space="preserve">, </w:t>
      </w:r>
      <w:r w:rsidR="00626372">
        <w:rPr>
          <w:lang w:val="nl-BE"/>
        </w:rPr>
        <w:t xml:space="preserve">een </w:t>
      </w:r>
      <w:r w:rsidRPr="00E6515F">
        <w:rPr>
          <w:lang w:val="nl-BE"/>
        </w:rPr>
        <w:t xml:space="preserve">attest </w:t>
      </w:r>
      <w:r w:rsidR="00626372">
        <w:rPr>
          <w:lang w:val="nl-BE"/>
        </w:rPr>
        <w:t xml:space="preserve">van de </w:t>
      </w:r>
      <w:r w:rsidRPr="00E6515F">
        <w:rPr>
          <w:lang w:val="nl-BE"/>
        </w:rPr>
        <w:t xml:space="preserve">FOD </w:t>
      </w:r>
      <w:r w:rsidR="00626372">
        <w:rPr>
          <w:lang w:val="nl-BE"/>
        </w:rPr>
        <w:t>Sociale Zekerheid</w:t>
      </w:r>
      <w:r w:rsidR="00626372" w:rsidRPr="00E6515F">
        <w:rPr>
          <w:lang w:val="nl-BE"/>
        </w:rPr>
        <w:t xml:space="preserve"> </w:t>
      </w:r>
      <w:r w:rsidRPr="00E6515F">
        <w:rPr>
          <w:lang w:val="nl-BE"/>
        </w:rPr>
        <w:t xml:space="preserve">en vrijwillige overstap) </w:t>
      </w:r>
      <w:r w:rsidR="001A7677">
        <w:rPr>
          <w:lang w:val="nl-BE"/>
        </w:rPr>
        <w:t xml:space="preserve">hebben </w:t>
      </w:r>
      <w:r w:rsidRPr="00E6515F">
        <w:rPr>
          <w:lang w:val="nl-BE"/>
        </w:rPr>
        <w:t xml:space="preserve">ondertussen allemaal </w:t>
      </w:r>
      <w:r w:rsidR="001A7677">
        <w:rPr>
          <w:lang w:val="nl-BE"/>
        </w:rPr>
        <w:t>een zorgbudget toegekend gekregen</w:t>
      </w:r>
      <w:r w:rsidRPr="00E6515F">
        <w:rPr>
          <w:lang w:val="nl-BE"/>
        </w:rPr>
        <w:t xml:space="preserve">. </w:t>
      </w:r>
      <w:r w:rsidR="004E3FBE">
        <w:rPr>
          <w:lang w:val="nl-BE"/>
        </w:rPr>
        <w:t>Daarvoor</w:t>
      </w:r>
      <w:r w:rsidR="004E3FBE" w:rsidRPr="00E6515F">
        <w:rPr>
          <w:lang w:val="nl-BE"/>
        </w:rPr>
        <w:t xml:space="preserve"> </w:t>
      </w:r>
      <w:r w:rsidRPr="00E6515F">
        <w:rPr>
          <w:lang w:val="nl-BE"/>
        </w:rPr>
        <w:t xml:space="preserve">werd intensief overlegd en samengewerkt tussen de </w:t>
      </w:r>
      <w:r w:rsidR="004E3FBE">
        <w:rPr>
          <w:lang w:val="nl-BE"/>
        </w:rPr>
        <w:t>drie</w:t>
      </w:r>
      <w:r w:rsidR="004E3FBE" w:rsidRPr="00E6515F">
        <w:rPr>
          <w:lang w:val="nl-BE"/>
        </w:rPr>
        <w:t xml:space="preserve"> </w:t>
      </w:r>
      <w:r w:rsidRPr="00E6515F">
        <w:rPr>
          <w:lang w:val="nl-BE"/>
        </w:rPr>
        <w:t>betrokken agentschappen: Zorg en Gezondheid</w:t>
      </w:r>
      <w:r w:rsidR="004E3FBE">
        <w:rPr>
          <w:lang w:val="nl-BE"/>
        </w:rPr>
        <w:t xml:space="preserve"> (</w:t>
      </w:r>
      <w:r w:rsidRPr="00E6515F">
        <w:rPr>
          <w:lang w:val="nl-BE"/>
        </w:rPr>
        <w:t xml:space="preserve">afdeling Vlaamse </w:t>
      </w:r>
      <w:r w:rsidR="004E3FBE">
        <w:rPr>
          <w:lang w:val="nl-BE"/>
        </w:rPr>
        <w:t>s</w:t>
      </w:r>
      <w:r w:rsidRPr="00E6515F">
        <w:rPr>
          <w:lang w:val="nl-BE"/>
        </w:rPr>
        <w:t xml:space="preserve">ociale </w:t>
      </w:r>
      <w:r w:rsidR="004E3FBE">
        <w:rPr>
          <w:lang w:val="nl-BE"/>
        </w:rPr>
        <w:t>b</w:t>
      </w:r>
      <w:r w:rsidR="004E3FBE" w:rsidRPr="00E6515F">
        <w:rPr>
          <w:lang w:val="nl-BE"/>
        </w:rPr>
        <w:t>escherming</w:t>
      </w:r>
      <w:r w:rsidR="004E3FBE">
        <w:rPr>
          <w:lang w:val="nl-BE"/>
        </w:rPr>
        <w:t>)</w:t>
      </w:r>
      <w:r w:rsidRPr="00E6515F">
        <w:rPr>
          <w:lang w:val="nl-BE"/>
        </w:rPr>
        <w:t>, VAPH en Jongerenwelzijn</w:t>
      </w:r>
      <w:r w:rsidR="004E3FBE">
        <w:rPr>
          <w:lang w:val="nl-BE"/>
        </w:rPr>
        <w:t xml:space="preserve"> (</w:t>
      </w:r>
      <w:r w:rsidRPr="00E6515F">
        <w:rPr>
          <w:lang w:val="nl-BE"/>
        </w:rPr>
        <w:t>afdeling Intersectorale Toegangspoort</w:t>
      </w:r>
      <w:r w:rsidR="004E3FBE">
        <w:rPr>
          <w:lang w:val="nl-BE"/>
        </w:rPr>
        <w:t>)</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Eenmalige en periodieke gegevensuitwisseling tussen de verschillende agentschappen werd gerealiseerd ter ondersteuning van de uitvoering van de regelgeving rond het </w:t>
      </w:r>
      <w:r w:rsidR="004E3FBE">
        <w:rPr>
          <w:lang w:val="nl-BE"/>
        </w:rPr>
        <w:t>zorgbudget</w:t>
      </w:r>
      <w:r w:rsidR="00B92A87">
        <w:rPr>
          <w:lang w:val="nl-BE"/>
        </w:rPr>
        <w:t xml:space="preserve"> voor mensen met een handicap</w:t>
      </w:r>
      <w:r w:rsidRPr="00E6515F">
        <w:rPr>
          <w:lang w:val="nl-BE"/>
        </w:rPr>
        <w:t xml:space="preserve">. </w:t>
      </w:r>
      <w:r w:rsidR="004E3FBE">
        <w:rPr>
          <w:lang w:val="nl-BE"/>
        </w:rPr>
        <w:t>Die</w:t>
      </w:r>
      <w:r w:rsidR="004E3FBE" w:rsidRPr="00E6515F">
        <w:rPr>
          <w:lang w:val="nl-BE"/>
        </w:rPr>
        <w:t xml:space="preserve"> </w:t>
      </w:r>
      <w:r w:rsidRPr="00E6515F">
        <w:rPr>
          <w:lang w:val="nl-BE"/>
        </w:rPr>
        <w:t>gegevensuitwisseling werd continu geëvalueerd en geoptimaliseerd waar nodig.</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Een periodiek afstemmingsoverleg tussen </w:t>
      </w:r>
      <w:r w:rsidR="005B09DA">
        <w:rPr>
          <w:lang w:val="nl-BE"/>
        </w:rPr>
        <w:t>het</w:t>
      </w:r>
      <w:r w:rsidRPr="00E6515F">
        <w:rPr>
          <w:lang w:val="nl-BE"/>
        </w:rPr>
        <w:t xml:space="preserve"> VAPH </w:t>
      </w:r>
      <w:r w:rsidR="005B09DA" w:rsidRPr="00E6515F">
        <w:rPr>
          <w:lang w:val="nl-BE"/>
        </w:rPr>
        <w:t>en</w:t>
      </w:r>
      <w:r w:rsidR="005B09DA">
        <w:rPr>
          <w:lang w:val="nl-BE"/>
        </w:rPr>
        <w:t xml:space="preserve"> het agentschap </w:t>
      </w:r>
      <w:r w:rsidRPr="00E6515F">
        <w:rPr>
          <w:lang w:val="nl-BE"/>
        </w:rPr>
        <w:t xml:space="preserve">Zorg </w:t>
      </w:r>
      <w:r w:rsidR="005B09DA">
        <w:rPr>
          <w:lang w:val="nl-BE"/>
        </w:rPr>
        <w:t xml:space="preserve">en </w:t>
      </w:r>
      <w:r w:rsidR="005B09DA" w:rsidRPr="00E6515F">
        <w:rPr>
          <w:lang w:val="nl-BE"/>
        </w:rPr>
        <w:t xml:space="preserve"> </w:t>
      </w:r>
      <w:r w:rsidRPr="00E6515F">
        <w:rPr>
          <w:lang w:val="nl-BE"/>
        </w:rPr>
        <w:t>Gezondheid</w:t>
      </w:r>
      <w:r w:rsidR="005B09DA">
        <w:rPr>
          <w:lang w:val="nl-BE"/>
        </w:rPr>
        <w:t xml:space="preserve"> (afdeling </w:t>
      </w:r>
      <w:r w:rsidRPr="00E6515F">
        <w:rPr>
          <w:lang w:val="nl-BE"/>
        </w:rPr>
        <w:t>V</w:t>
      </w:r>
      <w:r w:rsidR="005B09DA">
        <w:rPr>
          <w:lang w:val="nl-BE"/>
        </w:rPr>
        <w:t>laamse sociale bescherming)</w:t>
      </w:r>
      <w:r w:rsidRPr="00E6515F">
        <w:rPr>
          <w:lang w:val="nl-BE"/>
        </w:rPr>
        <w:t xml:space="preserve"> werd geïnstalleerd. </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In 2017 en</w:t>
      </w:r>
      <w:r w:rsidR="005B09DA">
        <w:rPr>
          <w:lang w:val="nl-BE"/>
        </w:rPr>
        <w:t xml:space="preserve"> in de</w:t>
      </w:r>
      <w:r w:rsidRPr="00E6515F">
        <w:rPr>
          <w:lang w:val="nl-BE"/>
        </w:rPr>
        <w:t xml:space="preserve"> eerste helft </w:t>
      </w:r>
      <w:r w:rsidR="005B09DA">
        <w:rPr>
          <w:lang w:val="nl-BE"/>
        </w:rPr>
        <w:t xml:space="preserve">van </w:t>
      </w:r>
      <w:r w:rsidRPr="00E6515F">
        <w:rPr>
          <w:lang w:val="nl-BE"/>
        </w:rPr>
        <w:t xml:space="preserve">2018 </w:t>
      </w:r>
      <w:r w:rsidR="005B09DA" w:rsidRPr="00E6515F">
        <w:rPr>
          <w:lang w:val="nl-BE"/>
        </w:rPr>
        <w:t>voer</w:t>
      </w:r>
      <w:r w:rsidR="005B09DA">
        <w:rPr>
          <w:lang w:val="nl-BE"/>
        </w:rPr>
        <w:t>de</w:t>
      </w:r>
      <w:r w:rsidR="005B09DA" w:rsidRPr="00E6515F">
        <w:rPr>
          <w:lang w:val="nl-BE"/>
        </w:rPr>
        <w:t xml:space="preserve"> </w:t>
      </w:r>
      <w:r w:rsidRPr="00E6515F">
        <w:rPr>
          <w:lang w:val="nl-BE"/>
        </w:rPr>
        <w:t xml:space="preserve">het Steunpunt </w:t>
      </w:r>
      <w:r w:rsidR="005B09DA">
        <w:rPr>
          <w:lang w:val="nl-BE"/>
        </w:rPr>
        <w:t>Welzijn, Volksgezondheid en Gezin</w:t>
      </w:r>
      <w:r w:rsidR="005B09DA" w:rsidRPr="00E6515F">
        <w:rPr>
          <w:lang w:val="nl-BE"/>
        </w:rPr>
        <w:t xml:space="preserve"> </w:t>
      </w:r>
      <w:r w:rsidRPr="00E6515F">
        <w:rPr>
          <w:lang w:val="nl-BE"/>
        </w:rPr>
        <w:t xml:space="preserve">een onderzoek uit naar het </w:t>
      </w:r>
      <w:r w:rsidR="00B92A87">
        <w:rPr>
          <w:lang w:val="nl-BE"/>
        </w:rPr>
        <w:t>zorgbudget voor mensen met een handicap (</w:t>
      </w:r>
      <w:proofErr w:type="spellStart"/>
      <w:r w:rsidR="00B92A87">
        <w:rPr>
          <w:lang w:val="nl-BE"/>
        </w:rPr>
        <w:t>basisondersteuningsbudget</w:t>
      </w:r>
      <w:proofErr w:type="spellEnd"/>
      <w:r w:rsidR="00B92A87">
        <w:rPr>
          <w:lang w:val="nl-BE"/>
        </w:rPr>
        <w:t>)</w:t>
      </w:r>
      <w:r w:rsidRPr="00E6515F">
        <w:rPr>
          <w:lang w:val="nl-BE"/>
        </w:rPr>
        <w:t xml:space="preserve">. </w:t>
      </w:r>
      <w:r w:rsidR="001A7677">
        <w:rPr>
          <w:lang w:val="nl-BE"/>
        </w:rPr>
        <w:t xml:space="preserve">Op basis van </w:t>
      </w:r>
      <w:r w:rsidRPr="00E6515F">
        <w:rPr>
          <w:lang w:val="nl-BE"/>
        </w:rPr>
        <w:t xml:space="preserve">de resultaten van </w:t>
      </w:r>
      <w:r w:rsidR="005B09DA">
        <w:rPr>
          <w:lang w:val="nl-BE"/>
        </w:rPr>
        <w:t>dat</w:t>
      </w:r>
      <w:r w:rsidR="005B09DA" w:rsidRPr="00E6515F">
        <w:rPr>
          <w:lang w:val="nl-BE"/>
        </w:rPr>
        <w:t xml:space="preserve"> </w:t>
      </w:r>
      <w:r w:rsidRPr="00E6515F">
        <w:rPr>
          <w:lang w:val="nl-BE"/>
        </w:rPr>
        <w:t>onderzoek zal beoordeeld worden of een verdere uitbreiding van het BOB wenselijk is en zo ja voor welke groepen.</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 xml:space="preserve">3° Voor personen met een beperking die nood hebben aan niet rechtstreeks toegankelijke </w:t>
      </w:r>
      <w:proofErr w:type="spellStart"/>
      <w:r w:rsidRPr="00E6515F">
        <w:rPr>
          <w:b/>
          <w:lang w:val="nl-BE"/>
        </w:rPr>
        <w:t>handicapspecifieke</w:t>
      </w:r>
      <w:proofErr w:type="spellEnd"/>
      <w:r w:rsidRPr="00E6515F">
        <w:rPr>
          <w:b/>
          <w:lang w:val="nl-BE"/>
        </w:rPr>
        <w:t xml:space="preserve"> ondersteuning stellen we een persoonsvolgend budget ter beschikking. In uitvoering van het decreet persoonsvolgende financiering zal het VAPH instaan voor de uitbetaling van de ondersteuning in de tweede pijler (cash/voucher)</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In de periode </w:t>
      </w:r>
      <w:r w:rsidR="005B09DA">
        <w:rPr>
          <w:lang w:val="nl-BE"/>
        </w:rPr>
        <w:t xml:space="preserve">van </w:t>
      </w:r>
      <w:r w:rsidRPr="00E6515F">
        <w:rPr>
          <w:lang w:val="nl-BE"/>
        </w:rPr>
        <w:t xml:space="preserve">2015 tot en met 2017 werd de persoonsvolgende financiering voor meerderjarige personen met een handicap ten gronde voorbereid en geïmplementeerd. </w:t>
      </w:r>
      <w:r w:rsidR="005B09DA">
        <w:rPr>
          <w:lang w:val="nl-BE"/>
        </w:rPr>
        <w:t>Daa</w:t>
      </w:r>
      <w:r w:rsidR="005B09DA" w:rsidRPr="00E6515F">
        <w:rPr>
          <w:lang w:val="nl-BE"/>
        </w:rPr>
        <w:t xml:space="preserve">rvoor </w:t>
      </w:r>
      <w:r w:rsidRPr="00E6515F">
        <w:rPr>
          <w:lang w:val="nl-BE"/>
        </w:rPr>
        <w:t xml:space="preserve">werd een uitgebreide programmastructuur opgezet met centraal een </w:t>
      </w:r>
      <w:r w:rsidR="005B09DA">
        <w:rPr>
          <w:lang w:val="nl-BE"/>
        </w:rPr>
        <w:t>t</w:t>
      </w:r>
      <w:r w:rsidR="005B09DA" w:rsidRPr="00E6515F">
        <w:rPr>
          <w:lang w:val="nl-BE"/>
        </w:rPr>
        <w:t xml:space="preserve">askforce </w:t>
      </w:r>
      <w:r w:rsidRPr="00E6515F">
        <w:rPr>
          <w:lang w:val="nl-BE"/>
        </w:rPr>
        <w:t xml:space="preserve">PVF meerderjarigen die elke fase van de voorbereiding en implementatie heeft aangestuurd. In een eerste conceptuele fase werden de bepalingen uit het decreet </w:t>
      </w:r>
      <w:r w:rsidR="009F5B77">
        <w:rPr>
          <w:lang w:val="nl-BE"/>
        </w:rPr>
        <w:t>persoonsvolgende financiering</w:t>
      </w:r>
      <w:r w:rsidRPr="00E6515F">
        <w:rPr>
          <w:lang w:val="nl-BE"/>
        </w:rPr>
        <w:t xml:space="preserve"> vertaald in conceptnota’s waarin de krachtlijnen van de verschillende onderdelen van het persoonsvolgend financieringssysteem - onder meer de aanvraag van een persoonsvolgend budget, het vergunnen van zorgaanbieders, de besteding van het persoonsvolgend budget en de concrete financieringsmodaliteiten bij inzet van vouchers</w:t>
      </w:r>
      <w:r w:rsidR="005B09DA">
        <w:rPr>
          <w:lang w:val="nl-BE"/>
        </w:rPr>
        <w:t xml:space="preserve"> </w:t>
      </w:r>
      <w:r w:rsidRPr="00E6515F">
        <w:rPr>
          <w:lang w:val="nl-BE"/>
        </w:rPr>
        <w:t xml:space="preserve">- werden  uitgewerkt. </w:t>
      </w:r>
      <w:r w:rsidR="005B09DA" w:rsidRPr="00E6515F">
        <w:rPr>
          <w:lang w:val="nl-BE"/>
        </w:rPr>
        <w:t>D</w:t>
      </w:r>
      <w:r w:rsidR="005B09DA">
        <w:rPr>
          <w:lang w:val="nl-BE"/>
        </w:rPr>
        <w:t>ie</w:t>
      </w:r>
      <w:r w:rsidR="005B09DA" w:rsidRPr="00E6515F">
        <w:rPr>
          <w:lang w:val="nl-BE"/>
        </w:rPr>
        <w:t xml:space="preserve"> </w:t>
      </w:r>
      <w:r w:rsidRPr="00E6515F">
        <w:rPr>
          <w:lang w:val="nl-BE"/>
        </w:rPr>
        <w:t xml:space="preserve">conceptnota’s werden in een volgende fase vertaald in concrete uitvoeringsregels die in besluiten van de Vlaamse </w:t>
      </w:r>
      <w:r w:rsidR="005B09DA">
        <w:rPr>
          <w:lang w:val="nl-BE"/>
        </w:rPr>
        <w:t>R</w:t>
      </w:r>
      <w:r w:rsidRPr="00E6515F">
        <w:rPr>
          <w:lang w:val="nl-BE"/>
        </w:rPr>
        <w:t xml:space="preserve">egering werden verankerd. In de implementatiefase (vanaf 1 april 2016) werden de nieuwe administratieve processen zoals beschreven in de uitvoeringsbesluiten </w:t>
      </w:r>
      <w:r w:rsidR="00AA293B">
        <w:rPr>
          <w:lang w:val="nl-BE"/>
        </w:rPr>
        <w:t xml:space="preserve">één voor één </w:t>
      </w:r>
      <w:r w:rsidRPr="00E6515F">
        <w:rPr>
          <w:lang w:val="nl-BE"/>
        </w:rPr>
        <w:t xml:space="preserve">ingevoerd. Sinds 1 januari 2017 vindt tot slot de feitelijk omschakeling van alle voormalige gebruikers en zorgaanbieders naar het nieuwe systeem van persoonsvolgende financiering plaats. </w:t>
      </w:r>
      <w:r w:rsidR="005B09DA" w:rsidRPr="00E6515F">
        <w:rPr>
          <w:lang w:val="nl-BE"/>
        </w:rPr>
        <w:t>D</w:t>
      </w:r>
      <w:r w:rsidR="005B09DA">
        <w:rPr>
          <w:lang w:val="nl-BE"/>
        </w:rPr>
        <w:t>ie</w:t>
      </w:r>
      <w:r w:rsidR="005B09DA" w:rsidRPr="00E6515F">
        <w:rPr>
          <w:lang w:val="nl-BE"/>
        </w:rPr>
        <w:t xml:space="preserve"> </w:t>
      </w:r>
      <w:r w:rsidRPr="00E6515F">
        <w:rPr>
          <w:lang w:val="nl-BE"/>
        </w:rPr>
        <w:t xml:space="preserve">grootschalige transitie bestaat uit </w:t>
      </w:r>
      <w:r w:rsidR="005B09DA">
        <w:rPr>
          <w:lang w:val="nl-BE"/>
        </w:rPr>
        <w:t>drie</w:t>
      </w:r>
      <w:r w:rsidR="005B09DA" w:rsidRPr="00E6515F">
        <w:rPr>
          <w:lang w:val="nl-BE"/>
        </w:rPr>
        <w:t xml:space="preserve"> </w:t>
      </w:r>
      <w:r w:rsidRPr="00E6515F">
        <w:rPr>
          <w:lang w:val="nl-BE"/>
        </w:rPr>
        <w:t xml:space="preserve">luiken, waarvan het eerste luik </w:t>
      </w:r>
      <w:r w:rsidR="005B09DA">
        <w:rPr>
          <w:lang w:val="nl-BE"/>
        </w:rPr>
        <w:t>al</w:t>
      </w:r>
      <w:r w:rsidR="005B09DA" w:rsidRPr="00E6515F">
        <w:rPr>
          <w:lang w:val="nl-BE"/>
        </w:rPr>
        <w:t xml:space="preserve"> </w:t>
      </w:r>
      <w:r w:rsidRPr="00E6515F">
        <w:rPr>
          <w:lang w:val="nl-BE"/>
        </w:rPr>
        <w:t>volledig werd afgerond:</w:t>
      </w:r>
    </w:p>
    <w:p w:rsidR="0085452E" w:rsidRPr="00E6515F" w:rsidRDefault="0085452E" w:rsidP="0085452E">
      <w:pPr>
        <w:jc w:val="both"/>
        <w:rPr>
          <w:lang w:val="nl-BE"/>
        </w:rPr>
      </w:pPr>
    </w:p>
    <w:p w:rsidR="0085452E" w:rsidRPr="00E6515F" w:rsidRDefault="0085452E" w:rsidP="0085452E">
      <w:pPr>
        <w:numPr>
          <w:ilvl w:val="0"/>
          <w:numId w:val="20"/>
        </w:numPr>
        <w:spacing w:after="240"/>
        <w:contextualSpacing/>
        <w:jc w:val="both"/>
        <w:rPr>
          <w:lang w:val="nl-BE"/>
        </w:rPr>
      </w:pPr>
      <w:r w:rsidRPr="00E6515F">
        <w:rPr>
          <w:lang w:val="nl-BE"/>
        </w:rPr>
        <w:t xml:space="preserve">Luik 1 van de transitie: </w:t>
      </w:r>
      <w:r w:rsidR="005B09DA">
        <w:rPr>
          <w:lang w:val="nl-BE"/>
        </w:rPr>
        <w:t>O</w:t>
      </w:r>
      <w:r w:rsidR="005B09DA" w:rsidRPr="00E6515F">
        <w:rPr>
          <w:lang w:val="nl-BE"/>
        </w:rPr>
        <w:t xml:space="preserve">p </w:t>
      </w:r>
      <w:r w:rsidRPr="00E6515F">
        <w:rPr>
          <w:lang w:val="nl-BE"/>
        </w:rPr>
        <w:t xml:space="preserve">1 januari 2017 stapten alle voormalige gebruikers van </w:t>
      </w:r>
      <w:r w:rsidR="005B09DA">
        <w:rPr>
          <w:lang w:val="nl-BE"/>
        </w:rPr>
        <w:t xml:space="preserve">een </w:t>
      </w:r>
      <w:r w:rsidR="00DD02E4">
        <w:rPr>
          <w:lang w:val="nl-BE"/>
        </w:rPr>
        <w:t>persoonlijke-assistentiebudget</w:t>
      </w:r>
      <w:r w:rsidRPr="00E6515F">
        <w:rPr>
          <w:lang w:val="nl-BE"/>
        </w:rPr>
        <w:t xml:space="preserve">, </w:t>
      </w:r>
      <w:r w:rsidR="005B09DA">
        <w:rPr>
          <w:lang w:val="nl-BE"/>
        </w:rPr>
        <w:t>een persoonsgebond</w:t>
      </w:r>
      <w:r w:rsidR="00180A69">
        <w:rPr>
          <w:lang w:val="nl-BE"/>
        </w:rPr>
        <w:t>e</w:t>
      </w:r>
      <w:r w:rsidR="005B09DA">
        <w:rPr>
          <w:lang w:val="nl-BE"/>
        </w:rPr>
        <w:t>n budget</w:t>
      </w:r>
      <w:r w:rsidR="005B09DA" w:rsidRPr="00E6515F">
        <w:rPr>
          <w:lang w:val="nl-BE"/>
        </w:rPr>
        <w:t xml:space="preserve"> </w:t>
      </w:r>
      <w:r w:rsidRPr="00E6515F">
        <w:rPr>
          <w:lang w:val="nl-BE"/>
        </w:rPr>
        <w:t xml:space="preserve">en zorg in natura </w:t>
      </w:r>
      <w:r w:rsidR="005B09DA">
        <w:rPr>
          <w:lang w:val="nl-BE"/>
        </w:rPr>
        <w:t>over naar</w:t>
      </w:r>
      <w:r w:rsidR="005B09DA" w:rsidRPr="00E6515F">
        <w:rPr>
          <w:lang w:val="nl-BE"/>
        </w:rPr>
        <w:t xml:space="preserve"> </w:t>
      </w:r>
      <w:r w:rsidRPr="00E6515F">
        <w:rPr>
          <w:lang w:val="nl-BE"/>
        </w:rPr>
        <w:t xml:space="preserve">het nieuwe systeem van </w:t>
      </w:r>
      <w:r w:rsidR="009F5B77">
        <w:rPr>
          <w:lang w:val="nl-BE"/>
        </w:rPr>
        <w:t>persoonsvolgende financiering</w:t>
      </w:r>
      <w:r w:rsidRPr="00E6515F">
        <w:rPr>
          <w:lang w:val="nl-BE"/>
        </w:rPr>
        <w:t xml:space="preserve">. Zij organiseren hun zorg en ondersteuning voortaan </w:t>
      </w:r>
      <w:r w:rsidR="005B09DA">
        <w:rPr>
          <w:lang w:val="nl-BE"/>
        </w:rPr>
        <w:t>door</w:t>
      </w:r>
      <w:r w:rsidR="005B09DA" w:rsidRPr="00E6515F">
        <w:rPr>
          <w:lang w:val="nl-BE"/>
        </w:rPr>
        <w:t xml:space="preserve"> </w:t>
      </w:r>
      <w:r w:rsidRPr="00E6515F">
        <w:rPr>
          <w:lang w:val="nl-BE"/>
        </w:rPr>
        <w:t>de inzet van hun persoonsvolgend budget. Tegelijkertijd werd de vastgelegde gesubsidieerde capaciteit van alle erkende zorgaanbieders voor meerderjarigen losgelaten: zij moeten hun subsidies voortaan realiseren via de inzet van de persoonsvolgende budgetten van hun gebruikers. Dit luik van de transitie is volledig afgerond.</w:t>
      </w:r>
    </w:p>
    <w:p w:rsidR="0085452E" w:rsidRPr="00E6515F" w:rsidRDefault="0085452E" w:rsidP="0085452E">
      <w:pPr>
        <w:numPr>
          <w:ilvl w:val="0"/>
          <w:numId w:val="20"/>
        </w:numPr>
        <w:spacing w:after="240"/>
        <w:contextualSpacing/>
        <w:jc w:val="both"/>
        <w:rPr>
          <w:lang w:val="nl-BE"/>
        </w:rPr>
      </w:pPr>
      <w:r w:rsidRPr="00E6515F">
        <w:rPr>
          <w:lang w:val="nl-BE"/>
        </w:rPr>
        <w:t xml:space="preserve">Luik 2 van de transitie: </w:t>
      </w:r>
      <w:r w:rsidR="005B09DA">
        <w:rPr>
          <w:lang w:val="nl-BE"/>
        </w:rPr>
        <w:t>V</w:t>
      </w:r>
      <w:r w:rsidRPr="00E6515F">
        <w:rPr>
          <w:lang w:val="nl-BE"/>
        </w:rPr>
        <w:t xml:space="preserve">an 2018 tot en met 2022 wordt een traject opgezet om, conform de principes van de persoonsvolgende financiering die ook gelden voor de nieuwe gebruikers, elke voormalige gebruiker van niet rechtstreeks toegankelijke VAPH-hulp een budget te geven in overeenkomst met </w:t>
      </w:r>
      <w:r w:rsidR="005B09DA">
        <w:rPr>
          <w:lang w:val="nl-BE"/>
        </w:rPr>
        <w:t xml:space="preserve">zijn </w:t>
      </w:r>
      <w:r w:rsidRPr="00E6515F">
        <w:rPr>
          <w:lang w:val="nl-BE"/>
        </w:rPr>
        <w:t>zorggebruik</w:t>
      </w:r>
      <w:r w:rsidR="005B09DA">
        <w:rPr>
          <w:lang w:val="nl-BE"/>
        </w:rPr>
        <w:t xml:space="preserve"> of </w:t>
      </w:r>
      <w:r w:rsidRPr="00E6515F">
        <w:rPr>
          <w:lang w:val="nl-BE"/>
        </w:rPr>
        <w:t xml:space="preserve">zorgnood en zorgzwaarte. </w:t>
      </w:r>
      <w:r w:rsidR="005B09DA">
        <w:rPr>
          <w:lang w:val="nl-BE"/>
        </w:rPr>
        <w:t>Daa</w:t>
      </w:r>
      <w:r w:rsidR="005B09DA" w:rsidRPr="00E6515F">
        <w:rPr>
          <w:lang w:val="nl-BE"/>
        </w:rPr>
        <w:t xml:space="preserve">rmee </w:t>
      </w:r>
      <w:r w:rsidRPr="00E6515F">
        <w:rPr>
          <w:lang w:val="nl-BE"/>
        </w:rPr>
        <w:t xml:space="preserve">maken we uiteindelijk komaf met de ongelijke financiering van </w:t>
      </w:r>
      <w:r w:rsidR="005B09DA">
        <w:rPr>
          <w:lang w:val="nl-BE"/>
        </w:rPr>
        <w:t xml:space="preserve">het </w:t>
      </w:r>
      <w:r w:rsidR="00DD02E4">
        <w:rPr>
          <w:lang w:val="nl-BE"/>
        </w:rPr>
        <w:t>persoonlijke-assistentiebudget</w:t>
      </w:r>
      <w:r w:rsidRPr="00E6515F">
        <w:rPr>
          <w:lang w:val="nl-BE"/>
        </w:rPr>
        <w:t xml:space="preserve"> versus zorg in natura en met de historische ongelijkheden in de financiering van de VAPH-voorzieningen na de personeelsstop in de jaren ‘80. Op 1 juli 2018 kregen de gebruikers van voorzieningen met de grootste historische achterstand een eerste verhoging van hun persoonsvolgend budget. In de periode </w:t>
      </w:r>
      <w:r w:rsidR="005B09DA">
        <w:rPr>
          <w:lang w:val="nl-BE"/>
        </w:rPr>
        <w:t xml:space="preserve">van </w:t>
      </w:r>
      <w:r w:rsidRPr="00E6515F">
        <w:rPr>
          <w:lang w:val="nl-BE"/>
        </w:rPr>
        <w:t xml:space="preserve">2019 tot en met 2022 </w:t>
      </w:r>
      <w:r w:rsidR="005B09DA">
        <w:rPr>
          <w:lang w:val="nl-BE"/>
        </w:rPr>
        <w:t>zullen</w:t>
      </w:r>
      <w:r w:rsidR="005B09DA" w:rsidRPr="00E6515F">
        <w:rPr>
          <w:lang w:val="nl-BE"/>
        </w:rPr>
        <w:t xml:space="preserve"> </w:t>
      </w:r>
      <w:r w:rsidRPr="00E6515F">
        <w:rPr>
          <w:lang w:val="nl-BE"/>
        </w:rPr>
        <w:t xml:space="preserve">voor </w:t>
      </w:r>
      <w:r w:rsidR="005B09DA">
        <w:rPr>
          <w:lang w:val="nl-BE"/>
        </w:rPr>
        <w:t>a</w:t>
      </w:r>
      <w:r w:rsidR="005B09DA" w:rsidRPr="00E6515F">
        <w:rPr>
          <w:lang w:val="nl-BE"/>
        </w:rPr>
        <w:t xml:space="preserve">lle </w:t>
      </w:r>
      <w:r w:rsidRPr="00E6515F">
        <w:rPr>
          <w:lang w:val="nl-BE"/>
        </w:rPr>
        <w:t xml:space="preserve">voormalige gebruikers </w:t>
      </w:r>
      <w:r w:rsidR="005B09DA">
        <w:rPr>
          <w:lang w:val="nl-BE"/>
        </w:rPr>
        <w:t>van niet-rechtstreeks toegankelijke hulp (</w:t>
      </w:r>
      <w:proofErr w:type="spellStart"/>
      <w:r w:rsidRPr="00E6515F">
        <w:rPr>
          <w:lang w:val="nl-BE"/>
        </w:rPr>
        <w:t>nRTH</w:t>
      </w:r>
      <w:proofErr w:type="spellEnd"/>
      <w:r w:rsidR="005B09DA">
        <w:rPr>
          <w:lang w:val="nl-BE"/>
        </w:rPr>
        <w:t>)</w:t>
      </w:r>
      <w:r w:rsidRPr="00E6515F">
        <w:rPr>
          <w:lang w:val="nl-BE"/>
        </w:rPr>
        <w:t xml:space="preserve"> met een </w:t>
      </w:r>
      <w:r w:rsidR="00DD02E4">
        <w:rPr>
          <w:lang w:val="nl-BE"/>
        </w:rPr>
        <w:t>persoonsvolgend budget</w:t>
      </w:r>
      <w:r w:rsidRPr="00E6515F">
        <w:rPr>
          <w:lang w:val="nl-BE"/>
        </w:rPr>
        <w:t xml:space="preserve"> opnieuw zorggebruik en zorgzwaarte bepaald worden met het oog op het onmiddellijk (binnen de 6 maanden) ter beschikking stellen van het budget op maat.</w:t>
      </w:r>
    </w:p>
    <w:p w:rsidR="0085452E" w:rsidRPr="00E6515F" w:rsidRDefault="0085452E" w:rsidP="0085452E">
      <w:pPr>
        <w:numPr>
          <w:ilvl w:val="0"/>
          <w:numId w:val="20"/>
        </w:numPr>
        <w:spacing w:after="240"/>
        <w:contextualSpacing/>
        <w:jc w:val="both"/>
        <w:rPr>
          <w:lang w:val="nl-BE"/>
        </w:rPr>
      </w:pPr>
      <w:r w:rsidRPr="00E6515F">
        <w:rPr>
          <w:lang w:val="nl-BE"/>
        </w:rPr>
        <w:lastRenderedPageBreak/>
        <w:t xml:space="preserve">Luik 3 van de transitie: </w:t>
      </w:r>
      <w:r w:rsidR="005B09DA">
        <w:rPr>
          <w:lang w:val="nl-BE"/>
        </w:rPr>
        <w:t>I</w:t>
      </w:r>
      <w:r w:rsidR="005B09DA" w:rsidRPr="00E6515F">
        <w:rPr>
          <w:lang w:val="nl-BE"/>
        </w:rPr>
        <w:t xml:space="preserve">n </w:t>
      </w:r>
      <w:r w:rsidRPr="00E6515F">
        <w:rPr>
          <w:lang w:val="nl-BE"/>
        </w:rPr>
        <w:t xml:space="preserve">de periode </w:t>
      </w:r>
      <w:r w:rsidR="005B09DA">
        <w:rPr>
          <w:lang w:val="nl-BE"/>
        </w:rPr>
        <w:t xml:space="preserve">van </w:t>
      </w:r>
      <w:r w:rsidRPr="00E6515F">
        <w:rPr>
          <w:lang w:val="nl-BE"/>
        </w:rPr>
        <w:t xml:space="preserve">2017 tot en met 2020 wordt het systeem van de </w:t>
      </w:r>
      <w:r w:rsidR="00180A69">
        <w:rPr>
          <w:lang w:val="nl-BE"/>
        </w:rPr>
        <w:t>‘</w:t>
      </w:r>
      <w:r w:rsidRPr="00E6515F">
        <w:rPr>
          <w:lang w:val="nl-BE"/>
        </w:rPr>
        <w:t>eigen bijdragen</w:t>
      </w:r>
      <w:r w:rsidR="00180A69">
        <w:rPr>
          <w:lang w:val="nl-BE"/>
        </w:rPr>
        <w:t>’</w:t>
      </w:r>
      <w:r w:rsidR="005B09DA" w:rsidRPr="00E6515F">
        <w:rPr>
          <w:lang w:val="nl-BE"/>
        </w:rPr>
        <w:t xml:space="preserve"> </w:t>
      </w:r>
      <w:r w:rsidRPr="00E6515F">
        <w:rPr>
          <w:lang w:val="nl-BE"/>
        </w:rPr>
        <w:t xml:space="preserve">afgebouwd en wordt het hanteren van de principes van ‘woon- en </w:t>
      </w:r>
      <w:proofErr w:type="spellStart"/>
      <w:r w:rsidRPr="00E6515F">
        <w:rPr>
          <w:lang w:val="nl-BE"/>
        </w:rPr>
        <w:t>leefkosten</w:t>
      </w:r>
      <w:proofErr w:type="spellEnd"/>
      <w:r w:rsidRPr="00E6515F">
        <w:rPr>
          <w:lang w:val="nl-BE"/>
        </w:rPr>
        <w:t xml:space="preserve">’ veralgemeend doorgevoerd. Ook </w:t>
      </w:r>
      <w:r w:rsidR="005B09DA" w:rsidRPr="00E6515F">
        <w:rPr>
          <w:lang w:val="nl-BE"/>
        </w:rPr>
        <w:t>d</w:t>
      </w:r>
      <w:r w:rsidR="005B09DA">
        <w:rPr>
          <w:lang w:val="nl-BE"/>
        </w:rPr>
        <w:t>a</w:t>
      </w:r>
      <w:r w:rsidR="005B09DA" w:rsidRPr="00E6515F">
        <w:rPr>
          <w:lang w:val="nl-BE"/>
        </w:rPr>
        <w:t xml:space="preserve">t </w:t>
      </w:r>
      <w:r w:rsidRPr="00E6515F">
        <w:rPr>
          <w:lang w:val="nl-BE"/>
        </w:rPr>
        <w:t xml:space="preserve">impliceert een </w:t>
      </w:r>
      <w:r w:rsidR="005B09DA" w:rsidRPr="00E6515F">
        <w:rPr>
          <w:lang w:val="nl-BE"/>
        </w:rPr>
        <w:t>definitie</w:t>
      </w:r>
      <w:r w:rsidR="005B09DA">
        <w:rPr>
          <w:lang w:val="nl-BE"/>
        </w:rPr>
        <w:t>ve</w:t>
      </w:r>
      <w:r w:rsidR="005B09DA" w:rsidRPr="00E6515F">
        <w:rPr>
          <w:lang w:val="nl-BE"/>
        </w:rPr>
        <w:t xml:space="preserve"> </w:t>
      </w:r>
      <w:proofErr w:type="spellStart"/>
      <w:r w:rsidR="005B09DA" w:rsidRPr="00E6515F">
        <w:rPr>
          <w:lang w:val="nl-BE"/>
        </w:rPr>
        <w:t>rechttrekk</w:t>
      </w:r>
      <w:r w:rsidR="005B09DA">
        <w:rPr>
          <w:lang w:val="nl-BE"/>
        </w:rPr>
        <w:t>ing</w:t>
      </w:r>
      <w:proofErr w:type="spellEnd"/>
      <w:r w:rsidR="005B09DA" w:rsidRPr="00E6515F">
        <w:rPr>
          <w:lang w:val="nl-BE"/>
        </w:rPr>
        <w:t xml:space="preserve"> </w:t>
      </w:r>
      <w:r w:rsidRPr="00E6515F">
        <w:rPr>
          <w:lang w:val="nl-BE"/>
        </w:rPr>
        <w:t xml:space="preserve">van </w:t>
      </w:r>
      <w:r w:rsidR="005B09DA">
        <w:rPr>
          <w:lang w:val="nl-BE"/>
        </w:rPr>
        <w:t xml:space="preserve">de </w:t>
      </w:r>
      <w:r w:rsidRPr="00E6515F">
        <w:rPr>
          <w:lang w:val="nl-BE"/>
        </w:rPr>
        <w:t>verschillen tussen (de voor- en nadelen van) de onderscheiden zorgvormen uit het verleden.</w:t>
      </w:r>
    </w:p>
    <w:p w:rsidR="0085452E" w:rsidRPr="00E6515F" w:rsidRDefault="0085452E" w:rsidP="0085452E">
      <w:pPr>
        <w:spacing w:after="240"/>
        <w:ind w:left="720"/>
        <w:contextualSpacing/>
        <w:jc w:val="both"/>
        <w:rPr>
          <w:lang w:val="nl-BE"/>
        </w:rPr>
      </w:pPr>
    </w:p>
    <w:p w:rsidR="0085452E" w:rsidRPr="00E6515F" w:rsidRDefault="0085452E" w:rsidP="0085452E">
      <w:pPr>
        <w:jc w:val="both"/>
        <w:rPr>
          <w:lang w:val="nl-BE"/>
        </w:rPr>
      </w:pPr>
      <w:r w:rsidRPr="00E6515F">
        <w:rPr>
          <w:lang w:val="nl-BE"/>
        </w:rPr>
        <w:t xml:space="preserve">Parallel met de invoering van en de transitie naar </w:t>
      </w:r>
      <w:r w:rsidR="009F5B77">
        <w:rPr>
          <w:lang w:val="nl-BE"/>
        </w:rPr>
        <w:t>persoonsvolgende financiering</w:t>
      </w:r>
      <w:r w:rsidRPr="00E6515F">
        <w:rPr>
          <w:lang w:val="nl-BE"/>
        </w:rPr>
        <w:t xml:space="preserve"> werd een systeem opgezet dat toelaat de beschikbare middelen - </w:t>
      </w:r>
      <w:r w:rsidR="005B09DA">
        <w:rPr>
          <w:lang w:val="nl-BE"/>
        </w:rPr>
        <w:t>afkomstig uit het u</w:t>
      </w:r>
      <w:r w:rsidR="005B09DA" w:rsidRPr="00E6515F">
        <w:rPr>
          <w:lang w:val="nl-BE"/>
        </w:rPr>
        <w:t xml:space="preserve">itbreidingsbeleid </w:t>
      </w:r>
      <w:r w:rsidRPr="00E6515F">
        <w:rPr>
          <w:lang w:val="nl-BE"/>
        </w:rPr>
        <w:t>en regulier vrijkomende middelen</w:t>
      </w:r>
      <w:r w:rsidR="005B09DA">
        <w:rPr>
          <w:lang w:val="nl-BE"/>
        </w:rPr>
        <w:t xml:space="preserve"> </w:t>
      </w:r>
      <w:r w:rsidRPr="00E6515F">
        <w:rPr>
          <w:lang w:val="nl-BE"/>
        </w:rPr>
        <w:t xml:space="preserve">- zorgvuldig op te volgen </w:t>
      </w:r>
      <w:r w:rsidR="000C35CB">
        <w:rPr>
          <w:lang w:val="nl-BE"/>
        </w:rPr>
        <w:t>in functie van</w:t>
      </w:r>
      <w:r w:rsidR="000C35CB" w:rsidRPr="00E6515F">
        <w:rPr>
          <w:lang w:val="nl-BE"/>
        </w:rPr>
        <w:t xml:space="preserve"> </w:t>
      </w:r>
      <w:r w:rsidRPr="00E6515F">
        <w:rPr>
          <w:lang w:val="nl-BE"/>
        </w:rPr>
        <w:t xml:space="preserve">het ter beschikking stellen van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binnen de automatische</w:t>
      </w:r>
      <w:r w:rsidR="00DD02E4">
        <w:rPr>
          <w:lang w:val="nl-BE"/>
        </w:rPr>
        <w:t>-</w:t>
      </w:r>
      <w:r w:rsidRPr="00E6515F">
        <w:rPr>
          <w:lang w:val="nl-BE"/>
        </w:rPr>
        <w:t xml:space="preserve">toekenningsgroepen en aan de prioriteitengroepen. </w:t>
      </w:r>
      <w:r w:rsidR="000C35CB">
        <w:rPr>
          <w:lang w:val="nl-BE"/>
        </w:rPr>
        <w:t>Er werd e</w:t>
      </w:r>
      <w:r w:rsidR="000C35CB" w:rsidRPr="00E6515F">
        <w:rPr>
          <w:lang w:val="nl-BE"/>
        </w:rPr>
        <w:t xml:space="preserve">en </w:t>
      </w:r>
      <w:r w:rsidRPr="00E6515F">
        <w:rPr>
          <w:lang w:val="nl-BE"/>
        </w:rPr>
        <w:t xml:space="preserve">betaalkalender opgemaakt om een goed evenwicht te bewaren tussen enerzijds voldoende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ter beschikking stellen en anderzijds voldoende middelen opzij houden </w:t>
      </w:r>
      <w:r w:rsidR="000C35CB">
        <w:rPr>
          <w:lang w:val="nl-BE"/>
        </w:rPr>
        <w:t>als</w:t>
      </w:r>
      <w:r w:rsidR="000C35CB" w:rsidRPr="00E6515F">
        <w:rPr>
          <w:lang w:val="nl-BE"/>
        </w:rPr>
        <w:t xml:space="preserve"> </w:t>
      </w:r>
      <w:r w:rsidRPr="00E6515F">
        <w:rPr>
          <w:lang w:val="nl-BE"/>
        </w:rPr>
        <w:t>de toestroom via de automatische</w:t>
      </w:r>
      <w:r w:rsidR="000C35CB">
        <w:rPr>
          <w:lang w:val="nl-BE"/>
        </w:rPr>
        <w:t>-</w:t>
      </w:r>
      <w:r w:rsidRPr="00E6515F">
        <w:rPr>
          <w:lang w:val="nl-BE"/>
        </w:rPr>
        <w:t>toekenningsgroepen hoger zou liggen dan verwacht.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In de marge van de invoering van de persoonsvolgende financiering en in het bijzonder de omschakeling van </w:t>
      </w:r>
      <w:r w:rsidR="000C35CB">
        <w:rPr>
          <w:lang w:val="nl-BE"/>
        </w:rPr>
        <w:t xml:space="preserve">het </w:t>
      </w:r>
      <w:r w:rsidR="00DD02E4">
        <w:rPr>
          <w:lang w:val="nl-BE"/>
        </w:rPr>
        <w:t>persoonlijke-assistentiebudget</w:t>
      </w:r>
      <w:r w:rsidRPr="00E6515F">
        <w:rPr>
          <w:lang w:val="nl-BE"/>
        </w:rPr>
        <w:t xml:space="preserve"> naar </w:t>
      </w:r>
      <w:r w:rsidR="000C35CB">
        <w:rPr>
          <w:lang w:val="nl-BE"/>
        </w:rPr>
        <w:t xml:space="preserve">het </w:t>
      </w:r>
      <w:proofErr w:type="spellStart"/>
      <w:r w:rsidR="000C35CB">
        <w:rPr>
          <w:lang w:val="nl-BE"/>
        </w:rPr>
        <w:t>persoonsoonsvolgend</w:t>
      </w:r>
      <w:proofErr w:type="spellEnd"/>
      <w:r w:rsidR="000C35CB">
        <w:rPr>
          <w:lang w:val="nl-BE"/>
        </w:rPr>
        <w:t xml:space="preserve"> budget</w:t>
      </w:r>
      <w:r w:rsidR="000C35CB" w:rsidRPr="00E6515F">
        <w:rPr>
          <w:lang w:val="nl-BE"/>
        </w:rPr>
        <w:t xml:space="preserve"> </w:t>
      </w:r>
      <w:r w:rsidRPr="00E6515F">
        <w:rPr>
          <w:lang w:val="nl-BE"/>
        </w:rPr>
        <w:t>werd een aangepaste regeling uitgewerkt en in regelgeving verankerd voor ‘persoonlijke assistenten’ inzake het uitsluiten van de toepassing van het decreet zorg en bijstand.</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Een project </w:t>
      </w:r>
      <w:r w:rsidR="000C35CB">
        <w:rPr>
          <w:lang w:val="nl-BE"/>
        </w:rPr>
        <w:t>over</w:t>
      </w:r>
      <w:r w:rsidR="000C35CB" w:rsidRPr="00E6515F">
        <w:rPr>
          <w:lang w:val="nl-BE"/>
        </w:rPr>
        <w:t xml:space="preserve"> </w:t>
      </w:r>
      <w:r w:rsidRPr="00E6515F">
        <w:rPr>
          <w:rFonts w:ascii="Arial" w:eastAsia="Arial" w:hAnsi="Arial" w:cs="Arial"/>
          <w:color w:val="222222"/>
          <w:sz w:val="20"/>
          <w:szCs w:val="20"/>
          <w:highlight w:val="white"/>
          <w:lang w:val="nl-BE"/>
        </w:rPr>
        <w:t>b</w:t>
      </w:r>
      <w:r w:rsidRPr="00E6515F">
        <w:rPr>
          <w:highlight w:val="white"/>
          <w:lang w:val="nl-BE"/>
        </w:rPr>
        <w:t>udgethouderschap op maat en kwaliteitsvol sociaal ondernemerschap</w:t>
      </w:r>
      <w:r w:rsidRPr="00E6515F">
        <w:rPr>
          <w:lang w:val="nl-BE"/>
        </w:rPr>
        <w:t xml:space="preserve"> (project </w:t>
      </w:r>
      <w:r w:rsidR="000C35CB">
        <w:rPr>
          <w:lang w:val="nl-BE"/>
        </w:rPr>
        <w:t>’</w:t>
      </w:r>
      <w:r w:rsidRPr="00E6515F">
        <w:rPr>
          <w:lang w:val="nl-BE"/>
        </w:rPr>
        <w:t>Kwaliteit van ondersteuning</w:t>
      </w:r>
      <w:r w:rsidR="000C35CB">
        <w:rPr>
          <w:lang w:val="nl-BE"/>
        </w:rPr>
        <w:t>’</w:t>
      </w:r>
      <w:r w:rsidRPr="00E6515F">
        <w:rPr>
          <w:lang w:val="nl-BE"/>
        </w:rPr>
        <w:t xml:space="preserve">) </w:t>
      </w:r>
      <w:r w:rsidR="000C35CB">
        <w:rPr>
          <w:lang w:val="nl-BE"/>
        </w:rPr>
        <w:t>werd</w:t>
      </w:r>
      <w:r w:rsidR="000C35CB" w:rsidRPr="00E6515F">
        <w:rPr>
          <w:lang w:val="nl-BE"/>
        </w:rPr>
        <w:t xml:space="preserve"> </w:t>
      </w:r>
      <w:r w:rsidRPr="00E6515F">
        <w:rPr>
          <w:lang w:val="nl-BE"/>
        </w:rPr>
        <w:t xml:space="preserve">in 2018 opgestart. </w:t>
      </w:r>
      <w:r w:rsidR="000C35CB">
        <w:rPr>
          <w:lang w:val="nl-BE"/>
        </w:rPr>
        <w:t>Binnen dat project</w:t>
      </w:r>
      <w:r w:rsidR="000C35CB" w:rsidRPr="00E6515F">
        <w:rPr>
          <w:lang w:val="nl-BE"/>
        </w:rPr>
        <w:t xml:space="preserve"> </w:t>
      </w:r>
      <w:r w:rsidRPr="00E6515F">
        <w:rPr>
          <w:lang w:val="nl-BE"/>
        </w:rPr>
        <w:t>zal intensief samengewerkt worden met Zorginspectie.</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In 2018 start</w:t>
      </w:r>
      <w:r w:rsidR="000C35CB">
        <w:rPr>
          <w:lang w:val="nl-BE"/>
        </w:rPr>
        <w:t>te</w:t>
      </w:r>
      <w:r w:rsidRPr="00E6515F">
        <w:rPr>
          <w:lang w:val="nl-BE"/>
        </w:rPr>
        <w:t xml:space="preserve"> een evaluatie ten gronde van het systeem van persoonsvolgende financiering. Naast continue bijsturingen en optimalisaties van de eigen administratieve processen, worden ook beleidsaanbevelingen geformuleerd in functie van een volgende regeerperiode.</w:t>
      </w:r>
    </w:p>
    <w:p w:rsidR="0085452E" w:rsidRPr="00E6515F" w:rsidRDefault="0085452E" w:rsidP="0085452E">
      <w:pPr>
        <w:jc w:val="both"/>
        <w:rPr>
          <w:lang w:val="nl-BE"/>
        </w:rPr>
      </w:pPr>
    </w:p>
    <w:p w:rsidR="0085452E" w:rsidRPr="00E6515F" w:rsidRDefault="0085452E" w:rsidP="0085452E">
      <w:pPr>
        <w:jc w:val="both"/>
        <w:rPr>
          <w:b/>
          <w:color w:val="38761D"/>
          <w:lang w:val="nl-BE"/>
        </w:rPr>
      </w:pPr>
      <w:r w:rsidRPr="00E6515F">
        <w:rPr>
          <w:b/>
          <w:color w:val="38761D"/>
          <w:lang w:val="nl-BE"/>
        </w:rPr>
        <w:t>OOD 1.3 We organiseren gerichte begeleiding</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We willen personen met een beperking met een zorgvraag en ondersteuningsnood gericht begeleiden. Daarvoor 1) evalueren we de werking van de Diensten Ondersteuningsplan, 2) optimaliseren we de processen, 3) breiden we de capaciteit uit en 4) versterken we expertise en deskundigheid op vlak van vraagverheldering en ondersteuningsplanning</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In de aanloop </w:t>
      </w:r>
      <w:r w:rsidR="000C35CB">
        <w:rPr>
          <w:lang w:val="nl-BE"/>
        </w:rPr>
        <w:t>naar</w:t>
      </w:r>
      <w:r w:rsidR="000C35CB" w:rsidRPr="00E6515F">
        <w:rPr>
          <w:lang w:val="nl-BE"/>
        </w:rPr>
        <w:t xml:space="preserve"> </w:t>
      </w:r>
      <w:r w:rsidRPr="00E6515F">
        <w:rPr>
          <w:lang w:val="nl-BE"/>
        </w:rPr>
        <w:t xml:space="preserve">de invoering van de persoonsvolgende financiering voor meerderjarige </w:t>
      </w:r>
      <w:r w:rsidR="000C35CB">
        <w:rPr>
          <w:lang w:val="nl-BE"/>
        </w:rPr>
        <w:t>personen met een handicap</w:t>
      </w:r>
      <w:r w:rsidR="000C35CB" w:rsidRPr="00E6515F">
        <w:rPr>
          <w:lang w:val="nl-BE"/>
        </w:rPr>
        <w:t xml:space="preserve"> </w:t>
      </w:r>
      <w:r w:rsidRPr="00E6515F">
        <w:rPr>
          <w:lang w:val="nl-BE"/>
        </w:rPr>
        <w:t xml:space="preserve">werd de werking en dienstverlening van de </w:t>
      </w:r>
      <w:r w:rsidR="000C35CB">
        <w:rPr>
          <w:lang w:val="nl-BE"/>
        </w:rPr>
        <w:t>d</w:t>
      </w:r>
      <w:r w:rsidR="000C35CB" w:rsidRPr="00E6515F">
        <w:rPr>
          <w:lang w:val="nl-BE"/>
        </w:rPr>
        <w:t xml:space="preserve">iensten </w:t>
      </w:r>
      <w:r w:rsidR="000C35CB">
        <w:rPr>
          <w:lang w:val="nl-BE"/>
        </w:rPr>
        <w:t>o</w:t>
      </w:r>
      <w:r w:rsidR="000C35CB" w:rsidRPr="00E6515F">
        <w:rPr>
          <w:lang w:val="nl-BE"/>
        </w:rPr>
        <w:t xml:space="preserve">ndersteuningsplan </w:t>
      </w:r>
      <w:r w:rsidRPr="00E6515F">
        <w:rPr>
          <w:lang w:val="nl-BE"/>
        </w:rPr>
        <w:t>(</w:t>
      </w:r>
      <w:proofErr w:type="spellStart"/>
      <w:r w:rsidRPr="00E6515F">
        <w:rPr>
          <w:lang w:val="nl-BE"/>
        </w:rPr>
        <w:t>DOP</w:t>
      </w:r>
      <w:r w:rsidR="000C35CB">
        <w:rPr>
          <w:lang w:val="nl-BE"/>
        </w:rPr>
        <w:t>’s</w:t>
      </w:r>
      <w:proofErr w:type="spellEnd"/>
      <w:r w:rsidRPr="00E6515F">
        <w:rPr>
          <w:lang w:val="nl-BE"/>
        </w:rPr>
        <w:t xml:space="preserve">) geëvalueerd en geoptimaliseerd. De </w:t>
      </w:r>
      <w:r w:rsidR="000C35CB">
        <w:rPr>
          <w:lang w:val="nl-BE"/>
        </w:rPr>
        <w:t>diensten ondersteuningsplan</w:t>
      </w:r>
      <w:r w:rsidRPr="00E6515F">
        <w:rPr>
          <w:lang w:val="nl-BE"/>
        </w:rPr>
        <w:t xml:space="preserve"> spelen een cruciale rol in de realisatie van </w:t>
      </w:r>
      <w:r w:rsidR="000943CC">
        <w:rPr>
          <w:lang w:val="nl-BE"/>
        </w:rPr>
        <w:t>een</w:t>
      </w:r>
      <w:r w:rsidR="000943CC" w:rsidRPr="00E6515F">
        <w:rPr>
          <w:lang w:val="nl-BE"/>
        </w:rPr>
        <w:t xml:space="preserve"> </w:t>
      </w:r>
      <w:r w:rsidRPr="00E6515F">
        <w:rPr>
          <w:lang w:val="nl-BE"/>
        </w:rPr>
        <w:t xml:space="preserve">van de twee globale doelstellingen van het Perspectiefplan 2020, </w:t>
      </w:r>
      <w:r w:rsidR="000943CC">
        <w:rPr>
          <w:lang w:val="nl-BE"/>
        </w:rPr>
        <w:t>met name</w:t>
      </w:r>
      <w:r w:rsidRPr="00E6515F">
        <w:rPr>
          <w:lang w:val="nl-BE"/>
        </w:rPr>
        <w:t xml:space="preserve"> </w:t>
      </w:r>
      <w:r w:rsidR="000943CC">
        <w:rPr>
          <w:lang w:val="nl-BE"/>
        </w:rPr>
        <w:t>‘</w:t>
      </w:r>
      <w:r w:rsidRPr="00E6515F">
        <w:rPr>
          <w:lang w:val="nl-BE"/>
        </w:rPr>
        <w:t xml:space="preserve">geïnformeerde gebruikers genieten van </w:t>
      </w:r>
      <w:proofErr w:type="spellStart"/>
      <w:r w:rsidRPr="00E6515F">
        <w:rPr>
          <w:lang w:val="nl-BE"/>
        </w:rPr>
        <w:t>vraaggestuurde</w:t>
      </w:r>
      <w:proofErr w:type="spellEnd"/>
      <w:r w:rsidRPr="00E6515F">
        <w:rPr>
          <w:lang w:val="nl-BE"/>
        </w:rPr>
        <w:t xml:space="preserve"> zorg op maat</w:t>
      </w:r>
      <w:r w:rsidR="000943CC">
        <w:rPr>
          <w:lang w:val="nl-BE"/>
        </w:rPr>
        <w:t>‘</w:t>
      </w:r>
      <w:r w:rsidR="000943CC" w:rsidRPr="00E6515F">
        <w:rPr>
          <w:lang w:val="nl-BE"/>
        </w:rPr>
        <w:t xml:space="preserve">. </w:t>
      </w:r>
      <w:r w:rsidR="000C35CB">
        <w:rPr>
          <w:lang w:val="nl-BE"/>
        </w:rPr>
        <w:t>Diensten ondersteuningsplan</w:t>
      </w:r>
      <w:r w:rsidRPr="00E6515F">
        <w:rPr>
          <w:lang w:val="nl-BE"/>
        </w:rPr>
        <w:t xml:space="preserve"> bieden personen met (een vermoeden van) een handicap de mogelijkheid hun ondersteuningsvraag intensief te verkennen en het eigen netwerk te versterken.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lastRenderedPageBreak/>
        <w:t xml:space="preserve">De </w:t>
      </w:r>
      <w:r w:rsidR="000C35CB">
        <w:rPr>
          <w:lang w:val="nl-BE"/>
        </w:rPr>
        <w:t>diensten ondersteuningsplan</w:t>
      </w:r>
      <w:r w:rsidRPr="00E6515F">
        <w:rPr>
          <w:lang w:val="nl-BE"/>
        </w:rPr>
        <w:t xml:space="preserve"> hebben sinds 2016 ook een belangrijke bijkomende opdracht </w:t>
      </w:r>
      <w:r w:rsidR="00180A69">
        <w:rPr>
          <w:lang w:val="nl-BE"/>
        </w:rPr>
        <w:t>in</w:t>
      </w:r>
      <w:r w:rsidR="00180A69" w:rsidRPr="00E6515F">
        <w:rPr>
          <w:lang w:val="nl-BE"/>
        </w:rPr>
        <w:t xml:space="preserve"> </w:t>
      </w:r>
      <w:r w:rsidRPr="00E6515F">
        <w:rPr>
          <w:lang w:val="nl-BE"/>
        </w:rPr>
        <w:t xml:space="preserve">het helpen van personen met een handicap bij het verhelderen en indienen van hun vraag naar een persoonsvolgend budget. De regelgeving </w:t>
      </w:r>
      <w:r w:rsidR="000C35CB">
        <w:rPr>
          <w:lang w:val="nl-BE"/>
        </w:rPr>
        <w:t>voor diensten ondersteuningsplan</w:t>
      </w:r>
      <w:r w:rsidRPr="00E6515F">
        <w:rPr>
          <w:lang w:val="nl-BE"/>
        </w:rPr>
        <w:t xml:space="preserve"> werd </w:t>
      </w:r>
      <w:r w:rsidR="000943CC">
        <w:rPr>
          <w:lang w:val="nl-BE"/>
        </w:rPr>
        <w:t>daa</w:t>
      </w:r>
      <w:r w:rsidR="000943CC" w:rsidRPr="00E6515F">
        <w:rPr>
          <w:lang w:val="nl-BE"/>
        </w:rPr>
        <w:t xml:space="preserve">rtoe </w:t>
      </w:r>
      <w:r w:rsidRPr="00E6515F">
        <w:rPr>
          <w:lang w:val="nl-BE"/>
        </w:rPr>
        <w:t xml:space="preserve">aangepast. </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Om te vermijden dat </w:t>
      </w:r>
      <w:r w:rsidR="000943CC" w:rsidRPr="00E6515F">
        <w:rPr>
          <w:lang w:val="nl-BE"/>
        </w:rPr>
        <w:t>d</w:t>
      </w:r>
      <w:r w:rsidR="000943CC">
        <w:rPr>
          <w:lang w:val="nl-BE"/>
        </w:rPr>
        <w:t>ie</w:t>
      </w:r>
      <w:r w:rsidR="000943CC" w:rsidRPr="00E6515F">
        <w:rPr>
          <w:lang w:val="nl-BE"/>
        </w:rPr>
        <w:t xml:space="preserve"> </w:t>
      </w:r>
      <w:r w:rsidRPr="00E6515F">
        <w:rPr>
          <w:lang w:val="nl-BE"/>
        </w:rPr>
        <w:t xml:space="preserve">bijkomende opdracht de oorspronkelijke en feitelijke kernopdracht van de </w:t>
      </w:r>
      <w:r w:rsidR="000C35CB">
        <w:rPr>
          <w:lang w:val="nl-BE"/>
        </w:rPr>
        <w:t>diensten ondersteuningsplan</w:t>
      </w:r>
      <w:r w:rsidRPr="00E6515F">
        <w:rPr>
          <w:lang w:val="nl-BE"/>
        </w:rPr>
        <w:t xml:space="preserve"> zou ondergraven, heeft het VAPH  sinds de invoering van </w:t>
      </w:r>
      <w:r w:rsidR="000943CC">
        <w:rPr>
          <w:lang w:val="nl-BE"/>
        </w:rPr>
        <w:t xml:space="preserve">het systeem van de </w:t>
      </w:r>
      <w:r w:rsidR="009F5B77">
        <w:rPr>
          <w:lang w:val="nl-BE"/>
        </w:rPr>
        <w:t>persoonsvolgende financiering</w:t>
      </w:r>
      <w:r w:rsidRPr="00E6515F">
        <w:rPr>
          <w:lang w:val="nl-BE"/>
        </w:rPr>
        <w:t xml:space="preserve"> op verschillende vlakken initiatief genomen. Personen met een handicap die een </w:t>
      </w:r>
      <w:r w:rsidR="00DD02E4">
        <w:rPr>
          <w:lang w:val="nl-BE"/>
        </w:rPr>
        <w:t>persoonsvolgend budget</w:t>
      </w:r>
      <w:r w:rsidRPr="00E6515F">
        <w:rPr>
          <w:lang w:val="nl-BE"/>
        </w:rPr>
        <w:t xml:space="preserve"> voor </w:t>
      </w:r>
      <w:r w:rsidR="000943CC">
        <w:rPr>
          <w:lang w:val="nl-BE"/>
        </w:rPr>
        <w:t>niet-</w:t>
      </w:r>
      <w:r w:rsidR="00DD02E4">
        <w:rPr>
          <w:lang w:val="nl-BE"/>
        </w:rPr>
        <w:t>rechtstreeks toegankelijke hulp</w:t>
      </w:r>
      <w:r w:rsidRPr="00E6515F">
        <w:rPr>
          <w:lang w:val="nl-BE"/>
        </w:rPr>
        <w:t xml:space="preserve"> willen aanvragen, </w:t>
      </w:r>
      <w:r w:rsidR="000943CC">
        <w:rPr>
          <w:lang w:val="nl-BE"/>
        </w:rPr>
        <w:t>moeten</w:t>
      </w:r>
      <w:r w:rsidR="000943CC" w:rsidRPr="00E6515F">
        <w:rPr>
          <w:lang w:val="nl-BE"/>
        </w:rPr>
        <w:t xml:space="preserve"> </w:t>
      </w:r>
      <w:r w:rsidRPr="00E6515F">
        <w:rPr>
          <w:lang w:val="nl-BE"/>
        </w:rPr>
        <w:t xml:space="preserve">een proces van vraagverheldering doorlopen en een </w:t>
      </w:r>
      <w:r w:rsidR="00DD02E4">
        <w:rPr>
          <w:lang w:val="nl-BE"/>
        </w:rPr>
        <w:t>o</w:t>
      </w:r>
      <w:r w:rsidRPr="00E6515F">
        <w:rPr>
          <w:lang w:val="nl-BE"/>
        </w:rPr>
        <w:t xml:space="preserve">ndersteuningsplan </w:t>
      </w:r>
      <w:r w:rsidR="00DD02E4">
        <w:rPr>
          <w:lang w:val="nl-BE"/>
        </w:rPr>
        <w:t>persoonsvolgend budget</w:t>
      </w:r>
      <w:r w:rsidRPr="00E6515F">
        <w:rPr>
          <w:lang w:val="nl-BE"/>
        </w:rPr>
        <w:t xml:space="preserve"> </w:t>
      </w:r>
      <w:r w:rsidR="00DD02E4">
        <w:rPr>
          <w:lang w:val="nl-BE"/>
        </w:rPr>
        <w:t xml:space="preserve">(OP PVB) </w:t>
      </w:r>
      <w:r w:rsidRPr="00E6515F">
        <w:rPr>
          <w:lang w:val="nl-BE"/>
        </w:rPr>
        <w:t xml:space="preserve">opmaken. Ze kunnen </w:t>
      </w:r>
      <w:r w:rsidR="000943CC">
        <w:rPr>
          <w:lang w:val="nl-BE"/>
        </w:rPr>
        <w:t>dat</w:t>
      </w:r>
      <w:r w:rsidR="000943CC" w:rsidRPr="00E6515F">
        <w:rPr>
          <w:lang w:val="nl-BE"/>
        </w:rPr>
        <w:t xml:space="preserve"> </w:t>
      </w:r>
      <w:r w:rsidRPr="00E6515F">
        <w:rPr>
          <w:lang w:val="nl-BE"/>
        </w:rPr>
        <w:t xml:space="preserve">volledig zelfstandig opstellen of zich </w:t>
      </w:r>
      <w:r w:rsidR="000943CC">
        <w:rPr>
          <w:lang w:val="nl-BE"/>
        </w:rPr>
        <w:t>daa</w:t>
      </w:r>
      <w:r w:rsidR="000943CC" w:rsidRPr="00E6515F">
        <w:rPr>
          <w:lang w:val="nl-BE"/>
        </w:rPr>
        <w:t xml:space="preserve">rin </w:t>
      </w:r>
      <w:r w:rsidRPr="00E6515F">
        <w:rPr>
          <w:lang w:val="nl-BE"/>
        </w:rPr>
        <w:t xml:space="preserve">laten bijstaan. Het eerste jaar </w:t>
      </w:r>
      <w:r w:rsidR="009F5B77">
        <w:rPr>
          <w:lang w:val="nl-BE"/>
        </w:rPr>
        <w:t>persoonsvolgende financiering</w:t>
      </w:r>
      <w:r w:rsidRPr="00E6515F">
        <w:rPr>
          <w:lang w:val="nl-BE"/>
        </w:rPr>
        <w:t xml:space="preserve"> </w:t>
      </w:r>
      <w:r w:rsidR="000943CC">
        <w:rPr>
          <w:lang w:val="nl-BE"/>
        </w:rPr>
        <w:t>leerde</w:t>
      </w:r>
      <w:r w:rsidR="000943CC" w:rsidRPr="00E6515F">
        <w:rPr>
          <w:lang w:val="nl-BE"/>
        </w:rPr>
        <w:t xml:space="preserve"> </w:t>
      </w:r>
      <w:r w:rsidRPr="00E6515F">
        <w:rPr>
          <w:lang w:val="nl-BE"/>
        </w:rPr>
        <w:t xml:space="preserve">dat het voor </w:t>
      </w:r>
      <w:r w:rsidR="009F5B77">
        <w:rPr>
          <w:lang w:val="nl-BE"/>
        </w:rPr>
        <w:t>personen met een handicap</w:t>
      </w:r>
      <w:r w:rsidRPr="00E6515F">
        <w:rPr>
          <w:lang w:val="nl-BE"/>
        </w:rPr>
        <w:t xml:space="preserve"> erg moeilijk is om een kwaliteitsvol proces van vraagverheldering te doorlopen zonder (professionele) hulp. Daarom werden volgende initiatieven genomen:</w:t>
      </w:r>
    </w:p>
    <w:p w:rsidR="0085452E" w:rsidRPr="00E6515F" w:rsidRDefault="0085452E" w:rsidP="0085452E">
      <w:pPr>
        <w:jc w:val="both"/>
        <w:rPr>
          <w:lang w:val="nl-BE"/>
        </w:rPr>
      </w:pPr>
    </w:p>
    <w:p w:rsidR="0085452E" w:rsidRPr="00E6515F" w:rsidRDefault="000943CC" w:rsidP="0085452E">
      <w:pPr>
        <w:numPr>
          <w:ilvl w:val="0"/>
          <w:numId w:val="19"/>
        </w:numPr>
        <w:spacing w:after="240"/>
        <w:contextualSpacing/>
        <w:jc w:val="both"/>
        <w:rPr>
          <w:lang w:val="nl-BE"/>
        </w:rPr>
      </w:pPr>
      <w:r>
        <w:rPr>
          <w:lang w:val="nl-BE"/>
        </w:rPr>
        <w:t>D</w:t>
      </w:r>
      <w:r w:rsidRPr="00E6515F">
        <w:rPr>
          <w:lang w:val="nl-BE"/>
        </w:rPr>
        <w:t xml:space="preserve">e </w:t>
      </w:r>
      <w:r w:rsidR="0085452E" w:rsidRPr="00E6515F">
        <w:rPr>
          <w:lang w:val="nl-BE"/>
        </w:rPr>
        <w:t xml:space="preserve">tijdelijke uitbreiding van de capaciteit </w:t>
      </w:r>
      <w:r w:rsidR="000C35CB">
        <w:rPr>
          <w:lang w:val="nl-BE"/>
        </w:rPr>
        <w:t>diensten ondersteuningsplan</w:t>
      </w:r>
      <w:r w:rsidR="0085452E" w:rsidRPr="00E6515F">
        <w:rPr>
          <w:lang w:val="nl-BE"/>
        </w:rPr>
        <w:t xml:space="preserve"> wordt verder gecontinueerd in 2018 en 2019</w:t>
      </w:r>
      <w:r>
        <w:rPr>
          <w:lang w:val="nl-BE"/>
        </w:rPr>
        <w:t>.</w:t>
      </w:r>
    </w:p>
    <w:p w:rsidR="0085452E" w:rsidRPr="00E6515F" w:rsidRDefault="000943CC" w:rsidP="0085452E">
      <w:pPr>
        <w:numPr>
          <w:ilvl w:val="0"/>
          <w:numId w:val="19"/>
        </w:numPr>
        <w:spacing w:after="240"/>
        <w:contextualSpacing/>
        <w:jc w:val="both"/>
        <w:rPr>
          <w:lang w:val="nl-BE"/>
        </w:rPr>
      </w:pPr>
      <w:r>
        <w:rPr>
          <w:lang w:val="nl-BE"/>
        </w:rPr>
        <w:t>E</w:t>
      </w:r>
      <w:r w:rsidRPr="00E6515F">
        <w:rPr>
          <w:lang w:val="nl-BE"/>
        </w:rPr>
        <w:t xml:space="preserve">r </w:t>
      </w:r>
      <w:r w:rsidR="0085452E" w:rsidRPr="00E6515F">
        <w:rPr>
          <w:lang w:val="nl-BE"/>
        </w:rPr>
        <w:t xml:space="preserve">werd een traject opgestart en afgewerkt met de </w:t>
      </w:r>
      <w:r>
        <w:rPr>
          <w:lang w:val="nl-BE"/>
        </w:rPr>
        <w:t>d</w:t>
      </w:r>
      <w:r w:rsidRPr="00E6515F">
        <w:rPr>
          <w:lang w:val="nl-BE"/>
        </w:rPr>
        <w:t xml:space="preserve">iensten </w:t>
      </w:r>
      <w:r>
        <w:rPr>
          <w:lang w:val="nl-BE"/>
        </w:rPr>
        <w:t>m</w:t>
      </w:r>
      <w:r w:rsidRPr="00E6515F">
        <w:rPr>
          <w:lang w:val="nl-BE"/>
        </w:rPr>
        <w:t xml:space="preserve">aatschappelijk </w:t>
      </w:r>
      <w:r>
        <w:rPr>
          <w:lang w:val="nl-BE"/>
        </w:rPr>
        <w:t>w</w:t>
      </w:r>
      <w:r w:rsidRPr="00E6515F">
        <w:rPr>
          <w:lang w:val="nl-BE"/>
        </w:rPr>
        <w:t xml:space="preserve">erk </w:t>
      </w:r>
      <w:r w:rsidR="0085452E" w:rsidRPr="00E6515F">
        <w:rPr>
          <w:lang w:val="nl-BE"/>
        </w:rPr>
        <w:t>(</w:t>
      </w:r>
      <w:proofErr w:type="spellStart"/>
      <w:r w:rsidR="0085452E" w:rsidRPr="00E6515F">
        <w:rPr>
          <w:lang w:val="nl-BE"/>
        </w:rPr>
        <w:t>DMW</w:t>
      </w:r>
      <w:r>
        <w:rPr>
          <w:lang w:val="nl-BE"/>
        </w:rPr>
        <w:t>’s</w:t>
      </w:r>
      <w:proofErr w:type="spellEnd"/>
      <w:r w:rsidR="0085452E" w:rsidRPr="00E6515F">
        <w:rPr>
          <w:lang w:val="nl-BE"/>
        </w:rPr>
        <w:t xml:space="preserve">) om te garanderen dat ook bij hen een kwaliteitsvol proces van vraagverheldering wordt doorlopen zodat de </w:t>
      </w:r>
      <w:r>
        <w:rPr>
          <w:lang w:val="nl-BE"/>
        </w:rPr>
        <w:t>ondersteuningsplannen persoonsvolgend budget</w:t>
      </w:r>
      <w:r w:rsidR="0085452E" w:rsidRPr="00E6515F">
        <w:rPr>
          <w:lang w:val="nl-BE"/>
        </w:rPr>
        <w:t xml:space="preserve"> die met hun hulp worden opgesteld, automatisch goedgekeurd worden (tijds- en efficiëntiewinst zonder kwaliteitsverlies)</w:t>
      </w:r>
      <w:r>
        <w:rPr>
          <w:lang w:val="nl-BE"/>
        </w:rPr>
        <w:t>.</w:t>
      </w:r>
    </w:p>
    <w:p w:rsidR="0085452E" w:rsidRPr="00E6515F" w:rsidRDefault="000943CC" w:rsidP="0085452E">
      <w:pPr>
        <w:numPr>
          <w:ilvl w:val="0"/>
          <w:numId w:val="19"/>
        </w:numPr>
        <w:spacing w:after="240"/>
        <w:contextualSpacing/>
        <w:jc w:val="both"/>
        <w:rPr>
          <w:lang w:val="nl-BE"/>
        </w:rPr>
      </w:pPr>
      <w:r>
        <w:rPr>
          <w:lang w:val="nl-BE"/>
        </w:rPr>
        <w:t>E</w:t>
      </w:r>
      <w:r w:rsidRPr="00E6515F">
        <w:rPr>
          <w:lang w:val="nl-BE"/>
        </w:rPr>
        <w:t xml:space="preserve">r </w:t>
      </w:r>
      <w:r w:rsidR="0085452E" w:rsidRPr="00E6515F">
        <w:rPr>
          <w:lang w:val="nl-BE"/>
        </w:rPr>
        <w:t>is een onderzoek uitbesteed aan</w:t>
      </w:r>
      <w:r>
        <w:rPr>
          <w:lang w:val="nl-BE"/>
        </w:rPr>
        <w:t xml:space="preserve"> de hogeschool </w:t>
      </w:r>
      <w:r w:rsidR="0085452E" w:rsidRPr="00E6515F">
        <w:rPr>
          <w:lang w:val="nl-BE"/>
        </w:rPr>
        <w:t xml:space="preserve"> </w:t>
      </w:r>
      <w:proofErr w:type="spellStart"/>
      <w:r w:rsidR="0085452E" w:rsidRPr="00E6515F">
        <w:rPr>
          <w:lang w:val="nl-BE"/>
        </w:rPr>
        <w:t>Odisee</w:t>
      </w:r>
      <w:proofErr w:type="spellEnd"/>
      <w:r w:rsidR="0085452E" w:rsidRPr="00E6515F">
        <w:rPr>
          <w:lang w:val="nl-BE"/>
        </w:rPr>
        <w:t xml:space="preserve"> om een tool te ontwikkelen die </w:t>
      </w:r>
      <w:r w:rsidR="009F5B77">
        <w:rPr>
          <w:lang w:val="nl-BE"/>
        </w:rPr>
        <w:t>personen met een handicap</w:t>
      </w:r>
      <w:r w:rsidR="0085452E" w:rsidRPr="00E6515F">
        <w:rPr>
          <w:lang w:val="nl-BE"/>
        </w:rPr>
        <w:t xml:space="preserve"> moet toelaten zelf een proces van vraagverheldering te doorlopen en een kwaliteitsvol </w:t>
      </w:r>
      <w:r w:rsidR="00DD02E4">
        <w:rPr>
          <w:lang w:val="nl-BE"/>
        </w:rPr>
        <w:t>ondersteuningsplan persoonsvolgend budget</w:t>
      </w:r>
      <w:r w:rsidR="0085452E" w:rsidRPr="00E6515F">
        <w:rPr>
          <w:lang w:val="nl-BE"/>
        </w:rPr>
        <w:t xml:space="preserve"> op te stellen zonder hulp van een professional</w:t>
      </w:r>
      <w:r>
        <w:rPr>
          <w:lang w:val="nl-BE"/>
        </w:rPr>
        <w:t>.</w:t>
      </w:r>
    </w:p>
    <w:p w:rsidR="0085452E" w:rsidRPr="00E6515F" w:rsidRDefault="0085452E" w:rsidP="0085452E">
      <w:pPr>
        <w:spacing w:after="240"/>
        <w:ind w:left="720"/>
        <w:contextualSpacing/>
        <w:jc w:val="both"/>
        <w:rPr>
          <w:lang w:val="nl-BE"/>
        </w:rPr>
      </w:pPr>
    </w:p>
    <w:p w:rsidR="0085452E" w:rsidRPr="00E6515F" w:rsidRDefault="0085452E" w:rsidP="0085452E">
      <w:pPr>
        <w:jc w:val="both"/>
        <w:rPr>
          <w:lang w:val="nl-BE"/>
        </w:rPr>
      </w:pPr>
      <w:r w:rsidRPr="00E6515F">
        <w:rPr>
          <w:lang w:val="nl-BE"/>
        </w:rPr>
        <w:t xml:space="preserve">In de evaluatie van </w:t>
      </w:r>
      <w:r w:rsidR="000943CC">
        <w:rPr>
          <w:lang w:val="nl-BE"/>
        </w:rPr>
        <w:t xml:space="preserve">de </w:t>
      </w:r>
      <w:r w:rsidR="009F5B77">
        <w:rPr>
          <w:lang w:val="nl-BE"/>
        </w:rPr>
        <w:t>persoonsvolgende financiering</w:t>
      </w:r>
      <w:r w:rsidRPr="00E6515F">
        <w:rPr>
          <w:lang w:val="nl-BE"/>
        </w:rPr>
        <w:t xml:space="preserve"> wordt bekeken wat de impact is van het doorlopen van een proces van vraagverheldering op de vraagstelling, </w:t>
      </w:r>
      <w:r w:rsidR="000943CC">
        <w:rPr>
          <w:lang w:val="nl-BE"/>
        </w:rPr>
        <w:t>met inbegrip van</w:t>
      </w:r>
      <w:r w:rsidRPr="00E6515F">
        <w:rPr>
          <w:lang w:val="nl-BE"/>
        </w:rPr>
        <w:t xml:space="preserve"> het effect van ondersteuning door een </w:t>
      </w:r>
      <w:r w:rsidR="000C35CB">
        <w:rPr>
          <w:lang w:val="nl-BE"/>
        </w:rPr>
        <w:t>dienst ondersteuningsplan</w:t>
      </w:r>
      <w:r w:rsidRPr="00E6515F">
        <w:rPr>
          <w:lang w:val="nl-BE"/>
        </w:rPr>
        <w:t xml:space="preserve">, een </w:t>
      </w:r>
      <w:r w:rsidR="000943CC">
        <w:rPr>
          <w:lang w:val="nl-BE"/>
        </w:rPr>
        <w:t>dienst maatschappelijk werk</w:t>
      </w:r>
      <w:r w:rsidR="000943CC" w:rsidRPr="00E6515F">
        <w:rPr>
          <w:lang w:val="nl-BE"/>
        </w:rPr>
        <w:t xml:space="preserve"> </w:t>
      </w:r>
      <w:r w:rsidRPr="00E6515F">
        <w:rPr>
          <w:lang w:val="nl-BE"/>
        </w:rPr>
        <w:t>of zonder hulp.</w:t>
      </w:r>
    </w:p>
    <w:p w:rsidR="0085452E" w:rsidRPr="00E6515F" w:rsidRDefault="0085452E" w:rsidP="0085452E">
      <w:pPr>
        <w:jc w:val="both"/>
        <w:rPr>
          <w:lang w:val="nl-BE"/>
        </w:rPr>
      </w:pPr>
    </w:p>
    <w:p w:rsidR="0085452E" w:rsidRPr="00E6515F" w:rsidRDefault="0085452E" w:rsidP="0085452E">
      <w:pPr>
        <w:jc w:val="both"/>
        <w:rPr>
          <w:b/>
          <w:color w:val="38761D"/>
          <w:lang w:val="nl-BE"/>
        </w:rPr>
      </w:pPr>
      <w:r w:rsidRPr="00E6515F">
        <w:rPr>
          <w:b/>
          <w:color w:val="38761D"/>
          <w:lang w:val="nl-BE"/>
        </w:rPr>
        <w:t xml:space="preserve">OOD 1.4 We hertekenen diagnostiek, indicatiestelling en zorgregie </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We installeren voor volwassen personen met een beperking een vernieuwde toegangspoort die op basis van geobjectiveerde noden de koppeling zal maken met financiering</w:t>
      </w:r>
    </w:p>
    <w:p w:rsidR="0085452E" w:rsidRPr="00E6515F" w:rsidRDefault="0085452E" w:rsidP="0085452E">
      <w:pPr>
        <w:jc w:val="both"/>
        <w:rPr>
          <w:b/>
          <w:lang w:val="nl-BE"/>
        </w:rPr>
      </w:pPr>
    </w:p>
    <w:p w:rsidR="000943CC" w:rsidRDefault="0085452E" w:rsidP="0085452E">
      <w:pPr>
        <w:jc w:val="both"/>
        <w:rPr>
          <w:lang w:val="nl-BE"/>
        </w:rPr>
      </w:pPr>
      <w:r w:rsidRPr="00E6515F">
        <w:rPr>
          <w:lang w:val="nl-BE"/>
        </w:rPr>
        <w:t xml:space="preserve">In het kader van de invoering van de persoonsvolgende financiering voor meerderjarige personen met een handicap werd een geëigende procedure uitgewerkt en in regelgeving verankerd voor </w:t>
      </w:r>
      <w:r w:rsidR="000943CC">
        <w:rPr>
          <w:lang w:val="nl-BE"/>
        </w:rPr>
        <w:t>de aanvraag</w:t>
      </w:r>
      <w:r w:rsidRPr="00E6515F">
        <w:rPr>
          <w:lang w:val="nl-BE"/>
        </w:rPr>
        <w:t xml:space="preserve"> van een persoonsvolgend budget en voor </w:t>
      </w:r>
      <w:r w:rsidR="000943CC">
        <w:rPr>
          <w:lang w:val="nl-BE"/>
        </w:rPr>
        <w:t>de beoordeling</w:t>
      </w:r>
      <w:r w:rsidRPr="00E6515F">
        <w:rPr>
          <w:lang w:val="nl-BE"/>
        </w:rPr>
        <w:t xml:space="preserve"> van </w:t>
      </w:r>
      <w:r w:rsidR="000943CC">
        <w:rPr>
          <w:lang w:val="nl-BE"/>
        </w:rPr>
        <w:t>die</w:t>
      </w:r>
      <w:r w:rsidR="000943CC" w:rsidRPr="00E6515F">
        <w:rPr>
          <w:lang w:val="nl-BE"/>
        </w:rPr>
        <w:t xml:space="preserve"> </w:t>
      </w:r>
      <w:r w:rsidRPr="00E6515F">
        <w:rPr>
          <w:lang w:val="nl-BE"/>
        </w:rPr>
        <w:t>aanvraag. Belangrijke deelaspecten van de procedure zijn</w:t>
      </w:r>
      <w:r w:rsidR="000943CC">
        <w:rPr>
          <w:lang w:val="nl-BE"/>
        </w:rPr>
        <w:t>:</w:t>
      </w:r>
    </w:p>
    <w:p w:rsidR="000943CC" w:rsidRDefault="0085452E" w:rsidP="0085452E">
      <w:pPr>
        <w:jc w:val="both"/>
        <w:rPr>
          <w:lang w:val="nl-BE"/>
        </w:rPr>
      </w:pPr>
      <w:r w:rsidRPr="00E6515F">
        <w:rPr>
          <w:lang w:val="nl-BE"/>
        </w:rPr>
        <w:t xml:space="preserve">a) het opstellen, indienen en beoordelen van een ondersteuningsplan </w:t>
      </w:r>
      <w:r w:rsidR="00DD02E4">
        <w:rPr>
          <w:lang w:val="nl-BE"/>
        </w:rPr>
        <w:t>persoonsvolgend budget</w:t>
      </w:r>
      <w:r w:rsidR="000943CC">
        <w:rPr>
          <w:lang w:val="nl-BE"/>
        </w:rPr>
        <w:t>;</w:t>
      </w:r>
    </w:p>
    <w:p w:rsidR="000943CC" w:rsidRDefault="0085452E" w:rsidP="0085452E">
      <w:pPr>
        <w:jc w:val="both"/>
        <w:rPr>
          <w:lang w:val="nl-BE"/>
        </w:rPr>
      </w:pPr>
      <w:r w:rsidRPr="00E6515F">
        <w:rPr>
          <w:lang w:val="nl-BE"/>
        </w:rPr>
        <w:t>b) het objectiveren van de ondersteuningsnood en de zorgzwaarte door een multidisciplinair team, met inbegrip van het bepalen van de toe te wijzen budgethoogte</w:t>
      </w:r>
      <w:r w:rsidR="000943CC">
        <w:rPr>
          <w:lang w:val="nl-BE"/>
        </w:rPr>
        <w:t xml:space="preserve"> van het</w:t>
      </w:r>
      <w:r w:rsidRPr="00E6515F">
        <w:rPr>
          <w:lang w:val="nl-BE"/>
        </w:rPr>
        <w:t xml:space="preserve"> </w:t>
      </w:r>
      <w:r w:rsidR="00DD02E4">
        <w:rPr>
          <w:lang w:val="nl-BE"/>
        </w:rPr>
        <w:t>persoonsvolgend budget</w:t>
      </w:r>
      <w:r w:rsidR="000943CC">
        <w:rPr>
          <w:lang w:val="nl-BE"/>
        </w:rPr>
        <w:t>;</w:t>
      </w:r>
    </w:p>
    <w:p w:rsidR="0085452E" w:rsidRPr="00E6515F" w:rsidRDefault="0085452E" w:rsidP="0085452E">
      <w:pPr>
        <w:jc w:val="both"/>
        <w:rPr>
          <w:lang w:val="nl-BE"/>
        </w:rPr>
      </w:pPr>
      <w:r w:rsidRPr="00E6515F">
        <w:rPr>
          <w:lang w:val="nl-BE"/>
        </w:rPr>
        <w:lastRenderedPageBreak/>
        <w:t xml:space="preserve">c) het beoordelen van de prioriteit van de vraag naar een </w:t>
      </w:r>
      <w:r w:rsidR="00DD02E4">
        <w:rPr>
          <w:lang w:val="nl-BE"/>
        </w:rPr>
        <w:t>persoonsvolgend budget</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De inwerkingtreding van de persoonsvolgende financiering bood voor het VAPH de opportuniteit om het concept van het klantdossier van de persoon met een handicap grondig te evalueren en waar nodig aan te passen aan de nieuwe noodwendigheden. Het vernieuwde klantdossier kreeg </w:t>
      </w:r>
      <w:r w:rsidR="000943CC">
        <w:rPr>
          <w:lang w:val="nl-BE"/>
        </w:rPr>
        <w:t>bijvoorbeeld</w:t>
      </w:r>
      <w:r w:rsidRPr="00E6515F">
        <w:rPr>
          <w:lang w:val="nl-BE"/>
        </w:rPr>
        <w:t xml:space="preserve"> een modulaire opbouw die maakt dat voor de verschillende types van klantgegevens zoals de gegevens </w:t>
      </w:r>
      <w:r w:rsidR="000943CC">
        <w:rPr>
          <w:lang w:val="nl-BE"/>
        </w:rPr>
        <w:t>met betrekking tot</w:t>
      </w:r>
      <w:r w:rsidRPr="00E6515F">
        <w:rPr>
          <w:lang w:val="nl-BE"/>
        </w:rPr>
        <w:t xml:space="preserve"> medische stoornissen (module A), de objectivering van de ondersteuningsnood (module B), de dringendheid van de ondersteuningsvraag (module C) en de nood aan materiële hulpmiddelen (module D) een duidelijke plaats wordt gereserveerd. De modulaire opbouw biedt het voordeel dat diverse wijzigingen in de situatie van klant een efficiënte actualisatie van het klantdossier door het </w:t>
      </w:r>
      <w:r w:rsidR="000943CC">
        <w:rPr>
          <w:lang w:val="nl-BE"/>
        </w:rPr>
        <w:t>multidisciplinair team (MDT)</w:t>
      </w:r>
      <w:r w:rsidR="000943CC" w:rsidRPr="00E6515F">
        <w:rPr>
          <w:lang w:val="nl-BE"/>
        </w:rPr>
        <w:t xml:space="preserve"> </w:t>
      </w:r>
      <w:r w:rsidRPr="00E6515F">
        <w:rPr>
          <w:lang w:val="nl-BE"/>
        </w:rPr>
        <w:t>mogelijk maken.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De </w:t>
      </w:r>
      <w:r w:rsidR="000943CC">
        <w:rPr>
          <w:lang w:val="nl-BE"/>
        </w:rPr>
        <w:t>multidisciplinaire teams</w:t>
      </w:r>
      <w:r w:rsidR="000943CC" w:rsidRPr="00E6515F">
        <w:rPr>
          <w:lang w:val="nl-BE"/>
        </w:rPr>
        <w:t xml:space="preserve"> </w:t>
      </w:r>
      <w:r w:rsidRPr="00E6515F">
        <w:rPr>
          <w:lang w:val="nl-BE"/>
        </w:rPr>
        <w:t xml:space="preserve">werden aan de hand van algemene infosessies en praktijkgerichte opleidingen grondig voorbereid op de nieuwe </w:t>
      </w:r>
      <w:proofErr w:type="spellStart"/>
      <w:r w:rsidRPr="00E6515F">
        <w:rPr>
          <w:lang w:val="nl-BE"/>
        </w:rPr>
        <w:t>toeleidingsprocedure</w:t>
      </w:r>
      <w:proofErr w:type="spellEnd"/>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Een nieuw systeem van prioritering, met een geijkte, in detail uitgewerkte set van beoordelingscriteria</w:t>
      </w:r>
      <w:r w:rsidR="000943CC">
        <w:rPr>
          <w:lang w:val="nl-BE"/>
        </w:rPr>
        <w:t>,</w:t>
      </w:r>
      <w:r w:rsidRPr="00E6515F">
        <w:rPr>
          <w:lang w:val="nl-BE"/>
        </w:rPr>
        <w:t xml:space="preserve"> werd uitgewerkt, in regelgeving verankerd en geïmplementeerd. In nauwe samenwerking met de direct betrokken partners (</w:t>
      </w:r>
      <w:r w:rsidR="000943CC">
        <w:rPr>
          <w:lang w:val="nl-BE"/>
        </w:rPr>
        <w:t>in het bijzonder</w:t>
      </w:r>
      <w:r w:rsidR="000943CC" w:rsidRPr="00E6515F">
        <w:rPr>
          <w:lang w:val="nl-BE"/>
        </w:rPr>
        <w:t xml:space="preserve"> </w:t>
      </w:r>
      <w:r w:rsidRPr="00E6515F">
        <w:rPr>
          <w:lang w:val="nl-BE"/>
        </w:rPr>
        <w:t xml:space="preserve">de regionale prioriteitencommissies) werd </w:t>
      </w:r>
      <w:r w:rsidR="000943CC">
        <w:rPr>
          <w:lang w:val="nl-BE"/>
        </w:rPr>
        <w:t>al</w:t>
      </w:r>
      <w:r w:rsidR="000943CC" w:rsidRPr="00E6515F">
        <w:rPr>
          <w:lang w:val="nl-BE"/>
        </w:rPr>
        <w:t xml:space="preserve"> </w:t>
      </w:r>
      <w:r w:rsidRPr="00E6515F">
        <w:rPr>
          <w:lang w:val="nl-BE"/>
        </w:rPr>
        <w:t>een eerste optimalisatie doorgevoerd.</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Om de transitie van het oude naar het nieuwe systeem te realiseren</w:t>
      </w:r>
      <w:r w:rsidR="000943CC">
        <w:rPr>
          <w:lang w:val="nl-BE"/>
        </w:rPr>
        <w:t>,</w:t>
      </w:r>
      <w:r w:rsidRPr="00E6515F">
        <w:rPr>
          <w:lang w:val="nl-BE"/>
        </w:rPr>
        <w:t xml:space="preserve"> werden alle vragen van de vroegere </w:t>
      </w:r>
      <w:r w:rsidR="00C14DFF">
        <w:rPr>
          <w:lang w:val="nl-BE"/>
        </w:rPr>
        <w:t>c</w:t>
      </w:r>
      <w:r w:rsidR="00C14DFF" w:rsidRPr="00E6515F">
        <w:rPr>
          <w:lang w:val="nl-BE"/>
        </w:rPr>
        <w:t xml:space="preserve">entrale </w:t>
      </w:r>
      <w:r w:rsidR="00C14DFF">
        <w:rPr>
          <w:lang w:val="nl-BE"/>
        </w:rPr>
        <w:t>r</w:t>
      </w:r>
      <w:r w:rsidR="00C14DFF" w:rsidRPr="00E6515F">
        <w:rPr>
          <w:lang w:val="nl-BE"/>
        </w:rPr>
        <w:t>egistratie</w:t>
      </w:r>
      <w:r w:rsidR="00C14DFF">
        <w:rPr>
          <w:lang w:val="nl-BE"/>
        </w:rPr>
        <w:t xml:space="preserve"> van z</w:t>
      </w:r>
      <w:r w:rsidRPr="00E6515F">
        <w:rPr>
          <w:lang w:val="nl-BE"/>
        </w:rPr>
        <w:t xml:space="preserve">orgvragen </w:t>
      </w:r>
      <w:r w:rsidR="00C14DFF">
        <w:rPr>
          <w:lang w:val="nl-BE"/>
        </w:rPr>
        <w:t xml:space="preserve">(CRZ) </w:t>
      </w:r>
      <w:r w:rsidRPr="00E6515F">
        <w:rPr>
          <w:lang w:val="nl-BE"/>
        </w:rPr>
        <w:t xml:space="preserve">gescreend en omgezet conform het nieuwe systeem. Begin 2017 waren alle actieve ondersteuningsvragen dan ook vertaald in vragen naar een persoonsvolgend budget en ondergebracht in </w:t>
      </w:r>
      <w:r w:rsidR="00C14DFF">
        <w:rPr>
          <w:lang w:val="nl-BE"/>
        </w:rPr>
        <w:t>een</w:t>
      </w:r>
      <w:r w:rsidR="00C14DFF" w:rsidRPr="00E6515F">
        <w:rPr>
          <w:lang w:val="nl-BE"/>
        </w:rPr>
        <w:t xml:space="preserve"> </w:t>
      </w:r>
      <w:r w:rsidRPr="00E6515F">
        <w:rPr>
          <w:lang w:val="nl-BE"/>
        </w:rPr>
        <w:t>van de drie onderscheiden prioriteitengroepen.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Een fundamentele wijziging in het hele systeem is de introductie van de automatische</w:t>
      </w:r>
      <w:r w:rsidR="00C14DFF">
        <w:rPr>
          <w:lang w:val="nl-BE"/>
        </w:rPr>
        <w:t>-</w:t>
      </w:r>
      <w:r w:rsidRPr="00E6515F">
        <w:rPr>
          <w:lang w:val="nl-BE"/>
        </w:rPr>
        <w:t xml:space="preserve">toekenningsgroepen. </w:t>
      </w:r>
      <w:r w:rsidR="00C14DFF">
        <w:rPr>
          <w:lang w:val="nl-BE"/>
        </w:rPr>
        <w:t>Daa</w:t>
      </w:r>
      <w:r w:rsidRPr="00E6515F">
        <w:rPr>
          <w:lang w:val="nl-BE"/>
        </w:rPr>
        <w:t xml:space="preserve">rmee is een grote stap gezet in </w:t>
      </w:r>
      <w:r w:rsidR="00C14DFF">
        <w:rPr>
          <w:lang w:val="nl-BE"/>
        </w:rPr>
        <w:t>de realisatie</w:t>
      </w:r>
      <w:r w:rsidRPr="00E6515F">
        <w:rPr>
          <w:lang w:val="nl-BE"/>
        </w:rPr>
        <w:t xml:space="preserve"> van de doelstelling ‘zorggarantie’ uit het Perspectiefplan 2020: personen met een handicap waarvoor het maatschappelijk aangewezen en verantwoord is onmiddellijk ondersteuning te voorzien, krijgen meteen en op basis van een aangepaste procedure een </w:t>
      </w:r>
      <w:r w:rsidR="00DD02E4">
        <w:rPr>
          <w:lang w:val="nl-BE"/>
        </w:rPr>
        <w:t>persoonsvolgend budget</w:t>
      </w:r>
      <w:r w:rsidRPr="00E6515F">
        <w:rPr>
          <w:lang w:val="nl-BE"/>
        </w:rPr>
        <w:t xml:space="preserve"> ter beschikking gesteld. Zo wordt zorgcontinuïteit gerealiseerd voor jongvolwassen gebruikers van niet</w:t>
      </w:r>
      <w:r w:rsidR="00C14DFF">
        <w:rPr>
          <w:lang w:val="nl-BE"/>
        </w:rPr>
        <w:t>-</w:t>
      </w:r>
      <w:r w:rsidRPr="00E6515F">
        <w:rPr>
          <w:lang w:val="nl-BE"/>
        </w:rPr>
        <w:t xml:space="preserve">rechtstreeks toegankelijke </w:t>
      </w:r>
      <w:r w:rsidR="00C14DFF">
        <w:rPr>
          <w:lang w:val="nl-BE"/>
        </w:rPr>
        <w:t>hulp</w:t>
      </w:r>
      <w:r w:rsidRPr="00E6515F">
        <w:rPr>
          <w:lang w:val="nl-BE"/>
        </w:rPr>
        <w:t>, wordt ingespeeld op de acute noden van personen in een noodsituatie of in een situatie van maatschappelijke noodzaak, en wordt geanticipeerd op de snel evoluerende noden van personen met een snel degeneratieve aandoening.</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2° Voor minderjarigen met een beperking zal de intersectorale toegangspoort binnen de Integrale Jeugdhulp op basis van geobjectiveerde noden de koppeling maken met financiering [Gedeelde verantwoordelijkheid met Jongerenwelzijn en Zorg &amp; Gezondheid]</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De invoering van de persoonsvolgende financiering voor minderjarigen heeft vertraging opgelopen. Op heden is er geen (politieke) consensus over de wijze waarop </w:t>
      </w:r>
      <w:r w:rsidR="009F5B77">
        <w:rPr>
          <w:lang w:val="nl-BE"/>
        </w:rPr>
        <w:t>persoonsvolgende financiering</w:t>
      </w:r>
      <w:r w:rsidRPr="00E6515F">
        <w:rPr>
          <w:lang w:val="nl-BE"/>
        </w:rPr>
        <w:t xml:space="preserve"> voor minderjarigen gerealiseerd kan worden.</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lastRenderedPageBreak/>
        <w:t xml:space="preserve">3° We laten de </w:t>
      </w:r>
      <w:proofErr w:type="spellStart"/>
      <w:r w:rsidRPr="00E6515F">
        <w:rPr>
          <w:b/>
          <w:lang w:val="nl-BE"/>
        </w:rPr>
        <w:t>MDT’s</w:t>
      </w:r>
      <w:proofErr w:type="spellEnd"/>
      <w:r w:rsidRPr="00E6515F">
        <w:rPr>
          <w:b/>
          <w:lang w:val="nl-BE"/>
        </w:rPr>
        <w:t xml:space="preserve"> doorgroeien tot gemachtigde indicatiestellers op het terrein van de persoonsvolgende financiering. Daarvoor zullen we ze 1) erkennen, 2) </w:t>
      </w:r>
      <w:proofErr w:type="spellStart"/>
      <w:r w:rsidRPr="00E6515F">
        <w:rPr>
          <w:b/>
          <w:lang w:val="nl-BE"/>
        </w:rPr>
        <w:t>responsabiliseren</w:t>
      </w:r>
      <w:proofErr w:type="spellEnd"/>
      <w:r w:rsidRPr="00E6515F">
        <w:rPr>
          <w:b/>
          <w:lang w:val="nl-BE"/>
        </w:rPr>
        <w:t>, 3) vormen en coachen, 4) ex post-controles uitvoeren en 5) indien nodig corrigerende maatregelen nemen. Daartoe zal ook een functioneel instrumentarium ontwikkeld worden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Met de invoering van deze procedure op 1 april 2016 werd een belangrijke stap gezet in de evolutie naar gemachtigde indicatiestelling: voortaan bepalen de </w:t>
      </w:r>
      <w:r w:rsidR="00C14DFF">
        <w:rPr>
          <w:lang w:val="nl-BE"/>
        </w:rPr>
        <w:t>multidisciplinaire teams</w:t>
      </w:r>
      <w:r w:rsidR="00C14DFF" w:rsidRPr="00E6515F">
        <w:rPr>
          <w:lang w:val="nl-BE"/>
        </w:rPr>
        <w:t xml:space="preserve"> </w:t>
      </w:r>
      <w:r w:rsidRPr="00E6515F">
        <w:rPr>
          <w:lang w:val="nl-BE"/>
        </w:rPr>
        <w:t xml:space="preserve">aan de hand van de door het VAPH geïntroduceerde methode van budgetbepaling welke budgethoogte aan de aanvrager wordt toegewezen. Voor de beoordeling van de handicap wordt nog </w:t>
      </w:r>
      <w:r w:rsidR="00C14DFF">
        <w:rPr>
          <w:lang w:val="nl-BE"/>
        </w:rPr>
        <w:t>altijd ee</w:t>
      </w:r>
      <w:r w:rsidR="00EF64CF">
        <w:rPr>
          <w:lang w:val="nl-BE"/>
        </w:rPr>
        <w:t>n</w:t>
      </w:r>
      <w:r w:rsidR="00C14DFF" w:rsidRPr="00E6515F">
        <w:rPr>
          <w:lang w:val="nl-BE"/>
        </w:rPr>
        <w:t xml:space="preserve"> </w:t>
      </w:r>
      <w:r w:rsidRPr="00E6515F">
        <w:rPr>
          <w:lang w:val="nl-BE"/>
        </w:rPr>
        <w:t xml:space="preserve">beroep gedaan op de </w:t>
      </w:r>
      <w:r w:rsidR="00C14DFF">
        <w:rPr>
          <w:lang w:val="nl-BE"/>
        </w:rPr>
        <w:t>p</w:t>
      </w:r>
      <w:r w:rsidR="00C14DFF" w:rsidRPr="00E6515F">
        <w:rPr>
          <w:lang w:val="nl-BE"/>
        </w:rPr>
        <w:t xml:space="preserve">rovinciale </w:t>
      </w:r>
      <w:r w:rsidR="00C14DFF">
        <w:rPr>
          <w:lang w:val="nl-BE"/>
        </w:rPr>
        <w:t>e</w:t>
      </w:r>
      <w:r w:rsidR="00C14DFF" w:rsidRPr="00E6515F">
        <w:rPr>
          <w:lang w:val="nl-BE"/>
        </w:rPr>
        <w:t>valuatiecommissie</w:t>
      </w:r>
      <w:r w:rsidRPr="00E6515F">
        <w:rPr>
          <w:lang w:val="nl-BE"/>
        </w:rPr>
        <w:t xml:space="preserve">. </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4° We garanderen de continuïteit van zorg en ondersteuning in de overgang van minder- naar meerderjarigheid. Daarvoor zullen we in een eerste fase bij het beoordelen van de prioriteit van hulpvragen van jongvolwassenen van 23 jaar en ouder de ondersteuning vanuit de minderjarigenzorg niet in rekening brengen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Tegen 2020 zal het principe van zorgcontinuïteit voor jongvolwassen gebruikers van niet</w:t>
      </w:r>
      <w:r w:rsidR="00C14DFF">
        <w:rPr>
          <w:lang w:val="nl-BE"/>
        </w:rPr>
        <w:t>-</w:t>
      </w:r>
      <w:r w:rsidRPr="00E6515F">
        <w:rPr>
          <w:lang w:val="nl-BE"/>
        </w:rPr>
        <w:t xml:space="preserve">rechtstreeks toegankelijke VAPH-hulp volledig geïmplementeerd zijn. </w:t>
      </w:r>
      <w:r w:rsidR="00C14DFF">
        <w:rPr>
          <w:lang w:val="nl-BE"/>
        </w:rPr>
        <w:t>Daa</w:t>
      </w:r>
      <w:r w:rsidR="00C14DFF" w:rsidRPr="00E6515F">
        <w:rPr>
          <w:lang w:val="nl-BE"/>
        </w:rPr>
        <w:t xml:space="preserve">rtoe </w:t>
      </w:r>
      <w:r w:rsidRPr="00E6515F">
        <w:rPr>
          <w:lang w:val="nl-BE"/>
        </w:rPr>
        <w:t xml:space="preserve">werd een gefaseerd traject opgezet waarbij steeds de oudste jongeren uit de </w:t>
      </w:r>
      <w:r w:rsidR="00C14DFF">
        <w:rPr>
          <w:lang w:val="nl-BE"/>
        </w:rPr>
        <w:t>multifunctionele centra (</w:t>
      </w:r>
      <w:proofErr w:type="spellStart"/>
      <w:r w:rsidR="00C14DFF">
        <w:rPr>
          <w:lang w:val="nl-BE"/>
        </w:rPr>
        <w:t>MFC’s</w:t>
      </w:r>
      <w:proofErr w:type="spellEnd"/>
      <w:r w:rsidR="00C14DFF">
        <w:rPr>
          <w:lang w:val="nl-BE"/>
        </w:rPr>
        <w:t>)</w:t>
      </w:r>
      <w:r w:rsidR="00C14DFF" w:rsidRPr="00E6515F">
        <w:rPr>
          <w:lang w:val="nl-BE"/>
        </w:rPr>
        <w:t xml:space="preserve"> </w:t>
      </w:r>
      <w:r w:rsidRPr="00E6515F">
        <w:rPr>
          <w:lang w:val="nl-BE"/>
        </w:rPr>
        <w:t xml:space="preserve">de mogelijkheid </w:t>
      </w:r>
      <w:r w:rsidR="00C14DFF">
        <w:rPr>
          <w:lang w:val="nl-BE"/>
        </w:rPr>
        <w:t>kregen</w:t>
      </w:r>
      <w:r w:rsidRPr="00E6515F">
        <w:rPr>
          <w:lang w:val="nl-BE"/>
        </w:rPr>
        <w:t xml:space="preserve"> hun ondersteuning via een persoonsvolgend budget als meerderjarige verder te zetten.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De regelgeving inzake de zorgcontinuïteit - en in het bijzonder het berekenen van het bedrag aan middelen jeugdhulp dat via</w:t>
      </w:r>
      <w:r w:rsidR="00C14DFF">
        <w:rPr>
          <w:lang w:val="nl-BE"/>
        </w:rPr>
        <w:t xml:space="preserve"> het</w:t>
      </w:r>
      <w:r w:rsidRPr="00E6515F">
        <w:rPr>
          <w:lang w:val="nl-BE"/>
        </w:rPr>
        <w:t xml:space="preserve"> </w:t>
      </w:r>
      <w:r w:rsidR="00DD02E4">
        <w:rPr>
          <w:lang w:val="nl-BE"/>
        </w:rPr>
        <w:t>persoonsvolgend budget</w:t>
      </w:r>
      <w:r w:rsidRPr="00E6515F">
        <w:rPr>
          <w:lang w:val="nl-BE"/>
        </w:rPr>
        <w:t xml:space="preserve"> gecontinueerd moet worden</w:t>
      </w:r>
      <w:r w:rsidR="00C14DFF">
        <w:rPr>
          <w:lang w:val="nl-BE"/>
        </w:rPr>
        <w:t xml:space="preserve"> </w:t>
      </w:r>
      <w:r w:rsidRPr="00E6515F">
        <w:rPr>
          <w:lang w:val="nl-BE"/>
        </w:rPr>
        <w:t>- werd in de eerste helft van 2018 aangepast.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Samen met </w:t>
      </w:r>
      <w:r w:rsidR="00EF64CF">
        <w:rPr>
          <w:lang w:val="nl-BE"/>
        </w:rPr>
        <w:t>het A</w:t>
      </w:r>
      <w:r w:rsidRPr="00E6515F">
        <w:rPr>
          <w:lang w:val="nl-BE"/>
        </w:rPr>
        <w:t xml:space="preserve">gentschap </w:t>
      </w:r>
      <w:r w:rsidR="00EF64CF">
        <w:rPr>
          <w:lang w:val="nl-BE"/>
        </w:rPr>
        <w:t xml:space="preserve">voor </w:t>
      </w:r>
      <w:r w:rsidRPr="00E6515F">
        <w:rPr>
          <w:lang w:val="nl-BE"/>
        </w:rPr>
        <w:t>Onderwijs</w:t>
      </w:r>
      <w:r w:rsidR="00EF64CF">
        <w:rPr>
          <w:lang w:val="nl-BE"/>
        </w:rPr>
        <w:t>diensten (AGODI)</w:t>
      </w:r>
      <w:r w:rsidRPr="00E6515F">
        <w:rPr>
          <w:lang w:val="nl-BE"/>
        </w:rPr>
        <w:t xml:space="preserve"> en </w:t>
      </w:r>
      <w:r w:rsidR="00EF64CF">
        <w:rPr>
          <w:lang w:val="nl-BE"/>
        </w:rPr>
        <w:t xml:space="preserve">het agentschap </w:t>
      </w:r>
      <w:r w:rsidRPr="00E6515F">
        <w:rPr>
          <w:lang w:val="nl-BE"/>
        </w:rPr>
        <w:t>Jongerenwelzijn wordt onderzocht wat de kost zou zijn om de toepassing van het principe van zorgcontinuïteit uit te breiden tot jongeren die uitstromen uit internaten</w:t>
      </w:r>
      <w:r w:rsidR="00C14DFF">
        <w:rPr>
          <w:lang w:val="nl-BE"/>
        </w:rPr>
        <w:t xml:space="preserve"> van het</w:t>
      </w:r>
      <w:r w:rsidRPr="00E6515F">
        <w:rPr>
          <w:lang w:val="nl-BE"/>
        </w:rPr>
        <w:t xml:space="preserve"> GO</w:t>
      </w:r>
      <w:r w:rsidR="00C14DFF">
        <w:rPr>
          <w:lang w:val="nl-BE"/>
        </w:rPr>
        <w:t xml:space="preserve">! onderwijs van de Vlaamse Gemeenschap </w:t>
      </w:r>
      <w:r w:rsidRPr="00E6515F">
        <w:rPr>
          <w:lang w:val="nl-BE"/>
        </w:rPr>
        <w:t xml:space="preserve"> en uit de </w:t>
      </w:r>
      <w:r w:rsidR="00EF64CF">
        <w:rPr>
          <w:lang w:val="nl-BE"/>
        </w:rPr>
        <w:t>interna</w:t>
      </w:r>
      <w:r w:rsidR="00EF64CF" w:rsidRPr="00EF64CF">
        <w:rPr>
          <w:lang w:val="nl-BE"/>
        </w:rPr>
        <w:t>t</w:t>
      </w:r>
      <w:r w:rsidR="00EF64CF">
        <w:rPr>
          <w:lang w:val="nl-BE"/>
        </w:rPr>
        <w:t>en</w:t>
      </w:r>
      <w:r w:rsidR="00EF64CF" w:rsidRPr="00EF64CF">
        <w:rPr>
          <w:lang w:val="nl-BE"/>
        </w:rPr>
        <w:t xml:space="preserve"> met permanente openstelling</w:t>
      </w:r>
      <w:r w:rsidR="00EF64CF">
        <w:rPr>
          <w:lang w:val="nl-BE"/>
        </w:rPr>
        <w:t xml:space="preserve"> (</w:t>
      </w:r>
      <w:proofErr w:type="spellStart"/>
      <w:r w:rsidRPr="00E6515F">
        <w:rPr>
          <w:lang w:val="nl-BE"/>
        </w:rPr>
        <w:t>IPO’s</w:t>
      </w:r>
      <w:proofErr w:type="spellEnd"/>
      <w:r w:rsidR="00EF64CF">
        <w:rPr>
          <w:lang w:val="nl-BE"/>
        </w:rPr>
        <w:t>)</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In het kader van de evaluatie </w:t>
      </w:r>
      <w:r w:rsidR="00EF64CF">
        <w:rPr>
          <w:lang w:val="nl-BE"/>
        </w:rPr>
        <w:t xml:space="preserve">van de </w:t>
      </w:r>
      <w:r w:rsidR="009F5B77">
        <w:rPr>
          <w:lang w:val="nl-BE"/>
        </w:rPr>
        <w:t>persoonsvolgende financiering</w:t>
      </w:r>
      <w:r w:rsidRPr="00E6515F">
        <w:rPr>
          <w:lang w:val="nl-BE"/>
        </w:rPr>
        <w:t xml:space="preserve"> zal de huidige toepassing van zorgcontinuïteit geëvalueerd en waar nodig en mogelijk bijgestuurd worden (</w:t>
      </w:r>
      <w:r w:rsidR="00EF64CF">
        <w:rPr>
          <w:lang w:val="nl-BE"/>
        </w:rPr>
        <w:t>bijvoorbeeld</w:t>
      </w:r>
      <w:r w:rsidR="00EF64CF" w:rsidRPr="00E6515F">
        <w:rPr>
          <w:lang w:val="nl-BE"/>
        </w:rPr>
        <w:t xml:space="preserve"> </w:t>
      </w:r>
      <w:proofErr w:type="spellStart"/>
      <w:r w:rsidRPr="00E6515F">
        <w:rPr>
          <w:lang w:val="nl-BE"/>
        </w:rPr>
        <w:t>dagondersteuning</w:t>
      </w:r>
      <w:proofErr w:type="spellEnd"/>
      <w:r w:rsidRPr="00E6515F">
        <w:rPr>
          <w:lang w:val="nl-BE"/>
        </w:rPr>
        <w:t xml:space="preserve"> na </w:t>
      </w:r>
      <w:r w:rsidR="00EF64CF">
        <w:rPr>
          <w:lang w:val="nl-BE"/>
        </w:rPr>
        <w:t xml:space="preserve">het </w:t>
      </w:r>
      <w:r w:rsidRPr="00E6515F">
        <w:rPr>
          <w:lang w:val="nl-BE"/>
        </w:rPr>
        <w:t>beëindigen</w:t>
      </w:r>
      <w:r w:rsidR="00EF64CF">
        <w:rPr>
          <w:lang w:val="nl-BE"/>
        </w:rPr>
        <w:t xml:space="preserve"> van de</w:t>
      </w:r>
      <w:r w:rsidRPr="00E6515F">
        <w:rPr>
          <w:lang w:val="nl-BE"/>
        </w:rPr>
        <w:t xml:space="preserve"> schoolloopbaan).</w:t>
      </w:r>
    </w:p>
    <w:p w:rsidR="0085452E" w:rsidRPr="00E6515F" w:rsidRDefault="0085452E" w:rsidP="0085452E">
      <w:pPr>
        <w:jc w:val="both"/>
        <w:rPr>
          <w:lang w:val="nl-BE"/>
        </w:rPr>
      </w:pPr>
    </w:p>
    <w:p w:rsidR="0085452E" w:rsidRPr="00E6515F" w:rsidRDefault="0085452E" w:rsidP="0085452E">
      <w:pPr>
        <w:jc w:val="both"/>
        <w:rPr>
          <w:lang w:val="nl-BE"/>
        </w:rPr>
      </w:pPr>
      <w:r w:rsidRPr="00E6515F">
        <w:rPr>
          <w:b/>
          <w:color w:val="38761D"/>
          <w:lang w:val="nl-BE"/>
        </w:rPr>
        <w:t>OOD 1.5 We heroriënteren de zorgaanbieders</w:t>
      </w:r>
      <w:r w:rsidRPr="00E6515F">
        <w:rPr>
          <w:lang w:val="nl-BE"/>
        </w:rPr>
        <w:t xml:space="preserve"> </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 xml:space="preserve">1° Met een reductie van de </w:t>
      </w:r>
      <w:proofErr w:type="spellStart"/>
      <w:r w:rsidRPr="00E6515F">
        <w:rPr>
          <w:b/>
          <w:lang w:val="nl-BE"/>
        </w:rPr>
        <w:t>beheerslast</w:t>
      </w:r>
      <w:proofErr w:type="spellEnd"/>
      <w:r w:rsidRPr="00E6515F">
        <w:rPr>
          <w:b/>
          <w:lang w:val="nl-BE"/>
        </w:rPr>
        <w:t xml:space="preserve"> voor het VAPH en zo min mogelijke administratieve last voor personen met een beperking, kantelen we het persoonlijke assistentiebudget (PAB), het aanbod zorg in natura (ZIN), de persoonsgebonden budgetten (</w:t>
      </w:r>
      <w:proofErr w:type="spellStart"/>
      <w:r w:rsidRPr="00E6515F">
        <w:rPr>
          <w:b/>
          <w:lang w:val="nl-BE"/>
        </w:rPr>
        <w:t>PGB’s</w:t>
      </w:r>
      <w:proofErr w:type="spellEnd"/>
      <w:r w:rsidRPr="00E6515F">
        <w:rPr>
          <w:b/>
          <w:lang w:val="nl-BE"/>
        </w:rPr>
        <w:t>) en de persoonsvolgende convenanten (</w:t>
      </w:r>
      <w:proofErr w:type="spellStart"/>
      <w:r w:rsidRPr="00E6515F">
        <w:rPr>
          <w:b/>
          <w:lang w:val="nl-BE"/>
        </w:rPr>
        <w:t>PVC’s</w:t>
      </w:r>
      <w:proofErr w:type="spellEnd"/>
      <w:r w:rsidRPr="00E6515F">
        <w:rPr>
          <w:b/>
          <w:lang w:val="nl-BE"/>
        </w:rPr>
        <w:t>) stapsgewijs maar uiterlijk tegen 2020 in de persoonsvolgende financiering in.</w:t>
      </w:r>
    </w:p>
    <w:p w:rsidR="0085452E" w:rsidRPr="00E6515F" w:rsidRDefault="0085452E" w:rsidP="0085452E">
      <w:pPr>
        <w:jc w:val="both"/>
        <w:rPr>
          <w:b/>
          <w:lang w:val="nl-BE"/>
        </w:rPr>
      </w:pPr>
    </w:p>
    <w:p w:rsidR="0085452E" w:rsidRPr="00E6515F" w:rsidRDefault="0085452E" w:rsidP="0085452E">
      <w:pPr>
        <w:jc w:val="both"/>
        <w:rPr>
          <w:b/>
          <w:lang w:val="nl-BE"/>
        </w:rPr>
      </w:pPr>
      <w:r w:rsidRPr="00E6515F">
        <w:rPr>
          <w:b/>
          <w:lang w:val="nl-BE"/>
        </w:rPr>
        <w:t>EN</w:t>
      </w:r>
    </w:p>
    <w:p w:rsidR="0085452E" w:rsidRPr="00E6515F" w:rsidRDefault="0085452E" w:rsidP="0085452E">
      <w:pPr>
        <w:jc w:val="both"/>
        <w:rPr>
          <w:b/>
          <w:lang w:val="nl-BE"/>
        </w:rPr>
      </w:pPr>
    </w:p>
    <w:p w:rsidR="0085452E" w:rsidRPr="00E6515F" w:rsidRDefault="0085452E" w:rsidP="0085452E">
      <w:pPr>
        <w:jc w:val="both"/>
        <w:rPr>
          <w:b/>
          <w:lang w:val="nl-BE"/>
        </w:rPr>
      </w:pPr>
      <w:r w:rsidRPr="00E6515F">
        <w:rPr>
          <w:b/>
          <w:lang w:val="nl-BE"/>
        </w:rPr>
        <w:t>2° In functie van de uitvoering van de persoonsvolgende financiering werken we een transparant, eenduidig en eenvoudig toepasbaar regelgevend kader uit. We vormen de door het VAPH erkende voorzieningen om naar geresponsabiliseerde zorgaanbieders; we stappen voor het niet rechtstreeks toegankelijke aanbod af van het klassieke ‘erkennen en financieren’ en gaan over naar het vergunnen van zorgaanbieders.</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Op 1 januari 2017 werden alle voormalige gebruikers van </w:t>
      </w:r>
      <w:r w:rsidR="00DD02E4">
        <w:rPr>
          <w:lang w:val="nl-BE"/>
        </w:rPr>
        <w:t>persoonlijke-assistentiebudget</w:t>
      </w:r>
      <w:r w:rsidR="00B72585">
        <w:rPr>
          <w:lang w:val="nl-BE"/>
        </w:rPr>
        <w:t>ten</w:t>
      </w:r>
      <w:r w:rsidRPr="00E6515F">
        <w:rPr>
          <w:lang w:val="nl-BE"/>
        </w:rPr>
        <w:t xml:space="preserve">, zorg in natura, </w:t>
      </w:r>
      <w:r w:rsidR="00B72585">
        <w:rPr>
          <w:lang w:val="nl-BE"/>
        </w:rPr>
        <w:t>persoonsgebonden budgetten</w:t>
      </w:r>
      <w:r w:rsidR="00B72585" w:rsidRPr="00E6515F">
        <w:rPr>
          <w:lang w:val="nl-BE"/>
        </w:rPr>
        <w:t xml:space="preserve"> </w:t>
      </w:r>
      <w:r w:rsidRPr="00E6515F">
        <w:rPr>
          <w:lang w:val="nl-BE"/>
        </w:rPr>
        <w:t xml:space="preserve">en persoonsvolgende convenanten omgeschakeld naar het nieuwe systeem van persoonsvolgende financiering. Tegelijkertijd werd de </w:t>
      </w:r>
      <w:r w:rsidR="00B72585">
        <w:rPr>
          <w:lang w:val="nl-BE"/>
        </w:rPr>
        <w:t xml:space="preserve">vastgelegde gesubsidieerde </w:t>
      </w:r>
      <w:r w:rsidRPr="00E6515F">
        <w:rPr>
          <w:lang w:val="nl-BE"/>
        </w:rPr>
        <w:t>capaciteit van de door het VAPH erkende zorgaanbieders voor meerderjarigen opgeheven. Een nieuwe subsidietechniek werd ingevoerd waarbij de inzet van persoonsvolgende budgetten van individuele cliënten de basis vormt voor de financiering.</w:t>
      </w:r>
    </w:p>
    <w:p w:rsidR="0085452E" w:rsidRPr="00E6515F" w:rsidRDefault="0085452E" w:rsidP="0085452E">
      <w:pPr>
        <w:jc w:val="both"/>
        <w:rPr>
          <w:lang w:val="nl-BE"/>
        </w:rPr>
      </w:pPr>
    </w:p>
    <w:p w:rsidR="0085452E" w:rsidRDefault="00B72585" w:rsidP="0085452E">
      <w:pPr>
        <w:jc w:val="both"/>
        <w:rPr>
          <w:lang w:val="nl-BE"/>
        </w:rPr>
      </w:pPr>
      <w:r w:rsidRPr="00E6515F">
        <w:rPr>
          <w:lang w:val="nl-BE"/>
        </w:rPr>
        <w:t>D</w:t>
      </w:r>
      <w:r>
        <w:rPr>
          <w:lang w:val="nl-BE"/>
        </w:rPr>
        <w:t>i</w:t>
      </w:r>
      <w:r w:rsidRPr="00E6515F">
        <w:rPr>
          <w:lang w:val="nl-BE"/>
        </w:rPr>
        <w:t xml:space="preserve">e </w:t>
      </w:r>
      <w:r w:rsidR="0085452E" w:rsidRPr="00E6515F">
        <w:rPr>
          <w:lang w:val="nl-BE"/>
        </w:rPr>
        <w:t xml:space="preserve">ingrijpende omschakeling werd </w:t>
      </w:r>
      <w:r w:rsidR="009044A8" w:rsidRPr="00E6515F">
        <w:rPr>
          <w:lang w:val="nl-BE"/>
        </w:rPr>
        <w:t>sinds 2012</w:t>
      </w:r>
      <w:r w:rsidR="0085452E" w:rsidRPr="00E6515F">
        <w:rPr>
          <w:color w:val="FF0000"/>
          <w:lang w:val="nl-BE"/>
        </w:rPr>
        <w:t xml:space="preserve"> </w:t>
      </w:r>
      <w:r w:rsidR="0085452E" w:rsidRPr="00E6515F">
        <w:rPr>
          <w:lang w:val="nl-BE"/>
        </w:rPr>
        <w:t xml:space="preserve">grondig voorbereid door </w:t>
      </w:r>
      <w:r>
        <w:rPr>
          <w:lang w:val="nl-BE"/>
        </w:rPr>
        <w:t>de</w:t>
      </w:r>
      <w:r w:rsidRPr="00E6515F">
        <w:rPr>
          <w:lang w:val="nl-BE"/>
        </w:rPr>
        <w:t xml:space="preserve"> introduc</w:t>
      </w:r>
      <w:r>
        <w:rPr>
          <w:lang w:val="nl-BE"/>
        </w:rPr>
        <w:t xml:space="preserve">tie </w:t>
      </w:r>
      <w:r w:rsidR="0085452E" w:rsidRPr="00E6515F">
        <w:rPr>
          <w:lang w:val="nl-BE"/>
        </w:rPr>
        <w:t>van het flexibel aanbod (MFC voor minderjarigen en FAM voor meerderjarigen), aanvankelijk aan de hand van individuele beheersovereenkomsten met elke aanbieder, vervolgens via een regelgevend kader (</w:t>
      </w:r>
      <w:r>
        <w:rPr>
          <w:lang w:val="nl-BE"/>
        </w:rPr>
        <w:t>besluit van de Vlaamse Regering</w:t>
      </w:r>
      <w:r w:rsidR="0085452E" w:rsidRPr="00E6515F">
        <w:rPr>
          <w:lang w:val="nl-BE"/>
        </w:rPr>
        <w:t xml:space="preserve">). Na intensief overleg met de verschillende stakeholders werd het vroegere subsidiesysteem op basis van de zogenaamde dagprijzen omgevormd tot een financiering op basis van </w:t>
      </w:r>
      <w:proofErr w:type="spellStart"/>
      <w:r w:rsidR="0085452E" w:rsidRPr="00E6515F">
        <w:rPr>
          <w:lang w:val="nl-BE"/>
        </w:rPr>
        <w:t>zorggebonden</w:t>
      </w:r>
      <w:proofErr w:type="spellEnd"/>
      <w:r w:rsidR="0085452E" w:rsidRPr="00E6515F">
        <w:rPr>
          <w:lang w:val="nl-BE"/>
        </w:rPr>
        <w:t xml:space="preserve"> personeelspunten en </w:t>
      </w:r>
      <w:proofErr w:type="spellStart"/>
      <w:r w:rsidR="0085452E" w:rsidRPr="00E6515F">
        <w:rPr>
          <w:lang w:val="nl-BE"/>
        </w:rPr>
        <w:t>organisatiegebonden</w:t>
      </w:r>
      <w:proofErr w:type="spellEnd"/>
      <w:r w:rsidR="0085452E" w:rsidRPr="00E6515F">
        <w:rPr>
          <w:lang w:val="nl-BE"/>
        </w:rPr>
        <w:t xml:space="preserve"> middelen. In mei 2017 werd een </w:t>
      </w:r>
      <w:r>
        <w:rPr>
          <w:lang w:val="nl-BE"/>
        </w:rPr>
        <w:t>besluit van de Vlaamse Regering</w:t>
      </w:r>
      <w:r w:rsidRPr="00E6515F">
        <w:rPr>
          <w:lang w:val="nl-BE"/>
        </w:rPr>
        <w:t xml:space="preserve"> </w:t>
      </w:r>
      <w:r w:rsidR="0085452E" w:rsidRPr="00E6515F">
        <w:rPr>
          <w:lang w:val="nl-BE"/>
        </w:rPr>
        <w:t xml:space="preserve">goedgekeurd waardoor de wijze van afrekenen van personeelskosten nog verder vereenvoudigt. </w:t>
      </w:r>
    </w:p>
    <w:p w:rsidR="00B72585" w:rsidRPr="00E6515F" w:rsidRDefault="00B72585" w:rsidP="0085452E">
      <w:pPr>
        <w:jc w:val="both"/>
        <w:rPr>
          <w:lang w:val="nl-BE"/>
        </w:rPr>
      </w:pPr>
    </w:p>
    <w:p w:rsidR="0085452E" w:rsidRPr="00E6515F" w:rsidRDefault="0085452E" w:rsidP="0085452E">
      <w:pPr>
        <w:jc w:val="both"/>
        <w:rPr>
          <w:lang w:val="nl-BE"/>
        </w:rPr>
      </w:pPr>
      <w:r w:rsidRPr="00E6515F">
        <w:rPr>
          <w:lang w:val="nl-BE"/>
        </w:rPr>
        <w:t xml:space="preserve">In september 2016 werden alle erkende voorzieningen voor minder- en meerderjarige </w:t>
      </w:r>
      <w:r w:rsidR="009F5B77">
        <w:rPr>
          <w:lang w:val="nl-BE"/>
        </w:rPr>
        <w:t>personen met een handicap</w:t>
      </w:r>
      <w:r w:rsidRPr="00E6515F">
        <w:rPr>
          <w:lang w:val="nl-BE"/>
        </w:rPr>
        <w:t xml:space="preserve"> ambtshalve vergund als zorgaanbieders in het kader van de persoonsvolgende financiering. Tegelijkertijd werd een nieuwe regelgeving van kracht die nieuwe aanbieders de mogelijkheid biedt een vergunning aan te vragen bij het VAPH. De kwaliteitsregelgeving werd aangepast aan de nieuwe context van</w:t>
      </w:r>
      <w:r w:rsidR="00B72585">
        <w:rPr>
          <w:lang w:val="nl-BE"/>
        </w:rPr>
        <w:t xml:space="preserve"> de</w:t>
      </w:r>
      <w:r w:rsidRPr="00E6515F">
        <w:rPr>
          <w:lang w:val="nl-BE"/>
        </w:rPr>
        <w:t xml:space="preserve"> </w:t>
      </w:r>
      <w:r w:rsidR="009F5B77">
        <w:rPr>
          <w:lang w:val="nl-BE"/>
        </w:rPr>
        <w:t>persoonsvolgende financiering</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In het najaar </w:t>
      </w:r>
      <w:r w:rsidR="00B72585">
        <w:rPr>
          <w:lang w:val="nl-BE"/>
        </w:rPr>
        <w:t xml:space="preserve">van </w:t>
      </w:r>
      <w:r w:rsidRPr="00E6515F">
        <w:rPr>
          <w:lang w:val="nl-BE"/>
        </w:rPr>
        <w:t xml:space="preserve">2016 werden de nieuwe processen </w:t>
      </w:r>
      <w:r w:rsidR="00B72585">
        <w:rPr>
          <w:lang w:val="nl-BE"/>
        </w:rPr>
        <w:t>voor het</w:t>
      </w:r>
      <w:r w:rsidRPr="00E6515F">
        <w:rPr>
          <w:lang w:val="nl-BE"/>
        </w:rPr>
        <w:t xml:space="preserve"> besteden en verantwoorden van het </w:t>
      </w:r>
      <w:r w:rsidR="00DD02E4">
        <w:rPr>
          <w:lang w:val="nl-BE"/>
        </w:rPr>
        <w:t>persoonsvolgend budget</w:t>
      </w:r>
      <w:r w:rsidRPr="00E6515F">
        <w:rPr>
          <w:lang w:val="nl-BE"/>
        </w:rPr>
        <w:t>, in cash en als voucher, geoperationaliseerd .</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Samen met Zorginspectie werkt het VAPH vanaf 2018  een kader uit dat moet toelaten toezicht uit te oefenen op het prijsbeleid -</w:t>
      </w:r>
      <w:r w:rsidR="00F80021">
        <w:rPr>
          <w:lang w:val="nl-BE"/>
        </w:rPr>
        <w:t xml:space="preserve"> </w:t>
      </w:r>
      <w:r w:rsidRPr="00E6515F">
        <w:rPr>
          <w:lang w:val="nl-BE"/>
        </w:rPr>
        <w:t xml:space="preserve">onder meer wat betreft </w:t>
      </w:r>
      <w:r w:rsidR="00F80021">
        <w:rPr>
          <w:lang w:val="nl-BE"/>
        </w:rPr>
        <w:t>de</w:t>
      </w:r>
      <w:r w:rsidR="00F80021" w:rsidRPr="00E6515F">
        <w:rPr>
          <w:lang w:val="nl-BE"/>
        </w:rPr>
        <w:t xml:space="preserve"> aanreken</w:t>
      </w:r>
      <w:r w:rsidR="00F80021">
        <w:rPr>
          <w:lang w:val="nl-BE"/>
        </w:rPr>
        <w:t>ing</w:t>
      </w:r>
      <w:r w:rsidR="00F80021" w:rsidRPr="00E6515F">
        <w:rPr>
          <w:lang w:val="nl-BE"/>
        </w:rPr>
        <w:t xml:space="preserve"> </w:t>
      </w:r>
      <w:r w:rsidRPr="00E6515F">
        <w:rPr>
          <w:lang w:val="nl-BE"/>
        </w:rPr>
        <w:t xml:space="preserve">van woon- en </w:t>
      </w:r>
      <w:proofErr w:type="spellStart"/>
      <w:r w:rsidRPr="00E6515F">
        <w:rPr>
          <w:lang w:val="nl-BE"/>
        </w:rPr>
        <w:t>leefkosten</w:t>
      </w:r>
      <w:proofErr w:type="spellEnd"/>
      <w:r w:rsidR="00F80021">
        <w:rPr>
          <w:lang w:val="nl-BE"/>
        </w:rPr>
        <w:t xml:space="preserve"> </w:t>
      </w:r>
      <w:r w:rsidRPr="00E6515F">
        <w:rPr>
          <w:lang w:val="nl-BE"/>
        </w:rPr>
        <w:t>- van de vergunde zorgaanbieders. Een meldpunt voor organisaties waarbij misbruiken in kader van kostprijzen kunnen gesignaleerd werd in juli 2018 geoperationaliseerd.</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Door de invoering van de persoonsvolgende financiering zijn de subsidies voor personen met een handicap verschoven van de organisaties naar de individuen. Een hele ommezwaai met een veranderend zorglandschap als gevolg. De budgethouders kunnen zich laten bijstaan door vergunde bijstandsorganisaties, de rol van de multidisciplinaire teams wordt belangrijk in het bepalen van een budget en nieuwe hulpverleners dienen zich aan, zowel vergunde als niet-vergunde. Oude zekerheden vallen weg, zowel voor de organisaties als voor de individuen. En nieuwe risico’s ontstaan.</w:t>
      </w:r>
    </w:p>
    <w:p w:rsidR="0085452E" w:rsidRPr="00E6515F" w:rsidRDefault="0085452E" w:rsidP="0085452E">
      <w:pPr>
        <w:jc w:val="both"/>
        <w:rPr>
          <w:lang w:val="nl-BE"/>
        </w:rPr>
      </w:pPr>
    </w:p>
    <w:p w:rsidR="0085452E" w:rsidRPr="00E6515F" w:rsidRDefault="0085452E" w:rsidP="0085452E">
      <w:pPr>
        <w:jc w:val="both"/>
        <w:rPr>
          <w:rFonts w:ascii="Trebuchet MS" w:eastAsia="Trebuchet MS" w:hAnsi="Trebuchet MS" w:cs="Trebuchet MS"/>
          <w:lang w:val="nl-BE"/>
        </w:rPr>
      </w:pPr>
      <w:r w:rsidRPr="00E6515F">
        <w:rPr>
          <w:lang w:val="nl-BE"/>
        </w:rPr>
        <w:t>Een afdoende toezicht op alle betrokken actoren is een middel om vast te stellen of de persoonsvolgende financiering op een goede manier wordt toegepast. Voor overtredingen op de regelgeving zal er een handhavingsbeleid moeten worden uitgewerkt. Daarnaast zal er worden ingezet op faciliterende en coachende trajecten</w:t>
      </w:r>
      <w:r w:rsidRPr="00E6515F">
        <w:rPr>
          <w:rFonts w:ascii="Trebuchet MS" w:eastAsia="Trebuchet MS" w:hAnsi="Trebuchet MS" w:cs="Trebuchet MS"/>
          <w:lang w:val="nl-BE"/>
        </w:rPr>
        <w:t>.</w:t>
      </w:r>
    </w:p>
    <w:p w:rsidR="0085452E" w:rsidRPr="00E6515F" w:rsidRDefault="0085452E" w:rsidP="0085452E">
      <w:pPr>
        <w:jc w:val="both"/>
        <w:rPr>
          <w:rFonts w:ascii="Trebuchet MS" w:eastAsia="Trebuchet MS" w:hAnsi="Trebuchet MS" w:cs="Trebuchet MS"/>
          <w:lang w:val="nl-BE"/>
        </w:rPr>
      </w:pPr>
    </w:p>
    <w:p w:rsidR="0085452E" w:rsidRPr="00E6515F" w:rsidRDefault="0085452E" w:rsidP="0085452E">
      <w:pPr>
        <w:jc w:val="both"/>
        <w:rPr>
          <w:lang w:val="nl-BE"/>
        </w:rPr>
      </w:pPr>
      <w:r w:rsidRPr="00E6515F">
        <w:rPr>
          <w:lang w:val="nl-BE"/>
        </w:rPr>
        <w:t xml:space="preserve">Conform de principes die aan de basis liggen van </w:t>
      </w:r>
      <w:r w:rsidR="00F80021">
        <w:rPr>
          <w:lang w:val="nl-BE"/>
        </w:rPr>
        <w:t xml:space="preserve">de </w:t>
      </w:r>
      <w:r w:rsidR="009F5B77">
        <w:rPr>
          <w:lang w:val="nl-BE"/>
        </w:rPr>
        <w:t>persoonsvolgende financiering</w:t>
      </w:r>
      <w:r w:rsidRPr="00E6515F">
        <w:rPr>
          <w:lang w:val="nl-BE"/>
        </w:rPr>
        <w:t xml:space="preserve"> wordt een grondige hervorming van het kwaliteitskader voorbereid waarbij </w:t>
      </w:r>
      <w:r w:rsidR="006B4974">
        <w:rPr>
          <w:lang w:val="nl-BE"/>
        </w:rPr>
        <w:t>‘</w:t>
      </w:r>
      <w:r w:rsidRPr="00E6515F">
        <w:rPr>
          <w:lang w:val="nl-BE"/>
        </w:rPr>
        <w:t>kwaliteit van bestaan</w:t>
      </w:r>
      <w:r w:rsidR="006B4974">
        <w:rPr>
          <w:lang w:val="nl-BE"/>
        </w:rPr>
        <w:t>’</w:t>
      </w:r>
      <w:r w:rsidRPr="00E6515F">
        <w:rPr>
          <w:lang w:val="nl-BE"/>
        </w:rPr>
        <w:t xml:space="preserve"> van de individuele persoon met een handicap centraal zal staan. De Universiteit Gent voert in opdracht van het VAPH een onderzoek uit dat eind 2018 moet resulteren in een set van indicatoren waarmee de kwaliteit van bestaan objectief gemeten kan worden.</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3° Opdat particuliere initiatiefnemers eigen projecten zouden kunnen realiseren, 1) geven we ruimte voor nieuwe organisatiemodellen die uitvoering geven aan het sociaal ondernemerschap en de vermaatschappelijking van de zorg voor personen met een beperking, 2) voorzien we ondersteuning door coaching-instanties en 3) samenwerking met reguliere en VAPH-partners.</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Organisaties die woonprojecten opzetten kunnen voor ondersteuning terecht bij de vzw </w:t>
      </w:r>
      <w:proofErr w:type="spellStart"/>
      <w:r w:rsidRPr="00E6515F">
        <w:rPr>
          <w:lang w:val="nl-BE"/>
        </w:rPr>
        <w:t>Gipso</w:t>
      </w:r>
      <w:proofErr w:type="spellEnd"/>
      <w:r w:rsidRPr="00E6515F">
        <w:rPr>
          <w:lang w:val="nl-BE"/>
        </w:rPr>
        <w:t xml:space="preserve">. Sinds de afloop van de NGT-subsidie voor vzw </w:t>
      </w:r>
      <w:proofErr w:type="spellStart"/>
      <w:r w:rsidRPr="00E6515F">
        <w:rPr>
          <w:lang w:val="nl-BE"/>
        </w:rPr>
        <w:t>Gipso</w:t>
      </w:r>
      <w:proofErr w:type="spellEnd"/>
      <w:r w:rsidRPr="00E6515F">
        <w:rPr>
          <w:lang w:val="nl-BE"/>
        </w:rPr>
        <w:t xml:space="preserve">, continueert het VAPH de middelen nog voor een periode van </w:t>
      </w:r>
      <w:r w:rsidR="00F80021">
        <w:rPr>
          <w:lang w:val="nl-BE"/>
        </w:rPr>
        <w:t>vijf</w:t>
      </w:r>
      <w:r w:rsidR="00F80021" w:rsidRPr="00E6515F">
        <w:rPr>
          <w:lang w:val="nl-BE"/>
        </w:rPr>
        <w:t xml:space="preserve"> </w:t>
      </w:r>
      <w:r w:rsidRPr="00E6515F">
        <w:rPr>
          <w:lang w:val="nl-BE"/>
        </w:rPr>
        <w:t>jaar. De nieuwe subsidie wordt geregeld via een ministerieel besluit.</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Parallel werd overleg met het Platform </w:t>
      </w:r>
      <w:proofErr w:type="spellStart"/>
      <w:r w:rsidRPr="00E6515F">
        <w:rPr>
          <w:lang w:val="nl-BE"/>
        </w:rPr>
        <w:t>OuderProjecten</w:t>
      </w:r>
      <w:proofErr w:type="spellEnd"/>
      <w:r w:rsidRPr="00E6515F">
        <w:rPr>
          <w:lang w:val="nl-BE"/>
        </w:rPr>
        <w:t xml:space="preserve"> (POP) gestart om de impact van de invoering van</w:t>
      </w:r>
      <w:r w:rsidR="00F80021">
        <w:rPr>
          <w:lang w:val="nl-BE"/>
        </w:rPr>
        <w:t xml:space="preserve"> de</w:t>
      </w:r>
      <w:r w:rsidRPr="00E6515F">
        <w:rPr>
          <w:lang w:val="nl-BE"/>
        </w:rPr>
        <w:t xml:space="preserve"> </w:t>
      </w:r>
      <w:r w:rsidR="009F5B77">
        <w:rPr>
          <w:lang w:val="nl-BE"/>
        </w:rPr>
        <w:t>persoonsvolgende financiering</w:t>
      </w:r>
      <w:r w:rsidRPr="00E6515F">
        <w:rPr>
          <w:lang w:val="nl-BE"/>
        </w:rPr>
        <w:t xml:space="preserve"> op de verdere ontwikkeling van ouderinitiatieven op te volgen.</w:t>
      </w:r>
    </w:p>
    <w:p w:rsidR="0085452E" w:rsidRPr="00E6515F" w:rsidRDefault="0085452E" w:rsidP="0085452E">
      <w:pPr>
        <w:jc w:val="both"/>
        <w:rPr>
          <w:lang w:val="nl-BE"/>
        </w:rPr>
      </w:pPr>
    </w:p>
    <w:p w:rsidR="00F80021" w:rsidRPr="00F80021" w:rsidRDefault="0085452E" w:rsidP="00F80021">
      <w:pPr>
        <w:jc w:val="both"/>
        <w:rPr>
          <w:lang w:val="nl-BE"/>
        </w:rPr>
      </w:pPr>
      <w:r w:rsidRPr="00E6515F">
        <w:rPr>
          <w:lang w:val="nl-BE"/>
        </w:rPr>
        <w:t>Binnen de nieuwe VIPA-regelgeving binnen</w:t>
      </w:r>
      <w:r w:rsidR="00F80021">
        <w:rPr>
          <w:lang w:val="nl-BE"/>
        </w:rPr>
        <w:t xml:space="preserve"> de</w:t>
      </w:r>
      <w:r w:rsidRPr="00E6515F">
        <w:rPr>
          <w:lang w:val="nl-BE"/>
        </w:rPr>
        <w:t xml:space="preserve"> </w:t>
      </w:r>
      <w:r w:rsidR="009F5B77">
        <w:rPr>
          <w:lang w:val="nl-BE"/>
        </w:rPr>
        <w:t>persoonsvolgende financiering</w:t>
      </w:r>
      <w:r w:rsidRPr="00E6515F">
        <w:rPr>
          <w:lang w:val="nl-BE"/>
        </w:rPr>
        <w:t xml:space="preserve"> werd ervoor gezorgd dat ook ouderinitiatieven in aanmerking kunnen komen voor subsidiëring door </w:t>
      </w:r>
      <w:r w:rsidR="00F80021">
        <w:rPr>
          <w:lang w:val="nl-BE"/>
        </w:rPr>
        <w:t>het</w:t>
      </w:r>
      <w:r w:rsidR="00F80021" w:rsidRPr="00F80021">
        <w:rPr>
          <w:lang w:val="nl-BE"/>
        </w:rPr>
        <w:tab/>
      </w:r>
    </w:p>
    <w:p w:rsidR="0085452E" w:rsidRPr="00E6515F" w:rsidRDefault="00F80021" w:rsidP="00F80021">
      <w:pPr>
        <w:jc w:val="both"/>
        <w:rPr>
          <w:lang w:val="nl-BE"/>
        </w:rPr>
      </w:pPr>
      <w:r w:rsidRPr="00F80021">
        <w:rPr>
          <w:lang w:val="nl-BE"/>
        </w:rPr>
        <w:t>Vlaams Infrastructuurfonds voor Persoonsgebonden Aangelegenheden</w:t>
      </w:r>
      <w:r>
        <w:rPr>
          <w:lang w:val="nl-BE"/>
        </w:rPr>
        <w:t xml:space="preserve"> (VIPA)</w:t>
      </w:r>
      <w:r w:rsidR="0085452E" w:rsidRPr="00E6515F">
        <w:rPr>
          <w:lang w:val="nl-BE"/>
        </w:rPr>
        <w:t xml:space="preserve">.  </w:t>
      </w:r>
      <w:r>
        <w:rPr>
          <w:lang w:val="nl-BE"/>
        </w:rPr>
        <w:t>Er</w:t>
      </w:r>
      <w:r w:rsidRPr="00E6515F">
        <w:rPr>
          <w:lang w:val="nl-BE"/>
        </w:rPr>
        <w:t xml:space="preserve"> </w:t>
      </w:r>
      <w:r w:rsidR="0085452E" w:rsidRPr="00E6515F">
        <w:rPr>
          <w:lang w:val="nl-BE"/>
        </w:rPr>
        <w:t>werd</w:t>
      </w:r>
      <w:r>
        <w:rPr>
          <w:lang w:val="nl-BE"/>
        </w:rPr>
        <w:t xml:space="preserve"> ook</w:t>
      </w:r>
      <w:r w:rsidR="0085452E" w:rsidRPr="00E6515F">
        <w:rPr>
          <w:lang w:val="nl-BE"/>
        </w:rPr>
        <w:t xml:space="preserve"> een regeling uitgewerkt om de ouderinitiatieven toe te laten zich te identificeren en te registreren.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Er is op geregelde basis overleg met</w:t>
      </w:r>
      <w:r w:rsidR="00F80021">
        <w:rPr>
          <w:lang w:val="nl-BE"/>
        </w:rPr>
        <w:t xml:space="preserve"> het </w:t>
      </w:r>
      <w:r w:rsidRPr="00E6515F">
        <w:rPr>
          <w:lang w:val="nl-BE"/>
        </w:rPr>
        <w:t xml:space="preserve"> </w:t>
      </w:r>
      <w:r w:rsidR="00F80021">
        <w:rPr>
          <w:lang w:val="nl-BE"/>
        </w:rPr>
        <w:t>D</w:t>
      </w:r>
      <w:r w:rsidR="00F80021" w:rsidRPr="00E6515F">
        <w:rPr>
          <w:lang w:val="nl-BE"/>
        </w:rPr>
        <w:t xml:space="preserve">epartement </w:t>
      </w:r>
      <w:r w:rsidR="00F80021">
        <w:rPr>
          <w:lang w:val="nl-BE"/>
        </w:rPr>
        <w:t>Welzijn, Volksgezondheid en Gezin</w:t>
      </w:r>
      <w:r w:rsidRPr="00E6515F">
        <w:rPr>
          <w:lang w:val="nl-BE"/>
        </w:rPr>
        <w:t xml:space="preserve">, </w:t>
      </w:r>
      <w:r w:rsidR="00F80021">
        <w:rPr>
          <w:lang w:val="nl-BE"/>
        </w:rPr>
        <w:t>het Departement</w:t>
      </w:r>
      <w:r w:rsidR="00F80021" w:rsidRPr="00E6515F">
        <w:rPr>
          <w:lang w:val="nl-BE"/>
        </w:rPr>
        <w:t xml:space="preserve"> </w:t>
      </w:r>
      <w:r w:rsidRPr="00E6515F">
        <w:rPr>
          <w:lang w:val="nl-BE"/>
        </w:rPr>
        <w:t xml:space="preserve">Landbouw en Visserij en het Steunpunt Groene Zorg </w:t>
      </w:r>
      <w:r w:rsidR="00F80021">
        <w:rPr>
          <w:lang w:val="nl-BE"/>
        </w:rPr>
        <w:t>over</w:t>
      </w:r>
      <w:r w:rsidR="00F80021" w:rsidRPr="00E6515F">
        <w:rPr>
          <w:lang w:val="nl-BE"/>
        </w:rPr>
        <w:t xml:space="preserve"> </w:t>
      </w:r>
      <w:r w:rsidRPr="00E6515F">
        <w:rPr>
          <w:lang w:val="nl-BE"/>
        </w:rPr>
        <w:t xml:space="preserve">de verdere ontwikkeling van de initiatieven </w:t>
      </w:r>
      <w:r w:rsidR="00F80021">
        <w:rPr>
          <w:lang w:val="nl-BE"/>
        </w:rPr>
        <w:t>voor g</w:t>
      </w:r>
      <w:r w:rsidRPr="00E6515F">
        <w:rPr>
          <w:lang w:val="nl-BE"/>
        </w:rPr>
        <w:t xml:space="preserve">roene </w:t>
      </w:r>
      <w:r w:rsidR="00F80021">
        <w:rPr>
          <w:lang w:val="nl-BE"/>
        </w:rPr>
        <w:t>z</w:t>
      </w:r>
      <w:r w:rsidRPr="00E6515F">
        <w:rPr>
          <w:lang w:val="nl-BE"/>
        </w:rPr>
        <w:t xml:space="preserve">org. </w:t>
      </w:r>
      <w:r w:rsidR="00F80021">
        <w:rPr>
          <w:lang w:val="nl-BE"/>
        </w:rPr>
        <w:t>Die</w:t>
      </w:r>
      <w:r w:rsidR="00F80021" w:rsidRPr="00E6515F">
        <w:rPr>
          <w:lang w:val="nl-BE"/>
        </w:rPr>
        <w:t xml:space="preserve"> </w:t>
      </w:r>
      <w:r w:rsidRPr="00E6515F">
        <w:rPr>
          <w:lang w:val="nl-BE"/>
        </w:rPr>
        <w:t xml:space="preserve">initiatieven kunnen zich bij het VAPH laten registreren en krijgen dan de mogelijkheid om zonder vergunning collectieve dagbesteding aan te bieden. </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Na een proefproject </w:t>
      </w:r>
      <w:r w:rsidR="00F80021">
        <w:rPr>
          <w:lang w:val="nl-BE"/>
        </w:rPr>
        <w:t>voor</w:t>
      </w:r>
      <w:r w:rsidR="00F80021" w:rsidRPr="00E6515F">
        <w:rPr>
          <w:lang w:val="nl-BE"/>
        </w:rPr>
        <w:t xml:space="preserve"> </w:t>
      </w:r>
      <w:r w:rsidRPr="00E6515F">
        <w:rPr>
          <w:lang w:val="nl-BE"/>
        </w:rPr>
        <w:t xml:space="preserve">coaching en leernetwerken rond sociaal ondernemerschap, werd voor 8 vergunde zorgaanbieders in 2017-2018 een intensief individueel </w:t>
      </w:r>
      <w:proofErr w:type="spellStart"/>
      <w:r w:rsidRPr="00E6515F">
        <w:rPr>
          <w:lang w:val="nl-BE"/>
        </w:rPr>
        <w:t>coachingstraject</w:t>
      </w:r>
      <w:proofErr w:type="spellEnd"/>
      <w:r w:rsidRPr="00E6515F">
        <w:rPr>
          <w:lang w:val="nl-BE"/>
        </w:rPr>
        <w:t xml:space="preserve"> opgezet.</w:t>
      </w:r>
      <w:r w:rsidR="00F80021">
        <w:rPr>
          <w:lang w:val="nl-BE"/>
        </w:rPr>
        <w:t xml:space="preserve"> </w:t>
      </w:r>
      <w:r w:rsidRPr="00E6515F">
        <w:rPr>
          <w:lang w:val="nl-BE"/>
        </w:rPr>
        <w:t xml:space="preserve">Binnen </w:t>
      </w:r>
      <w:r w:rsidR="00F80021">
        <w:rPr>
          <w:lang w:val="nl-BE"/>
        </w:rPr>
        <w:t>die</w:t>
      </w:r>
      <w:r w:rsidR="00F80021" w:rsidRPr="00E6515F">
        <w:rPr>
          <w:lang w:val="nl-BE"/>
        </w:rPr>
        <w:t xml:space="preserve"> </w:t>
      </w:r>
      <w:r w:rsidRPr="00E6515F">
        <w:rPr>
          <w:lang w:val="nl-BE"/>
        </w:rPr>
        <w:t xml:space="preserve">trajecten werd zowel op organisatorische, bestuursmatige als </w:t>
      </w:r>
      <w:proofErr w:type="spellStart"/>
      <w:r w:rsidR="00F80021">
        <w:rPr>
          <w:lang w:val="nl-BE"/>
        </w:rPr>
        <w:t>hrm</w:t>
      </w:r>
      <w:proofErr w:type="spellEnd"/>
      <w:r w:rsidRPr="00E6515F">
        <w:rPr>
          <w:lang w:val="nl-BE"/>
        </w:rPr>
        <w:t xml:space="preserve">-matige vraagstukken ingegaan. </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4° Om personen met een beperking en hun gezin zoveel mogelijk zelf controle en sturing te geven over de organisatie van hun ondersteuning, vergunnen we bijstandsorganisaties die budgethouders bijstaan bij de diverse aspecten van het budgethouderschap</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lastRenderedPageBreak/>
        <w:t xml:space="preserve">Het </w:t>
      </w:r>
      <w:r w:rsidR="00F80021">
        <w:rPr>
          <w:lang w:val="nl-BE"/>
        </w:rPr>
        <w:t xml:space="preserve">besluit van </w:t>
      </w:r>
      <w:r w:rsidR="006B4974">
        <w:rPr>
          <w:lang w:val="nl-BE"/>
        </w:rPr>
        <w:t>de Vlaamse Regering met betrekki</w:t>
      </w:r>
      <w:r w:rsidR="00F80021">
        <w:rPr>
          <w:lang w:val="nl-BE"/>
        </w:rPr>
        <w:t xml:space="preserve">ng tot </w:t>
      </w:r>
      <w:r w:rsidR="00F80021" w:rsidRPr="00E6515F">
        <w:rPr>
          <w:lang w:val="nl-BE"/>
        </w:rPr>
        <w:t xml:space="preserve"> </w:t>
      </w:r>
      <w:r w:rsidR="00F80021">
        <w:rPr>
          <w:lang w:val="nl-BE"/>
        </w:rPr>
        <w:t>b</w:t>
      </w:r>
      <w:r w:rsidRPr="00E6515F">
        <w:rPr>
          <w:lang w:val="nl-BE"/>
        </w:rPr>
        <w:t xml:space="preserve">ijstandsorganisaties werd op </w:t>
      </w:r>
      <w:r w:rsidR="00F80021">
        <w:rPr>
          <w:lang w:val="nl-BE"/>
        </w:rPr>
        <w:t>11 december 2015</w:t>
      </w:r>
      <w:r w:rsidRPr="00E6515F">
        <w:rPr>
          <w:lang w:val="nl-BE"/>
        </w:rPr>
        <w:t xml:space="preserve"> definitief goedgekeurd door de Vlaamse Regering. De voormalige </w:t>
      </w:r>
      <w:proofErr w:type="spellStart"/>
      <w:r w:rsidRPr="00E6515F">
        <w:rPr>
          <w:lang w:val="nl-BE"/>
        </w:rPr>
        <w:t>budgethoudersverenigingen</w:t>
      </w:r>
      <w:proofErr w:type="spellEnd"/>
      <w:r w:rsidRPr="00E6515F">
        <w:rPr>
          <w:lang w:val="nl-BE"/>
        </w:rPr>
        <w:t xml:space="preserve"> </w:t>
      </w:r>
      <w:r w:rsidR="00113353">
        <w:rPr>
          <w:lang w:val="nl-BE"/>
        </w:rPr>
        <w:t>in het kader van het</w:t>
      </w:r>
      <w:r w:rsidR="00113353" w:rsidRPr="00E6515F">
        <w:rPr>
          <w:lang w:val="nl-BE"/>
        </w:rPr>
        <w:t xml:space="preserve"> </w:t>
      </w:r>
      <w:r w:rsidR="00DD02E4">
        <w:rPr>
          <w:lang w:val="nl-BE"/>
        </w:rPr>
        <w:t>persoonlijke-assistentiebudget</w:t>
      </w:r>
      <w:r w:rsidRPr="00E6515F">
        <w:rPr>
          <w:lang w:val="nl-BE"/>
        </w:rPr>
        <w:t xml:space="preserve"> werden op 1 januari 2016 erkend als bijstandsorganisaties. Hun rol en opdracht werd zo toegespitst op alle PVB-budgethouders, ongeacht hun besteding in cash of voucher. Ondertussen zijn 3 bijkomende bijstandsorganisaties erkend en operationeel. </w:t>
      </w:r>
    </w:p>
    <w:p w:rsidR="0085452E" w:rsidRPr="00E6515F" w:rsidRDefault="0085452E" w:rsidP="0085452E">
      <w:pPr>
        <w:jc w:val="both"/>
        <w:rPr>
          <w:lang w:val="nl-BE"/>
        </w:rPr>
      </w:pPr>
    </w:p>
    <w:p w:rsidR="0085452E" w:rsidRPr="00E6515F" w:rsidRDefault="0085452E" w:rsidP="0085452E">
      <w:pPr>
        <w:jc w:val="both"/>
        <w:rPr>
          <w:b/>
          <w:color w:val="38761D"/>
          <w:lang w:val="nl-BE"/>
        </w:rPr>
      </w:pPr>
      <w:r w:rsidRPr="00E6515F">
        <w:rPr>
          <w:b/>
          <w:color w:val="38761D"/>
          <w:lang w:val="nl-BE"/>
        </w:rPr>
        <w:t>OOD 1.6 We stroomlijnen de VAPH-werking</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In functie van administratieve vereenvoudiging, transparantie, efficiënte en klantgerichtheid ten aanzien van de personen met een beperking, de voorzieningen en diensten zal het VAPH haar werking en administratieve processen reorganiseren, met inbegrip van de inschrijvings- en aanvraagprocedure en de heroverwegingsprocedure</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In de periode 2016-2017 werden de nieuwe administratieve processen van het VAPH </w:t>
      </w:r>
      <w:r w:rsidR="00113353">
        <w:rPr>
          <w:lang w:val="nl-BE"/>
        </w:rPr>
        <w:t>een</w:t>
      </w:r>
      <w:r w:rsidR="00113353" w:rsidRPr="00E6515F">
        <w:rPr>
          <w:lang w:val="nl-BE"/>
        </w:rPr>
        <w:t xml:space="preserve"> </w:t>
      </w:r>
      <w:r w:rsidRPr="00E6515F">
        <w:rPr>
          <w:lang w:val="nl-BE"/>
        </w:rPr>
        <w:t xml:space="preserve">voor </w:t>
      </w:r>
      <w:r w:rsidR="00113353">
        <w:rPr>
          <w:lang w:val="nl-BE"/>
        </w:rPr>
        <w:t>een</w:t>
      </w:r>
      <w:r w:rsidR="00113353" w:rsidRPr="00E6515F">
        <w:rPr>
          <w:lang w:val="nl-BE"/>
        </w:rPr>
        <w:t xml:space="preserve"> </w:t>
      </w:r>
      <w:r w:rsidRPr="00E6515F">
        <w:rPr>
          <w:lang w:val="nl-BE"/>
        </w:rPr>
        <w:t>geïmplementeerd. Parallel werd in het VAPH een nieuwe organisatiestructuur ingevoerd die nodig was om de nieuwe processen te kunnen uitvoeren.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De nodige IT-infrastructuur werd uitgebouwd ter ondersteuning van de nieuwe administratieve processen. Sluitstuk hierbij vormt het digitale portaal mijnvaph.be.</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Een set van </w:t>
      </w:r>
      <w:proofErr w:type="spellStart"/>
      <w:r w:rsidRPr="00E6515F">
        <w:rPr>
          <w:lang w:val="nl-BE"/>
        </w:rPr>
        <w:t>beheersindicatoren</w:t>
      </w:r>
      <w:proofErr w:type="spellEnd"/>
      <w:r w:rsidRPr="00E6515F">
        <w:rPr>
          <w:lang w:val="nl-BE"/>
        </w:rPr>
        <w:t xml:space="preserve"> werd gedefinieerd en wordt geleidelijk aan uitgerold en geoptimaliseerd. Aan de hand van </w:t>
      </w:r>
      <w:r w:rsidR="00113353">
        <w:rPr>
          <w:lang w:val="nl-BE"/>
        </w:rPr>
        <w:t>die</w:t>
      </w:r>
      <w:r w:rsidR="00113353" w:rsidRPr="00E6515F">
        <w:rPr>
          <w:lang w:val="nl-BE"/>
        </w:rPr>
        <w:t xml:space="preserve"> </w:t>
      </w:r>
      <w:r w:rsidRPr="00E6515F">
        <w:rPr>
          <w:lang w:val="nl-BE"/>
        </w:rPr>
        <w:t>indicatoren zullen de processen continu opgevolgd kunnen worden, en is periodieke evaluatie en bijsturing mogelijk.</w:t>
      </w:r>
    </w:p>
    <w:p w:rsidR="0085452E" w:rsidRPr="00E6515F" w:rsidRDefault="0085452E" w:rsidP="0085452E">
      <w:pPr>
        <w:jc w:val="both"/>
        <w:rPr>
          <w:lang w:val="nl-BE"/>
        </w:rPr>
      </w:pPr>
    </w:p>
    <w:p w:rsidR="0085452E" w:rsidRPr="00E6515F" w:rsidRDefault="0085452E" w:rsidP="0085452E">
      <w:pPr>
        <w:jc w:val="both"/>
        <w:rPr>
          <w:b/>
          <w:color w:val="38761D"/>
          <w:lang w:val="nl-BE"/>
        </w:rPr>
      </w:pPr>
      <w:r w:rsidRPr="00E6515F">
        <w:rPr>
          <w:b/>
          <w:color w:val="38761D"/>
          <w:lang w:val="nl-BE"/>
        </w:rPr>
        <w:t>OOD 1.7 We breiden de VAPH-capaciteit verder uit</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 xml:space="preserve">1° Op basis van een analyse van de niet ingevulde noden van personen met een beperking realiseren we, mits een verdere stijging van het budget en een efficiëntere en andere inzet van het beschikbare budget 1) een versterking van het aanbod </w:t>
      </w:r>
      <w:proofErr w:type="spellStart"/>
      <w:r w:rsidRPr="00E6515F">
        <w:rPr>
          <w:b/>
          <w:lang w:val="nl-BE"/>
        </w:rPr>
        <w:t>handicapspecifieke</w:t>
      </w:r>
      <w:proofErr w:type="spellEnd"/>
      <w:r w:rsidRPr="00E6515F">
        <w:rPr>
          <w:b/>
          <w:lang w:val="nl-BE"/>
        </w:rPr>
        <w:t xml:space="preserve"> rechtstreeks toegankelijke zorg en ondersteuning, 2) de introductie van een </w:t>
      </w:r>
      <w:proofErr w:type="spellStart"/>
      <w:r w:rsidRPr="00E6515F">
        <w:rPr>
          <w:b/>
          <w:lang w:val="nl-BE"/>
        </w:rPr>
        <w:t>basisondersteuningsbudget</w:t>
      </w:r>
      <w:proofErr w:type="spellEnd"/>
      <w:r w:rsidRPr="00E6515F">
        <w:rPr>
          <w:b/>
          <w:lang w:val="nl-BE"/>
        </w:rPr>
        <w:t xml:space="preserve"> voor elke persoon met een beperking met een vastgestelde ondersteuningsnood, in samenwerking met VSB die de budgettaire verantwoordelijkheid zal dragen en de zorgkassen die als uniek loket zullen fungeren 3) een optimalisatie van het aanbod hulpmiddelen binnen het concept van de Vlaamse Sociale Bescherming 4) een uitbreiding van de middelen voor noodsituaties en 5) een uitbreiding en efficiëntere inzet van (de persoonsvolgende budgetten voor) het aanbod niet rechtstreekse toegankelijke zorg en ondersteuning</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Rekening houdend met de voor </w:t>
      </w:r>
      <w:r w:rsidR="009F5B77">
        <w:rPr>
          <w:lang w:val="nl-BE"/>
        </w:rPr>
        <w:t>personen met een handicap</w:t>
      </w:r>
      <w:r w:rsidRPr="00E6515F">
        <w:rPr>
          <w:lang w:val="nl-BE"/>
        </w:rPr>
        <w:t xml:space="preserve"> voorziene middelen binnen de meerjarenbegroting van </w:t>
      </w:r>
      <w:r w:rsidR="00AA293B">
        <w:rPr>
          <w:lang w:val="nl-BE"/>
        </w:rPr>
        <w:t xml:space="preserve">het beleidsdomein </w:t>
      </w:r>
      <w:r w:rsidR="00113353">
        <w:rPr>
          <w:lang w:val="nl-BE"/>
        </w:rPr>
        <w:t xml:space="preserve">Welzijn, </w:t>
      </w:r>
      <w:proofErr w:type="spellStart"/>
      <w:r w:rsidR="00113353">
        <w:rPr>
          <w:lang w:val="nl-BE"/>
        </w:rPr>
        <w:t>Volkgsgezondheid</w:t>
      </w:r>
      <w:proofErr w:type="spellEnd"/>
      <w:r w:rsidR="00113353">
        <w:rPr>
          <w:lang w:val="nl-BE"/>
        </w:rPr>
        <w:t xml:space="preserve"> en Gezin</w:t>
      </w:r>
      <w:r w:rsidR="00113353" w:rsidRPr="00E6515F">
        <w:rPr>
          <w:lang w:val="nl-BE"/>
        </w:rPr>
        <w:t xml:space="preserve"> </w:t>
      </w:r>
      <w:r w:rsidRPr="00E6515F">
        <w:rPr>
          <w:lang w:val="nl-BE"/>
        </w:rPr>
        <w:t>bereidde het VAPH de voorbije jaren telkens een analyse voor van de niet</w:t>
      </w:r>
      <w:r w:rsidR="00113353">
        <w:rPr>
          <w:lang w:val="nl-BE"/>
        </w:rPr>
        <w:t>-</w:t>
      </w:r>
      <w:r w:rsidRPr="00E6515F">
        <w:rPr>
          <w:lang w:val="nl-BE"/>
        </w:rPr>
        <w:t>ingevulde noden binnen de sector</w:t>
      </w:r>
      <w:r w:rsidR="00113353">
        <w:rPr>
          <w:lang w:val="nl-BE"/>
        </w:rPr>
        <w:t xml:space="preserve"> voor</w:t>
      </w:r>
      <w:r w:rsidRPr="00E6515F">
        <w:rPr>
          <w:lang w:val="nl-BE"/>
        </w:rPr>
        <w:t xml:space="preserve"> </w:t>
      </w:r>
      <w:r w:rsidR="009F5B77">
        <w:rPr>
          <w:lang w:val="nl-BE"/>
        </w:rPr>
        <w:t>personen met een handicap</w:t>
      </w:r>
      <w:r w:rsidR="00113353">
        <w:rPr>
          <w:lang w:val="nl-BE"/>
        </w:rPr>
        <w:t>,</w:t>
      </w:r>
      <w:r w:rsidRPr="00E6515F">
        <w:rPr>
          <w:lang w:val="nl-BE"/>
        </w:rPr>
        <w:t xml:space="preserve"> evenals een voorstel voor de verdeling van de middelen beschikbaar voor trap 1 en trap 2 in het daaropvolgende jaar. </w:t>
      </w:r>
      <w:r w:rsidR="00113353" w:rsidRPr="00E6515F">
        <w:rPr>
          <w:lang w:val="nl-BE"/>
        </w:rPr>
        <w:t>D</w:t>
      </w:r>
      <w:r w:rsidR="00113353">
        <w:rPr>
          <w:lang w:val="nl-BE"/>
        </w:rPr>
        <w:t>a</w:t>
      </w:r>
      <w:r w:rsidR="00113353" w:rsidRPr="00E6515F">
        <w:rPr>
          <w:lang w:val="nl-BE"/>
        </w:rPr>
        <w:t xml:space="preserve">t </w:t>
      </w:r>
      <w:r w:rsidRPr="00E6515F">
        <w:rPr>
          <w:lang w:val="nl-BE"/>
        </w:rPr>
        <w:t xml:space="preserve">resulteerde elk van de voorbije jaren in een </w:t>
      </w:r>
      <w:r w:rsidRPr="00E6515F">
        <w:rPr>
          <w:lang w:val="nl-BE"/>
        </w:rPr>
        <w:lastRenderedPageBreak/>
        <w:t>omzendbrief waarin de verdeling van de beschikbare middelen werd bekend gemaakt aan de sector.</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Met de invoering van de persoonsvolgende financiering heeft het VAPH ook een doorgedreven monitoringsysteem opgezet dat toelaat om, </w:t>
      </w:r>
      <w:r w:rsidR="00113353">
        <w:rPr>
          <w:lang w:val="nl-BE"/>
        </w:rPr>
        <w:t>door</w:t>
      </w:r>
      <w:r w:rsidR="00113353" w:rsidRPr="00E6515F">
        <w:rPr>
          <w:lang w:val="nl-BE"/>
        </w:rPr>
        <w:t xml:space="preserve"> </w:t>
      </w:r>
      <w:r w:rsidRPr="00E6515F">
        <w:rPr>
          <w:lang w:val="nl-BE"/>
        </w:rPr>
        <w:t xml:space="preserve">rapporten per kwartaal, de inzet van de beschikbare middelen voor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op te volgen. </w:t>
      </w:r>
      <w:r w:rsidR="00113353">
        <w:rPr>
          <w:lang w:val="nl-BE"/>
        </w:rPr>
        <w:t>Daa</w:t>
      </w:r>
      <w:r w:rsidR="00113353" w:rsidRPr="00E6515F">
        <w:rPr>
          <w:lang w:val="nl-BE"/>
        </w:rPr>
        <w:t xml:space="preserve">rin </w:t>
      </w:r>
      <w:r w:rsidRPr="00E6515F">
        <w:rPr>
          <w:lang w:val="nl-BE"/>
        </w:rPr>
        <w:t xml:space="preserve">wordt onder meer nagegaan hoeveel budgetten werden toegekend in het kader van de </w:t>
      </w:r>
      <w:r w:rsidR="00113353" w:rsidRPr="00E6515F">
        <w:rPr>
          <w:lang w:val="nl-BE"/>
        </w:rPr>
        <w:t>automatische</w:t>
      </w:r>
      <w:r w:rsidR="00113353">
        <w:rPr>
          <w:lang w:val="nl-BE"/>
        </w:rPr>
        <w:t>-</w:t>
      </w:r>
      <w:r w:rsidRPr="00E6515F">
        <w:rPr>
          <w:lang w:val="nl-BE"/>
        </w:rPr>
        <w:t xml:space="preserve">toekenningsgroepen, om </w:t>
      </w:r>
      <w:r w:rsidR="00113353">
        <w:rPr>
          <w:lang w:val="nl-BE"/>
        </w:rPr>
        <w:t>zo</w:t>
      </w:r>
      <w:r w:rsidR="00113353" w:rsidRPr="00E6515F">
        <w:rPr>
          <w:lang w:val="nl-BE"/>
        </w:rPr>
        <w:t xml:space="preserve"> </w:t>
      </w:r>
      <w:r w:rsidRPr="00E6515F">
        <w:rPr>
          <w:lang w:val="nl-BE"/>
        </w:rPr>
        <w:t>de nog overblijvende ruimte voor  terbeschikkingstellingen in de prioriteitengroepen in te schatten.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De voorbije periode werd ingezet op de invoering van het zorgbudget voor </w:t>
      </w:r>
      <w:r w:rsidR="009F5B77">
        <w:rPr>
          <w:lang w:val="nl-BE"/>
        </w:rPr>
        <w:t>personen met een handicap</w:t>
      </w:r>
      <w:r w:rsidRPr="00E6515F">
        <w:rPr>
          <w:lang w:val="nl-BE"/>
        </w:rPr>
        <w:t xml:space="preserve"> (</w:t>
      </w:r>
      <w:proofErr w:type="spellStart"/>
      <w:r w:rsidR="00113353">
        <w:rPr>
          <w:lang w:val="nl-BE"/>
        </w:rPr>
        <w:t>basisondersteuningsbudget</w:t>
      </w:r>
      <w:proofErr w:type="spellEnd"/>
      <w:r w:rsidR="00113353">
        <w:rPr>
          <w:lang w:val="nl-BE"/>
        </w:rPr>
        <w:t xml:space="preserve"> (</w:t>
      </w:r>
      <w:r w:rsidRPr="00E6515F">
        <w:rPr>
          <w:lang w:val="nl-BE"/>
        </w:rPr>
        <w:t>BOB</w:t>
      </w:r>
      <w:r w:rsidR="00113353">
        <w:rPr>
          <w:lang w:val="nl-BE"/>
        </w:rPr>
        <w:t>)</w:t>
      </w:r>
      <w:r w:rsidRPr="00E6515F">
        <w:rPr>
          <w:lang w:val="nl-BE"/>
        </w:rPr>
        <w:t xml:space="preserve">), de versterking van het aanbod </w:t>
      </w:r>
      <w:r w:rsidR="00DD02E4">
        <w:rPr>
          <w:lang w:val="nl-BE"/>
        </w:rPr>
        <w:t>rechtstreeks toegankelijke hulp</w:t>
      </w:r>
      <w:r w:rsidRPr="00E6515F">
        <w:rPr>
          <w:lang w:val="nl-BE"/>
        </w:rPr>
        <w:t xml:space="preserve">, de toekenning van extra </w:t>
      </w:r>
      <w:r w:rsidR="00DD02E4" w:rsidRPr="00DD02E4">
        <w:rPr>
          <w:lang w:val="nl-BE"/>
        </w:rPr>
        <w:t>persoonlijke-assistentiebudget</w:t>
      </w:r>
      <w:r w:rsidR="00DD02E4">
        <w:rPr>
          <w:lang w:val="nl-BE"/>
        </w:rPr>
        <w:t>ten</w:t>
      </w:r>
      <w:r w:rsidRPr="00E6515F">
        <w:rPr>
          <w:lang w:val="nl-BE"/>
        </w:rPr>
        <w:t xml:space="preserve"> voor minderjarigen en de terbeschikkingstelling van </w:t>
      </w:r>
      <w:r w:rsidR="00113353">
        <w:rPr>
          <w:lang w:val="nl-BE"/>
        </w:rPr>
        <w:t>persoonsvolgende convenanten</w:t>
      </w:r>
      <w:r w:rsidR="00113353" w:rsidRPr="00E6515F">
        <w:rPr>
          <w:lang w:val="nl-BE"/>
        </w:rPr>
        <w:t xml:space="preserve"> </w:t>
      </w:r>
      <w:r w:rsidRPr="00E6515F">
        <w:rPr>
          <w:lang w:val="nl-BE"/>
        </w:rPr>
        <w:t xml:space="preserve">(voor de invoering van </w:t>
      </w:r>
      <w:r w:rsidR="00113353">
        <w:rPr>
          <w:lang w:val="nl-BE"/>
        </w:rPr>
        <w:t xml:space="preserve">de </w:t>
      </w:r>
      <w:r w:rsidR="009F5B77">
        <w:rPr>
          <w:lang w:val="nl-BE"/>
        </w:rPr>
        <w:t>persoonsvolgende financiering</w:t>
      </w:r>
      <w:r w:rsidRPr="00E6515F">
        <w:rPr>
          <w:lang w:val="nl-BE"/>
        </w:rPr>
        <w:t xml:space="preserve">) en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voor meerderjarigen. Daarnaast werden extra middelen voorbehouden voor het invullen van randvoorwaarden die de omschakeling naar het systeem van </w:t>
      </w:r>
      <w:r w:rsidR="009F5B77">
        <w:rPr>
          <w:lang w:val="nl-BE"/>
        </w:rPr>
        <w:t>persoonsvolgende financiering</w:t>
      </w:r>
      <w:r w:rsidRPr="00E6515F">
        <w:rPr>
          <w:lang w:val="nl-BE"/>
        </w:rPr>
        <w:t xml:space="preserve"> moesten faciliteren.</w:t>
      </w:r>
    </w:p>
    <w:p w:rsidR="0085452E" w:rsidRPr="00E6515F" w:rsidRDefault="0085452E" w:rsidP="0085452E">
      <w:pPr>
        <w:jc w:val="both"/>
        <w:rPr>
          <w:lang w:val="nl-BE"/>
        </w:rPr>
      </w:pPr>
    </w:p>
    <w:p w:rsidR="0085452E" w:rsidRPr="00E6515F" w:rsidRDefault="0085452E" w:rsidP="0085452E">
      <w:pPr>
        <w:jc w:val="both"/>
        <w:rPr>
          <w:lang w:val="nl-BE"/>
        </w:rPr>
      </w:pPr>
      <w:r w:rsidRPr="00E6515F">
        <w:rPr>
          <w:highlight w:val="white"/>
          <w:lang w:val="nl-BE"/>
        </w:rPr>
        <w:t>In samenwerking met het agentschap V</w:t>
      </w:r>
      <w:r w:rsidR="00113353">
        <w:rPr>
          <w:highlight w:val="white"/>
          <w:lang w:val="nl-BE"/>
        </w:rPr>
        <w:t>laamse sociale bescherming</w:t>
      </w:r>
      <w:r w:rsidRPr="00E6515F">
        <w:rPr>
          <w:highlight w:val="white"/>
          <w:lang w:val="nl-BE"/>
        </w:rPr>
        <w:t xml:space="preserve"> wordt onderzocht welke hulpmiddelen in het kader van een nieuw leeftijdsonafhankelijk hulpmiddelenbeleid van het VAPH naar de </w:t>
      </w:r>
      <w:r w:rsidR="00113353">
        <w:rPr>
          <w:highlight w:val="white"/>
          <w:lang w:val="nl-BE"/>
        </w:rPr>
        <w:t>Vlaamse sociale bescherming</w:t>
      </w:r>
      <w:r w:rsidR="00113353" w:rsidRPr="00E6515F">
        <w:rPr>
          <w:highlight w:val="white"/>
          <w:lang w:val="nl-BE"/>
        </w:rPr>
        <w:t xml:space="preserve"> </w:t>
      </w:r>
      <w:r w:rsidRPr="00E6515F">
        <w:rPr>
          <w:highlight w:val="white"/>
          <w:lang w:val="nl-BE"/>
        </w:rPr>
        <w:t>dienen overgedragen te worden. Ook de begrotingsoverdracht maakt deel uit van de opdracht. In een volgende fase wordt nagedacht over de wederzijdse gegevensoverdracht</w:t>
      </w:r>
      <w:r w:rsidR="00594A0B">
        <w:rPr>
          <w:highlight w:val="white"/>
          <w:lang w:val="nl-BE"/>
        </w:rPr>
        <w:t>.</w:t>
      </w:r>
      <w:r w:rsidRPr="00E6515F">
        <w:rPr>
          <w:highlight w:val="white"/>
          <w:lang w:val="nl-BE"/>
        </w:rPr>
        <w:t xml:space="preserve">  </w:t>
      </w:r>
    </w:p>
    <w:p w:rsidR="0085452E" w:rsidRPr="00E6515F" w:rsidRDefault="0085452E" w:rsidP="0085452E">
      <w:pPr>
        <w:jc w:val="both"/>
        <w:rPr>
          <w:lang w:val="nl-BE"/>
        </w:rPr>
      </w:pPr>
    </w:p>
    <w:p w:rsidR="0085452E" w:rsidRPr="00E6515F" w:rsidRDefault="0085452E" w:rsidP="0085452E">
      <w:pPr>
        <w:jc w:val="both"/>
        <w:rPr>
          <w:b/>
          <w:lang w:val="nl-BE"/>
        </w:rPr>
      </w:pPr>
      <w:r w:rsidRPr="00E6515F">
        <w:rPr>
          <w:b/>
          <w:lang w:val="nl-BE"/>
        </w:rPr>
        <w:t>2° Om een betere afstemming tussen de transversale beleidsprocessen te realiseren, geven we via de Open Coördinatiemethode van het Gelijke Kansenbeleid insteken rond de thema’s handicap en toegankelijkheid</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Het VAPH leverde in de voorbije periode een bijdrage aan het Vlaams Horizontaal </w:t>
      </w:r>
      <w:proofErr w:type="spellStart"/>
      <w:r w:rsidRPr="00E6515F">
        <w:rPr>
          <w:lang w:val="nl-BE"/>
        </w:rPr>
        <w:t>Gelijkekansenbeleid</w:t>
      </w:r>
      <w:proofErr w:type="spellEnd"/>
      <w:r w:rsidRPr="00E6515F">
        <w:rPr>
          <w:lang w:val="nl-BE"/>
        </w:rPr>
        <w:t xml:space="preserve"> met specifieke doelstellingen inzake handicap, </w:t>
      </w:r>
      <w:r w:rsidR="00113353">
        <w:rPr>
          <w:lang w:val="nl-BE"/>
        </w:rPr>
        <w:t>onder meer de</w:t>
      </w:r>
      <w:r w:rsidRPr="00E6515F">
        <w:rPr>
          <w:lang w:val="nl-BE"/>
        </w:rPr>
        <w:t xml:space="preserve"> uitrol</w:t>
      </w:r>
      <w:r w:rsidR="00113353">
        <w:rPr>
          <w:lang w:val="nl-BE"/>
        </w:rPr>
        <w:t xml:space="preserve"> van de </w:t>
      </w:r>
      <w:r w:rsidRPr="00E6515F">
        <w:rPr>
          <w:lang w:val="nl-BE"/>
        </w:rPr>
        <w:t xml:space="preserve"> </w:t>
      </w:r>
      <w:r w:rsidR="009F5B77">
        <w:rPr>
          <w:lang w:val="nl-BE"/>
        </w:rPr>
        <w:t>persoonsvolgende financiering</w:t>
      </w:r>
      <w:r w:rsidRPr="00E6515F">
        <w:rPr>
          <w:lang w:val="nl-BE"/>
        </w:rPr>
        <w:t xml:space="preserve">, sociaal ondernemerschap, kwaliteit van bestaan, rechtstreeks toegankelijke hulpverlening, European </w:t>
      </w:r>
      <w:proofErr w:type="spellStart"/>
      <w:r w:rsidRPr="00E6515F">
        <w:rPr>
          <w:lang w:val="nl-BE"/>
        </w:rPr>
        <w:t>Disability</w:t>
      </w:r>
      <w:proofErr w:type="spellEnd"/>
      <w:r w:rsidRPr="00E6515F">
        <w:rPr>
          <w:lang w:val="nl-BE"/>
        </w:rPr>
        <w:t xml:space="preserve"> Card, leeftijdsonafhankelijk hulpmiddelenbeleid, inclusieve kinderopvang, de opname van een </w:t>
      </w:r>
      <w:proofErr w:type="spellStart"/>
      <w:r w:rsidRPr="00E6515F">
        <w:rPr>
          <w:lang w:val="nl-BE"/>
        </w:rPr>
        <w:t>antidiscriminatieclausule</w:t>
      </w:r>
      <w:proofErr w:type="spellEnd"/>
      <w:r w:rsidRPr="00E6515F">
        <w:rPr>
          <w:lang w:val="nl-BE"/>
        </w:rPr>
        <w:t xml:space="preserve"> in het nieuw</w:t>
      </w:r>
      <w:r w:rsidR="00113353">
        <w:rPr>
          <w:lang w:val="nl-BE"/>
        </w:rPr>
        <w:t>e</w:t>
      </w:r>
      <w:r w:rsidRPr="00E6515F">
        <w:rPr>
          <w:lang w:val="nl-BE"/>
        </w:rPr>
        <w:t xml:space="preserve"> </w:t>
      </w:r>
      <w:r w:rsidR="00113353">
        <w:rPr>
          <w:lang w:val="nl-BE"/>
        </w:rPr>
        <w:t>besluit van de Vlaamse Regering rond</w:t>
      </w:r>
      <w:r w:rsidR="00113353" w:rsidRPr="00E6515F">
        <w:rPr>
          <w:lang w:val="nl-BE"/>
        </w:rPr>
        <w:t xml:space="preserve"> </w:t>
      </w:r>
      <w:r w:rsidRPr="00E6515F">
        <w:rPr>
          <w:lang w:val="nl-BE"/>
        </w:rPr>
        <w:t xml:space="preserve">projectsubsidiëring, en een actief mediabeleid </w:t>
      </w:r>
      <w:r w:rsidR="00113353">
        <w:rPr>
          <w:lang w:val="nl-BE"/>
        </w:rPr>
        <w:t>in functie van</w:t>
      </w:r>
      <w:r w:rsidRPr="00E6515F">
        <w:rPr>
          <w:lang w:val="nl-BE"/>
        </w:rPr>
        <w:t xml:space="preserve"> positieve beeldvorming </w:t>
      </w:r>
      <w:r w:rsidR="00113353">
        <w:rPr>
          <w:lang w:val="nl-BE"/>
        </w:rPr>
        <w:t xml:space="preserve">van </w:t>
      </w:r>
      <w:r w:rsidR="009F5B77">
        <w:rPr>
          <w:lang w:val="nl-BE"/>
        </w:rPr>
        <w:t>personen met een handicap</w:t>
      </w:r>
      <w:r w:rsidRPr="00E6515F">
        <w:rPr>
          <w:lang w:val="nl-BE"/>
        </w:rPr>
        <w:t xml:space="preserve"> - voor opname in het Vlaams Horizontaal </w:t>
      </w:r>
      <w:proofErr w:type="spellStart"/>
      <w:r w:rsidRPr="00E6515F">
        <w:rPr>
          <w:lang w:val="nl-BE"/>
        </w:rPr>
        <w:t>Gelijkekansenbeleidsplan</w:t>
      </w:r>
      <w:proofErr w:type="spellEnd"/>
      <w:r w:rsidRPr="00E6515F">
        <w:rPr>
          <w:lang w:val="nl-BE"/>
        </w:rPr>
        <w:t>.</w:t>
      </w:r>
      <w:r w:rsidRPr="00E6515F">
        <w:rPr>
          <w:lang w:val="nl-BE"/>
        </w:rPr>
        <w:br/>
      </w:r>
    </w:p>
    <w:p w:rsidR="0085452E" w:rsidRPr="00E6515F" w:rsidRDefault="0085452E" w:rsidP="0085452E">
      <w:pPr>
        <w:jc w:val="both"/>
        <w:rPr>
          <w:b/>
          <w:lang w:val="nl-BE"/>
        </w:rPr>
      </w:pPr>
      <w:r w:rsidRPr="00E6515F">
        <w:rPr>
          <w:b/>
          <w:lang w:val="nl-BE"/>
        </w:rPr>
        <w:t>3° Om voor personen met autisme de participatiekansen in onze samenleving te maximaliseren, richten we een Taskforce Autisme op die beleidsaanbevelingen formuleert. Deze zullen ingang vinden in een actieplan autisme</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Om voor personen met autisme de participatiekansen in onze samenleving te maximaliseren, werd een </w:t>
      </w:r>
      <w:r w:rsidR="009B165A">
        <w:rPr>
          <w:lang w:val="nl-BE"/>
        </w:rPr>
        <w:t>t</w:t>
      </w:r>
      <w:r w:rsidR="009B165A" w:rsidRPr="00E6515F">
        <w:rPr>
          <w:lang w:val="nl-BE"/>
        </w:rPr>
        <w:t xml:space="preserve">askforce </w:t>
      </w:r>
      <w:r w:rsidRPr="00E6515F">
        <w:rPr>
          <w:lang w:val="nl-BE"/>
        </w:rPr>
        <w:t>Autisme opgericht die beleidsaanbevelingen formuleerde. Op basis van d</w:t>
      </w:r>
      <w:r w:rsidR="009B165A">
        <w:rPr>
          <w:lang w:val="nl-BE"/>
        </w:rPr>
        <w:t>ie</w:t>
      </w:r>
      <w:r w:rsidRPr="00E6515F">
        <w:rPr>
          <w:lang w:val="nl-BE"/>
        </w:rPr>
        <w:t xml:space="preserve"> </w:t>
      </w:r>
      <w:r w:rsidRPr="00E6515F">
        <w:rPr>
          <w:lang w:val="nl-BE"/>
        </w:rPr>
        <w:lastRenderedPageBreak/>
        <w:t xml:space="preserve">aanbevelingen werd door het </w:t>
      </w:r>
      <w:r w:rsidR="009B165A">
        <w:rPr>
          <w:lang w:val="nl-BE"/>
        </w:rPr>
        <w:t>D</w:t>
      </w:r>
      <w:r w:rsidR="009B165A" w:rsidRPr="00E6515F">
        <w:rPr>
          <w:lang w:val="nl-BE"/>
        </w:rPr>
        <w:t xml:space="preserve">epartement </w:t>
      </w:r>
      <w:r w:rsidR="009B165A">
        <w:rPr>
          <w:lang w:val="nl-BE"/>
        </w:rPr>
        <w:t>Welzijn, Volksgezondheid en Gezin</w:t>
      </w:r>
      <w:r w:rsidR="009B165A" w:rsidRPr="00E6515F">
        <w:rPr>
          <w:lang w:val="nl-BE"/>
        </w:rPr>
        <w:t xml:space="preserve"> </w:t>
      </w:r>
      <w:r w:rsidRPr="00E6515F">
        <w:rPr>
          <w:lang w:val="nl-BE"/>
        </w:rPr>
        <w:t>een actieplan Autisme voorbereid.</w:t>
      </w:r>
    </w:p>
    <w:p w:rsidR="0085452E" w:rsidRPr="00E6515F" w:rsidRDefault="0085452E" w:rsidP="0085452E">
      <w:pPr>
        <w:jc w:val="both"/>
        <w:rPr>
          <w:lang w:val="nl-BE"/>
        </w:rPr>
      </w:pPr>
    </w:p>
    <w:p w:rsidR="0085452E" w:rsidRPr="00E6515F" w:rsidRDefault="0085452E" w:rsidP="0085452E">
      <w:pPr>
        <w:jc w:val="both"/>
        <w:rPr>
          <w:lang w:val="nl-BE"/>
        </w:rPr>
      </w:pPr>
      <w:r w:rsidRPr="00E6515F">
        <w:rPr>
          <w:lang w:val="nl-BE"/>
        </w:rPr>
        <w:t xml:space="preserve">De werkgroep </w:t>
      </w:r>
      <w:r w:rsidR="009B165A">
        <w:rPr>
          <w:lang w:val="nl-BE"/>
        </w:rPr>
        <w:t>in functie van de</w:t>
      </w:r>
      <w:r w:rsidRPr="00E6515F">
        <w:rPr>
          <w:lang w:val="nl-BE"/>
        </w:rPr>
        <w:t xml:space="preserve"> uitvoering van de acties opgenomen in het Strategisch Plan Autisme is ondertussen opgestart (cf. </w:t>
      </w:r>
      <w:r w:rsidR="009B165A" w:rsidRPr="00E6515F">
        <w:rPr>
          <w:lang w:val="nl-BE"/>
        </w:rPr>
        <w:t>Dep</w:t>
      </w:r>
      <w:r w:rsidR="009B165A">
        <w:rPr>
          <w:lang w:val="nl-BE"/>
        </w:rPr>
        <w:t>artement</w:t>
      </w:r>
      <w:r w:rsidR="009B165A" w:rsidRPr="00E6515F">
        <w:rPr>
          <w:lang w:val="nl-BE"/>
        </w:rPr>
        <w:t xml:space="preserve"> </w:t>
      </w:r>
      <w:r w:rsidRPr="00E6515F">
        <w:rPr>
          <w:lang w:val="nl-BE"/>
        </w:rPr>
        <w:t>W</w:t>
      </w:r>
      <w:r w:rsidR="009B165A">
        <w:rPr>
          <w:lang w:val="nl-BE"/>
        </w:rPr>
        <w:t xml:space="preserve">elzijn, </w:t>
      </w:r>
      <w:r w:rsidRPr="00E6515F">
        <w:rPr>
          <w:lang w:val="nl-BE"/>
        </w:rPr>
        <w:t>V</w:t>
      </w:r>
      <w:r w:rsidR="009B165A">
        <w:rPr>
          <w:lang w:val="nl-BE"/>
        </w:rPr>
        <w:t xml:space="preserve">olksgezondheid en </w:t>
      </w:r>
      <w:r w:rsidRPr="00E6515F">
        <w:rPr>
          <w:lang w:val="nl-BE"/>
        </w:rPr>
        <w:t>G</w:t>
      </w:r>
      <w:r w:rsidR="009B165A">
        <w:rPr>
          <w:lang w:val="nl-BE"/>
        </w:rPr>
        <w:t>ezin</w:t>
      </w:r>
      <w:r w:rsidRPr="00E6515F">
        <w:rPr>
          <w:lang w:val="nl-BE"/>
        </w:rPr>
        <w:t>).</w:t>
      </w:r>
    </w:p>
    <w:p w:rsidR="0085452E" w:rsidRPr="00E6515F" w:rsidRDefault="0085452E" w:rsidP="0085452E">
      <w:pPr>
        <w:jc w:val="both"/>
        <w:rPr>
          <w:lang w:val="nl-BE"/>
        </w:rPr>
      </w:pPr>
    </w:p>
    <w:p w:rsidR="0085452E" w:rsidRPr="00E6515F" w:rsidRDefault="0085452E" w:rsidP="0085452E">
      <w:pPr>
        <w:jc w:val="both"/>
        <w:rPr>
          <w:i/>
          <w:color w:val="0000FF"/>
          <w:lang w:val="nl-BE"/>
        </w:rPr>
      </w:pPr>
      <w:r w:rsidRPr="00E6515F">
        <w:rPr>
          <w:i/>
          <w:color w:val="0000FF"/>
          <w:lang w:val="nl-BE"/>
        </w:rPr>
        <w:t>SD 5 We zetten diverse regelgevende en maatschappelijke instrumenten in om de kwaliteit van zorg te stimuleren en sociaal ondernemerschap kansen te geven</w:t>
      </w:r>
    </w:p>
    <w:p w:rsidR="0085452E" w:rsidRPr="00E6515F" w:rsidRDefault="0085452E" w:rsidP="0085452E">
      <w:pPr>
        <w:jc w:val="both"/>
        <w:rPr>
          <w:i/>
          <w:color w:val="0000FF"/>
          <w:lang w:val="nl-BE"/>
        </w:rPr>
      </w:pPr>
    </w:p>
    <w:p w:rsidR="0085452E" w:rsidRPr="00E6515F" w:rsidRDefault="0085452E" w:rsidP="0085452E">
      <w:pPr>
        <w:jc w:val="both"/>
        <w:rPr>
          <w:i/>
          <w:color w:val="0000FF"/>
          <w:lang w:val="nl-BE"/>
        </w:rPr>
      </w:pPr>
      <w:r w:rsidRPr="00E6515F">
        <w:rPr>
          <w:i/>
          <w:color w:val="0000FF"/>
          <w:lang w:val="nl-BE"/>
        </w:rPr>
        <w:t>OD 5.2 We vereenvoudigen de erkennings- en financieringskaders binnen het beleidsdomein en stemmen ze op elkaar af om flexibeler te kunnen reageren op zorgvragen</w:t>
      </w:r>
    </w:p>
    <w:p w:rsidR="0085452E" w:rsidRPr="00E6515F" w:rsidRDefault="0085452E" w:rsidP="0085452E">
      <w:pPr>
        <w:jc w:val="both"/>
        <w:rPr>
          <w:i/>
          <w:color w:val="0000FF"/>
          <w:lang w:val="nl-BE"/>
        </w:rPr>
      </w:pPr>
    </w:p>
    <w:p w:rsidR="0085452E" w:rsidRPr="00E6515F" w:rsidRDefault="0085452E" w:rsidP="0085452E">
      <w:pPr>
        <w:jc w:val="both"/>
        <w:rPr>
          <w:b/>
          <w:color w:val="38761D"/>
          <w:lang w:val="nl-BE"/>
        </w:rPr>
      </w:pPr>
      <w:r w:rsidRPr="00E6515F">
        <w:rPr>
          <w:b/>
          <w:color w:val="38761D"/>
          <w:lang w:val="nl-BE"/>
        </w:rPr>
        <w:t>OOD 1.8 We optimaliseren de procedures van erkenning en subsidiëring</w:t>
      </w:r>
    </w:p>
    <w:p w:rsidR="0085452E" w:rsidRPr="00E6515F" w:rsidRDefault="0085452E" w:rsidP="0085452E">
      <w:pPr>
        <w:jc w:val="both"/>
        <w:rPr>
          <w:b/>
          <w:color w:val="38761D"/>
          <w:lang w:val="nl-BE"/>
        </w:rPr>
      </w:pPr>
    </w:p>
    <w:p w:rsidR="0085452E" w:rsidRPr="00E6515F" w:rsidRDefault="0085452E" w:rsidP="0085452E">
      <w:pPr>
        <w:jc w:val="both"/>
        <w:rPr>
          <w:b/>
          <w:lang w:val="nl-BE"/>
        </w:rPr>
      </w:pPr>
      <w:r w:rsidRPr="00E6515F">
        <w:rPr>
          <w:b/>
          <w:lang w:val="nl-BE"/>
        </w:rPr>
        <w:t>1° Met het oog op de persoonsvolgende financiering veralgemenen we de financiering op basis van personeelspunten.</w:t>
      </w:r>
    </w:p>
    <w:p w:rsidR="0085452E" w:rsidRPr="00E6515F" w:rsidRDefault="0085452E" w:rsidP="0085452E">
      <w:pPr>
        <w:jc w:val="both"/>
        <w:rPr>
          <w:b/>
          <w:lang w:val="nl-BE"/>
        </w:rPr>
      </w:pPr>
    </w:p>
    <w:p w:rsidR="0085452E" w:rsidRPr="00E6515F" w:rsidRDefault="0085452E" w:rsidP="0085452E">
      <w:pPr>
        <w:jc w:val="both"/>
        <w:rPr>
          <w:lang w:val="nl-BE"/>
        </w:rPr>
      </w:pPr>
      <w:r w:rsidRPr="00E6515F">
        <w:rPr>
          <w:lang w:val="nl-BE"/>
        </w:rPr>
        <w:t xml:space="preserve">De subsidiëring via personeelspunten is veralgemeend, zowel binnen de vouchers als wat betreft andere </w:t>
      </w:r>
      <w:proofErr w:type="spellStart"/>
      <w:r w:rsidRPr="00E6515F">
        <w:rPr>
          <w:lang w:val="nl-BE"/>
        </w:rPr>
        <w:t>aanbodsvormen</w:t>
      </w:r>
      <w:proofErr w:type="spellEnd"/>
      <w:r w:rsidRPr="00E6515F">
        <w:rPr>
          <w:lang w:val="nl-BE"/>
        </w:rPr>
        <w:t xml:space="preserve"> (</w:t>
      </w:r>
      <w:r w:rsidR="009B165A">
        <w:rPr>
          <w:lang w:val="nl-BE"/>
        </w:rPr>
        <w:t>multifunctioneel centrum</w:t>
      </w:r>
      <w:r w:rsidRPr="00E6515F">
        <w:rPr>
          <w:lang w:val="nl-BE"/>
        </w:rPr>
        <w:t xml:space="preserve">, </w:t>
      </w:r>
      <w:r w:rsidR="000C35CB">
        <w:rPr>
          <w:lang w:val="nl-BE"/>
        </w:rPr>
        <w:t>dienst ondersteuningsplan</w:t>
      </w:r>
      <w:r w:rsidRPr="00E6515F">
        <w:rPr>
          <w:lang w:val="nl-BE"/>
        </w:rPr>
        <w:t xml:space="preserve">, </w:t>
      </w:r>
      <w:r w:rsidR="009B165A">
        <w:rPr>
          <w:lang w:val="nl-BE"/>
        </w:rPr>
        <w:t>rechtstreeks toegankelijke hulp</w:t>
      </w:r>
      <w:r w:rsidRPr="00E6515F">
        <w:rPr>
          <w:lang w:val="nl-BE"/>
        </w:rPr>
        <w:t xml:space="preserve"> …). Het systeem voor het subsidiëren via vouchers is van kracht vanaf </w:t>
      </w:r>
      <w:r w:rsidR="009B165A">
        <w:rPr>
          <w:lang w:val="nl-BE"/>
        </w:rPr>
        <w:t xml:space="preserve">1 september </w:t>
      </w:r>
      <w:r w:rsidRPr="00E6515F">
        <w:rPr>
          <w:lang w:val="nl-BE"/>
        </w:rPr>
        <w:t xml:space="preserve">2016. </w:t>
      </w:r>
    </w:p>
    <w:p w:rsidR="0085452E" w:rsidRPr="00E6515F" w:rsidRDefault="0085452E" w:rsidP="0085452E">
      <w:pPr>
        <w:jc w:val="both"/>
        <w:rPr>
          <w:lang w:val="nl-BE"/>
        </w:rPr>
      </w:pPr>
    </w:p>
    <w:p w:rsidR="00EE4250" w:rsidRPr="00E6515F" w:rsidRDefault="0085452E" w:rsidP="0085452E">
      <w:pPr>
        <w:jc w:val="both"/>
        <w:rPr>
          <w:lang w:val="nl-BE"/>
        </w:rPr>
      </w:pPr>
      <w:r w:rsidRPr="00E6515F">
        <w:rPr>
          <w:lang w:val="nl-BE"/>
        </w:rPr>
        <w:t xml:space="preserve">De overstap naar het systeem van personeelspunten en een aantal begeleidende maatregelen, hebben geleid tot een </w:t>
      </w:r>
      <w:proofErr w:type="spellStart"/>
      <w:r w:rsidRPr="00E6515F">
        <w:rPr>
          <w:lang w:val="nl-BE"/>
        </w:rPr>
        <w:t>meerkost</w:t>
      </w:r>
      <w:proofErr w:type="spellEnd"/>
      <w:r w:rsidRPr="00E6515F">
        <w:rPr>
          <w:lang w:val="nl-BE"/>
        </w:rPr>
        <w:t xml:space="preserve"> ten opzichte van de begroting. Een grondige analyse van de begrotingen en de overstap naar</w:t>
      </w:r>
      <w:r w:rsidR="009B165A">
        <w:rPr>
          <w:lang w:val="nl-BE"/>
        </w:rPr>
        <w:t xml:space="preserve"> flexibel aanbod meerderjarigen (</w:t>
      </w:r>
      <w:r w:rsidRPr="00E6515F">
        <w:rPr>
          <w:lang w:val="nl-BE"/>
        </w:rPr>
        <w:t>FAM</w:t>
      </w:r>
      <w:r w:rsidR="009B165A">
        <w:rPr>
          <w:lang w:val="nl-BE"/>
        </w:rPr>
        <w:t>)</w:t>
      </w:r>
      <w:r w:rsidRPr="00E6515F">
        <w:rPr>
          <w:lang w:val="nl-BE"/>
        </w:rPr>
        <w:t xml:space="preserve"> en</w:t>
      </w:r>
      <w:r w:rsidR="009B165A">
        <w:rPr>
          <w:lang w:val="nl-BE"/>
        </w:rPr>
        <w:t xml:space="preserve"> multifunctioneel centrum (</w:t>
      </w:r>
      <w:r w:rsidRPr="00E6515F">
        <w:rPr>
          <w:lang w:val="nl-BE"/>
        </w:rPr>
        <w:t>MFC</w:t>
      </w:r>
      <w:r w:rsidR="009B165A">
        <w:rPr>
          <w:lang w:val="nl-BE"/>
        </w:rPr>
        <w:t>)</w:t>
      </w:r>
      <w:r w:rsidRPr="00E6515F">
        <w:rPr>
          <w:lang w:val="nl-BE"/>
        </w:rPr>
        <w:t xml:space="preserve"> werd doorgevoerd teneinde binnen de nieuwe regelgeving te voorzien in voldoende waarborgen dat onvoorziene meerkosten vermeden worden.</w:t>
      </w:r>
      <w:r w:rsidR="009B165A">
        <w:rPr>
          <w:lang w:val="nl-BE"/>
        </w:rPr>
        <w:t xml:space="preserve"> </w:t>
      </w:r>
      <w:r w:rsidRPr="00E6515F">
        <w:rPr>
          <w:lang w:val="nl-BE"/>
        </w:rPr>
        <w:t xml:space="preserve">Het overleg met Jongerenwelzijn omtrent bijdragen en zakgeld is opgestart. </w:t>
      </w:r>
    </w:p>
    <w:p w:rsidR="0085452E" w:rsidRPr="00E6515F" w:rsidRDefault="0085452E" w:rsidP="0085452E">
      <w:pPr>
        <w:jc w:val="both"/>
        <w:rPr>
          <w:lang w:val="nl-BE"/>
        </w:rPr>
      </w:pPr>
    </w:p>
    <w:p w:rsidR="00EE4250" w:rsidRPr="00E6515F" w:rsidRDefault="00EE4250" w:rsidP="00EE4250">
      <w:pPr>
        <w:rPr>
          <w:lang w:val="nl-BE"/>
        </w:rPr>
      </w:pPr>
    </w:p>
    <w:p w:rsidR="002F0E5A" w:rsidRDefault="002F0E5A">
      <w:pPr>
        <w:rPr>
          <w:b/>
          <w:sz w:val="38"/>
          <w:szCs w:val="38"/>
          <w:lang w:val="nl-BE"/>
        </w:rPr>
      </w:pPr>
      <w:bookmarkStart w:id="12" w:name="_GoBack"/>
      <w:bookmarkEnd w:id="12"/>
      <w:r>
        <w:rPr>
          <w:lang w:val="nl-BE"/>
        </w:rPr>
        <w:br w:type="page"/>
      </w:r>
    </w:p>
    <w:p w:rsidR="00CD1B8C" w:rsidRPr="00E6515F" w:rsidRDefault="002859D7" w:rsidP="00691346">
      <w:pPr>
        <w:pStyle w:val="Kop1"/>
        <w:widowControl w:val="0"/>
        <w:numPr>
          <w:ilvl w:val="0"/>
          <w:numId w:val="1"/>
        </w:numPr>
        <w:pBdr>
          <w:top w:val="nil"/>
          <w:left w:val="nil"/>
          <w:bottom w:val="nil"/>
          <w:right w:val="nil"/>
          <w:between w:val="nil"/>
        </w:pBdr>
        <w:ind w:left="544" w:hanging="570"/>
        <w:rPr>
          <w:lang w:val="nl-BE"/>
        </w:rPr>
      </w:pPr>
      <w:bookmarkStart w:id="13" w:name="_Toc536797795"/>
      <w:r w:rsidRPr="00E6515F">
        <w:rPr>
          <w:lang w:val="nl-BE"/>
        </w:rPr>
        <w:lastRenderedPageBreak/>
        <w:t>Gegevens met betrekking tot geboden ondersteuning</w:t>
      </w:r>
      <w:bookmarkEnd w:id="10"/>
      <w:bookmarkEnd w:id="13"/>
    </w:p>
    <w:p w:rsidR="00CD1B8C" w:rsidRPr="00E6515F" w:rsidRDefault="00CD1B8C">
      <w:pPr>
        <w:rPr>
          <w:lang w:val="nl-BE"/>
        </w:rPr>
      </w:pPr>
    </w:p>
    <w:p w:rsidR="004A35A5" w:rsidRPr="00E6515F" w:rsidRDefault="002859D7">
      <w:pPr>
        <w:jc w:val="both"/>
        <w:rPr>
          <w:lang w:val="nl-BE"/>
        </w:rPr>
      </w:pPr>
      <w:r w:rsidRPr="00E6515F">
        <w:rPr>
          <w:lang w:val="nl-BE"/>
        </w:rPr>
        <w:t xml:space="preserve">In dit hoofdstuk wordt dieper ingegaan op de geboden ondersteuning door het </w:t>
      </w:r>
      <w:r w:rsidR="00627480" w:rsidRPr="00E6515F">
        <w:rPr>
          <w:lang w:val="nl-BE"/>
        </w:rPr>
        <w:t>VAPH</w:t>
      </w:r>
      <w:r w:rsidRPr="00E6515F">
        <w:rPr>
          <w:lang w:val="nl-BE"/>
        </w:rPr>
        <w:t>. We geven cijfers mee van 2008, 2013, 2017 en soms ook 2018. Gezien de vele wijzigingen in het ondersteuningslandschap</w:t>
      </w:r>
      <w:r w:rsidR="009B165A">
        <w:rPr>
          <w:lang w:val="nl-BE"/>
        </w:rPr>
        <w:t xml:space="preserve"> en </w:t>
      </w:r>
      <w:r w:rsidRPr="00E6515F">
        <w:rPr>
          <w:lang w:val="nl-BE"/>
        </w:rPr>
        <w:t xml:space="preserve">de transitiebewegingen van een </w:t>
      </w:r>
      <w:proofErr w:type="spellStart"/>
      <w:r w:rsidRPr="00E6515F">
        <w:rPr>
          <w:lang w:val="nl-BE"/>
        </w:rPr>
        <w:t>aanbodgestuurd</w:t>
      </w:r>
      <w:r w:rsidR="006857B0" w:rsidRPr="00E6515F">
        <w:rPr>
          <w:lang w:val="nl-BE"/>
        </w:rPr>
        <w:t>e</w:t>
      </w:r>
      <w:proofErr w:type="spellEnd"/>
      <w:r w:rsidRPr="00E6515F">
        <w:rPr>
          <w:lang w:val="nl-BE"/>
        </w:rPr>
        <w:t xml:space="preserve"> naar een </w:t>
      </w:r>
      <w:proofErr w:type="spellStart"/>
      <w:r w:rsidRPr="00E6515F">
        <w:rPr>
          <w:lang w:val="nl-BE"/>
        </w:rPr>
        <w:t>vraaggestuurd</w:t>
      </w:r>
      <w:r w:rsidR="006857B0" w:rsidRPr="00E6515F">
        <w:rPr>
          <w:lang w:val="nl-BE"/>
        </w:rPr>
        <w:t>e</w:t>
      </w:r>
      <w:proofErr w:type="spellEnd"/>
      <w:r w:rsidRPr="00E6515F">
        <w:rPr>
          <w:lang w:val="nl-BE"/>
        </w:rPr>
        <w:t xml:space="preserve"> </w:t>
      </w:r>
      <w:r w:rsidR="006857B0" w:rsidRPr="00E6515F">
        <w:rPr>
          <w:lang w:val="nl-BE"/>
        </w:rPr>
        <w:t xml:space="preserve">financiering is </w:t>
      </w:r>
      <w:r w:rsidRPr="00E6515F">
        <w:rPr>
          <w:lang w:val="nl-BE"/>
        </w:rPr>
        <w:t>het niet altijd eenvoudig om de verschillende jaren met elkaar te vergelijken. Om de vergelijking mogelijk te maken</w:t>
      </w:r>
      <w:r w:rsidR="009B165A">
        <w:rPr>
          <w:lang w:val="nl-BE"/>
        </w:rPr>
        <w:t>,</w:t>
      </w:r>
      <w:r w:rsidRPr="00E6515F">
        <w:rPr>
          <w:lang w:val="nl-BE"/>
        </w:rPr>
        <w:t xml:space="preserve"> werden vroegere zorgvormen omgezet in hedendaagse ondersteuningsfuncties, namelijk: individuele ondersteuning, </w:t>
      </w:r>
      <w:proofErr w:type="spellStart"/>
      <w:r w:rsidRPr="00E6515F">
        <w:rPr>
          <w:lang w:val="nl-BE"/>
        </w:rPr>
        <w:t>dagondersteuning</w:t>
      </w:r>
      <w:proofErr w:type="spellEnd"/>
      <w:r w:rsidRPr="00E6515F">
        <w:rPr>
          <w:lang w:val="nl-BE"/>
        </w:rPr>
        <w:t xml:space="preserve"> en woonondersteuning. </w:t>
      </w:r>
    </w:p>
    <w:p w:rsidR="00FA63BB" w:rsidRPr="00E6515F" w:rsidRDefault="00FA63BB" w:rsidP="00FA63BB">
      <w:pPr>
        <w:pStyle w:val="Lijstalinea"/>
        <w:numPr>
          <w:ilvl w:val="0"/>
          <w:numId w:val="13"/>
        </w:numPr>
        <w:jc w:val="both"/>
        <w:rPr>
          <w:lang w:val="nl-BE"/>
        </w:rPr>
      </w:pPr>
      <w:r w:rsidRPr="00E6515F">
        <w:rPr>
          <w:lang w:val="nl-BE"/>
        </w:rPr>
        <w:t>Individuele ondersteuning: begeleid wonen, ambulante begeleiding, pleegzorg (</w:t>
      </w:r>
      <w:r w:rsidR="009B165A">
        <w:rPr>
          <w:lang w:val="nl-BE"/>
        </w:rPr>
        <w:t>wonen onder begeleiding van een particulier (</w:t>
      </w:r>
      <w:r w:rsidRPr="00E6515F">
        <w:rPr>
          <w:lang w:val="nl-BE"/>
        </w:rPr>
        <w:t>WOP</w:t>
      </w:r>
      <w:r w:rsidR="009B165A">
        <w:rPr>
          <w:lang w:val="nl-BE"/>
        </w:rPr>
        <w:t>)</w:t>
      </w:r>
      <w:r w:rsidRPr="00E6515F">
        <w:rPr>
          <w:lang w:val="nl-BE"/>
        </w:rPr>
        <w:t>), begeleide uitgroei</w:t>
      </w:r>
    </w:p>
    <w:p w:rsidR="00FA63BB" w:rsidRPr="00E6515F" w:rsidRDefault="00FA63BB" w:rsidP="00FA63BB">
      <w:pPr>
        <w:pStyle w:val="Lijstalinea"/>
        <w:numPr>
          <w:ilvl w:val="0"/>
          <w:numId w:val="13"/>
        </w:numPr>
        <w:jc w:val="both"/>
        <w:rPr>
          <w:lang w:val="nl-BE"/>
        </w:rPr>
      </w:pPr>
      <w:proofErr w:type="spellStart"/>
      <w:r w:rsidRPr="00E6515F">
        <w:rPr>
          <w:lang w:val="nl-BE"/>
        </w:rPr>
        <w:t>Dagondersteuning</w:t>
      </w:r>
      <w:proofErr w:type="spellEnd"/>
      <w:r w:rsidRPr="00E6515F">
        <w:rPr>
          <w:lang w:val="nl-BE"/>
        </w:rPr>
        <w:t>: dagcentrum, begeleid werk, semi-internaat</w:t>
      </w:r>
    </w:p>
    <w:p w:rsidR="00FA63BB" w:rsidRPr="00E6515F" w:rsidRDefault="00FA63BB" w:rsidP="00FA63BB">
      <w:pPr>
        <w:pStyle w:val="Lijstalinea"/>
        <w:numPr>
          <w:ilvl w:val="0"/>
          <w:numId w:val="13"/>
        </w:numPr>
        <w:jc w:val="both"/>
        <w:rPr>
          <w:lang w:val="nl-BE"/>
        </w:rPr>
      </w:pPr>
      <w:r w:rsidRPr="00E6515F">
        <w:rPr>
          <w:lang w:val="nl-BE"/>
        </w:rPr>
        <w:t xml:space="preserve">Woonondersteuning: beschermd wonen, geïntegreerd wonen, inclusieve ondersteuning, tehuis niet-werkenden bezigheid, tehuis niet-werkenden </w:t>
      </w:r>
      <w:proofErr w:type="spellStart"/>
      <w:r w:rsidRPr="00E6515F">
        <w:rPr>
          <w:lang w:val="nl-BE"/>
        </w:rPr>
        <w:t>nursing</w:t>
      </w:r>
      <w:proofErr w:type="spellEnd"/>
      <w:r w:rsidRPr="00E6515F">
        <w:rPr>
          <w:lang w:val="nl-BE"/>
        </w:rPr>
        <w:t xml:space="preserve">, tehuis werkenden, zelfstandig wonen, internaat, </w:t>
      </w:r>
      <w:r w:rsidR="009B165A">
        <w:rPr>
          <w:lang w:val="nl-BE"/>
        </w:rPr>
        <w:t>observatie- en behandelingscentrum (</w:t>
      </w:r>
      <w:r w:rsidR="00B65CB7" w:rsidRPr="00E6515F">
        <w:rPr>
          <w:lang w:val="nl-BE"/>
        </w:rPr>
        <w:t>OBC</w:t>
      </w:r>
      <w:r w:rsidR="009B165A">
        <w:rPr>
          <w:lang w:val="nl-BE"/>
        </w:rPr>
        <w:t>)</w:t>
      </w:r>
      <w:r w:rsidR="00B65CB7" w:rsidRPr="00E6515F">
        <w:rPr>
          <w:lang w:val="nl-BE"/>
        </w:rPr>
        <w:t xml:space="preserve">. </w:t>
      </w:r>
    </w:p>
    <w:p w:rsidR="0073537A" w:rsidRDefault="0073537A">
      <w:pPr>
        <w:jc w:val="both"/>
        <w:rPr>
          <w:lang w:val="nl-BE"/>
        </w:rPr>
      </w:pPr>
    </w:p>
    <w:p w:rsidR="00CD1B8C" w:rsidRPr="00E6515F" w:rsidRDefault="00F87C86">
      <w:pPr>
        <w:jc w:val="both"/>
        <w:rPr>
          <w:lang w:val="nl-BE"/>
        </w:rPr>
      </w:pPr>
      <w:r w:rsidRPr="00E6515F">
        <w:rPr>
          <w:lang w:val="nl-BE"/>
        </w:rPr>
        <w:t xml:space="preserve">De ondersteuningsfuncties staan in volgorde van </w:t>
      </w:r>
      <w:r w:rsidR="002367F8">
        <w:rPr>
          <w:lang w:val="nl-BE"/>
        </w:rPr>
        <w:t>‘</w:t>
      </w:r>
      <w:r w:rsidRPr="00E6515F">
        <w:rPr>
          <w:lang w:val="nl-BE"/>
        </w:rPr>
        <w:t>zwaarte</w:t>
      </w:r>
      <w:r w:rsidR="002367F8">
        <w:rPr>
          <w:lang w:val="nl-BE"/>
        </w:rPr>
        <w:t>’</w:t>
      </w:r>
      <w:r w:rsidRPr="00E6515F">
        <w:rPr>
          <w:lang w:val="nl-BE"/>
        </w:rPr>
        <w:t xml:space="preserve">. Zwaardere ondersteuningsvormen kunnen ook gecombineerd worden met lichtere vormen. </w:t>
      </w:r>
      <w:r w:rsidR="0073537A" w:rsidRPr="00E6515F">
        <w:rPr>
          <w:lang w:val="nl-BE"/>
        </w:rPr>
        <w:t>D</w:t>
      </w:r>
      <w:r w:rsidR="0073537A">
        <w:rPr>
          <w:lang w:val="nl-BE"/>
        </w:rPr>
        <w:t>a</w:t>
      </w:r>
      <w:r w:rsidR="0073537A" w:rsidRPr="00E6515F">
        <w:rPr>
          <w:lang w:val="nl-BE"/>
        </w:rPr>
        <w:t xml:space="preserve">t </w:t>
      </w:r>
      <w:r w:rsidRPr="00E6515F">
        <w:rPr>
          <w:lang w:val="nl-BE"/>
        </w:rPr>
        <w:t>wil zeggen dat w</w:t>
      </w:r>
      <w:r w:rsidR="002859D7" w:rsidRPr="00E6515F">
        <w:rPr>
          <w:lang w:val="nl-BE"/>
        </w:rPr>
        <w:t>anneer iemand bij ‘</w:t>
      </w:r>
      <w:proofErr w:type="spellStart"/>
      <w:r w:rsidR="002859D7" w:rsidRPr="00E6515F">
        <w:rPr>
          <w:lang w:val="nl-BE"/>
        </w:rPr>
        <w:t>dagondersteuning</w:t>
      </w:r>
      <w:proofErr w:type="spellEnd"/>
      <w:r w:rsidR="002859D7" w:rsidRPr="00E6515F">
        <w:rPr>
          <w:lang w:val="nl-BE"/>
        </w:rPr>
        <w:t xml:space="preserve">’ gerekend wordt, dit </w:t>
      </w:r>
      <w:r w:rsidRPr="00E6515F">
        <w:rPr>
          <w:lang w:val="nl-BE"/>
        </w:rPr>
        <w:t xml:space="preserve">kan </w:t>
      </w:r>
      <w:r w:rsidR="002859D7" w:rsidRPr="00E6515F">
        <w:rPr>
          <w:lang w:val="nl-BE"/>
        </w:rPr>
        <w:t xml:space="preserve">gaan om iemand die uitsluitend </w:t>
      </w:r>
      <w:proofErr w:type="spellStart"/>
      <w:r w:rsidR="002859D7" w:rsidRPr="00E6515F">
        <w:rPr>
          <w:lang w:val="nl-BE"/>
        </w:rPr>
        <w:t>dagondersteuning</w:t>
      </w:r>
      <w:proofErr w:type="spellEnd"/>
      <w:r w:rsidR="002859D7" w:rsidRPr="00E6515F">
        <w:rPr>
          <w:lang w:val="nl-BE"/>
        </w:rPr>
        <w:t xml:space="preserve"> krijgt, maar het kan ook gaan om iemand die </w:t>
      </w:r>
      <w:proofErr w:type="spellStart"/>
      <w:r w:rsidR="002859D7" w:rsidRPr="00E6515F">
        <w:rPr>
          <w:lang w:val="nl-BE"/>
        </w:rPr>
        <w:t>dagondersteuning</w:t>
      </w:r>
      <w:proofErr w:type="spellEnd"/>
      <w:r w:rsidR="002859D7" w:rsidRPr="00E6515F">
        <w:rPr>
          <w:lang w:val="nl-BE"/>
        </w:rPr>
        <w:t xml:space="preserve"> en individuele ondersteuning combineert. Woonondersteuning kan ook telkens in combinatie zijn met </w:t>
      </w:r>
      <w:proofErr w:type="spellStart"/>
      <w:r w:rsidR="002859D7" w:rsidRPr="00E6515F">
        <w:rPr>
          <w:lang w:val="nl-BE"/>
        </w:rPr>
        <w:t>dagondersteuning</w:t>
      </w:r>
      <w:proofErr w:type="spellEnd"/>
      <w:r w:rsidR="002859D7" w:rsidRPr="00E6515F">
        <w:rPr>
          <w:lang w:val="nl-BE"/>
        </w:rPr>
        <w:t xml:space="preserve"> en/of individuele ondersteuning.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In de tabellen die hieronder volgen, </w:t>
      </w:r>
      <w:r w:rsidR="0073537A" w:rsidRPr="00E6515F">
        <w:rPr>
          <w:lang w:val="nl-BE"/>
        </w:rPr>
        <w:t>word</w:t>
      </w:r>
      <w:r w:rsidR="0073537A">
        <w:rPr>
          <w:lang w:val="nl-BE"/>
        </w:rPr>
        <w:t>t</w:t>
      </w:r>
      <w:r w:rsidR="0073537A" w:rsidRPr="00E6515F">
        <w:rPr>
          <w:lang w:val="nl-BE"/>
        </w:rPr>
        <w:t xml:space="preserve"> </w:t>
      </w:r>
      <w:r w:rsidRPr="00E6515F">
        <w:rPr>
          <w:lang w:val="nl-BE"/>
        </w:rPr>
        <w:t xml:space="preserve">telkens </w:t>
      </w:r>
      <w:r w:rsidR="007B5D93" w:rsidRPr="00E6515F">
        <w:rPr>
          <w:lang w:val="nl-BE"/>
        </w:rPr>
        <w:t xml:space="preserve">het aantal </w:t>
      </w:r>
      <w:r w:rsidRPr="00E6515F">
        <w:rPr>
          <w:lang w:val="nl-BE"/>
        </w:rPr>
        <w:t>unieke personen weergegeven. Gezien we met parameterperiodes werken va</w:t>
      </w:r>
      <w:r w:rsidR="004F792E" w:rsidRPr="00E6515F">
        <w:rPr>
          <w:lang w:val="nl-BE"/>
        </w:rPr>
        <w:t>n een jaar (een half jaar voor 20</w:t>
      </w:r>
      <w:r w:rsidRPr="00E6515F">
        <w:rPr>
          <w:lang w:val="nl-BE"/>
        </w:rPr>
        <w:t xml:space="preserve">18), is het mogelijk dat een persoon </w:t>
      </w:r>
      <w:r w:rsidR="0073537A">
        <w:rPr>
          <w:lang w:val="nl-BE"/>
        </w:rPr>
        <w:t>in</w:t>
      </w:r>
      <w:r w:rsidR="0073537A" w:rsidRPr="00E6515F">
        <w:rPr>
          <w:lang w:val="nl-BE"/>
        </w:rPr>
        <w:t xml:space="preserve"> </w:t>
      </w:r>
      <w:r w:rsidRPr="00E6515F">
        <w:rPr>
          <w:lang w:val="nl-BE"/>
        </w:rPr>
        <w:t xml:space="preserve">meerdere categorieën valt. </w:t>
      </w:r>
      <w:r w:rsidR="007B5D93" w:rsidRPr="00E6515F">
        <w:rPr>
          <w:lang w:val="nl-BE"/>
        </w:rPr>
        <w:t xml:space="preserve">In de tabellen worden </w:t>
      </w:r>
      <w:r w:rsidR="0073537A">
        <w:rPr>
          <w:lang w:val="nl-BE"/>
        </w:rPr>
        <w:t>die</w:t>
      </w:r>
      <w:r w:rsidR="0073537A" w:rsidRPr="00E6515F">
        <w:rPr>
          <w:lang w:val="nl-BE"/>
        </w:rPr>
        <w:t xml:space="preserve"> </w:t>
      </w:r>
      <w:r w:rsidR="007B5D93" w:rsidRPr="00E6515F">
        <w:rPr>
          <w:lang w:val="nl-BE"/>
        </w:rPr>
        <w:t xml:space="preserve">personen slechts </w:t>
      </w:r>
      <w:r w:rsidR="0073537A">
        <w:rPr>
          <w:lang w:val="nl-BE"/>
        </w:rPr>
        <w:t>een</w:t>
      </w:r>
      <w:r w:rsidR="007B5D93" w:rsidRPr="00E6515F">
        <w:rPr>
          <w:lang w:val="nl-BE"/>
        </w:rPr>
        <w:t xml:space="preserve">maal meegerekend. </w:t>
      </w:r>
      <w:r w:rsidRPr="00E6515F">
        <w:rPr>
          <w:lang w:val="nl-BE"/>
        </w:rPr>
        <w:t xml:space="preserve">Bijvoorbeeld: het is mogelijk dat je in hetzelfde jaar gebruik maakt van zowel </w:t>
      </w:r>
      <w:r w:rsidR="00DD02E4">
        <w:rPr>
          <w:lang w:val="nl-BE"/>
        </w:rPr>
        <w:t>rechtstreeks toegankelijke hulp</w:t>
      </w:r>
      <w:r w:rsidRPr="00E6515F">
        <w:rPr>
          <w:lang w:val="nl-BE"/>
        </w:rPr>
        <w:t xml:space="preserve"> als n</w:t>
      </w:r>
      <w:r w:rsidR="0073537A">
        <w:rPr>
          <w:lang w:val="nl-BE"/>
        </w:rPr>
        <w:t>iet-</w:t>
      </w:r>
      <w:r w:rsidR="00DD02E4">
        <w:rPr>
          <w:lang w:val="nl-BE"/>
        </w:rPr>
        <w:t>rechtstreeks toegankelijke hulp</w:t>
      </w:r>
      <w:r w:rsidRPr="00E6515F">
        <w:rPr>
          <w:lang w:val="nl-BE"/>
        </w:rPr>
        <w:t>. Of dat je in hetzelfde jaar zowel gebruik maakt van minderjarigenondersteuning (</w:t>
      </w:r>
      <w:r w:rsidR="0073537A" w:rsidRPr="00E6515F">
        <w:rPr>
          <w:lang w:val="nl-BE"/>
        </w:rPr>
        <w:t>b</w:t>
      </w:r>
      <w:r w:rsidR="0073537A">
        <w:rPr>
          <w:lang w:val="nl-BE"/>
        </w:rPr>
        <w:t>ijvoorbeeld een</w:t>
      </w:r>
      <w:r w:rsidR="002367F8">
        <w:rPr>
          <w:lang w:val="nl-BE"/>
        </w:rPr>
        <w:t xml:space="preserve"> </w:t>
      </w:r>
      <w:r w:rsidR="00DD02E4">
        <w:rPr>
          <w:lang w:val="nl-BE"/>
        </w:rPr>
        <w:t>persoonlijke-assistentiebudget</w:t>
      </w:r>
      <w:r w:rsidRPr="00E6515F">
        <w:rPr>
          <w:lang w:val="nl-BE"/>
        </w:rPr>
        <w:t>) als</w:t>
      </w:r>
      <w:r w:rsidR="0073537A">
        <w:rPr>
          <w:lang w:val="nl-BE"/>
        </w:rPr>
        <w:t xml:space="preserve"> van</w:t>
      </w:r>
      <w:r w:rsidRPr="00E6515F">
        <w:rPr>
          <w:lang w:val="nl-BE"/>
        </w:rPr>
        <w:t xml:space="preserve"> meerderjarigenondersteuning (</w:t>
      </w:r>
      <w:r w:rsidR="0073537A">
        <w:rPr>
          <w:lang w:val="nl-BE"/>
        </w:rPr>
        <w:t>bijvoorbeeld een</w:t>
      </w:r>
      <w:r w:rsidR="0073537A" w:rsidRPr="00E6515F">
        <w:rPr>
          <w:lang w:val="nl-BE"/>
        </w:rPr>
        <w:t xml:space="preserve"> </w:t>
      </w:r>
      <w:r w:rsidR="00DD02E4">
        <w:rPr>
          <w:lang w:val="nl-BE"/>
        </w:rPr>
        <w:t>persoonsvolgend budget</w:t>
      </w:r>
      <w:r w:rsidRPr="00E6515F">
        <w:rPr>
          <w:lang w:val="nl-BE"/>
        </w:rPr>
        <w:t>), als je in de leeftijdscategorie</w:t>
      </w:r>
      <w:r w:rsidR="0073537A">
        <w:rPr>
          <w:lang w:val="nl-BE"/>
        </w:rPr>
        <w:t xml:space="preserve"> van</w:t>
      </w:r>
      <w:r w:rsidRPr="00E6515F">
        <w:rPr>
          <w:lang w:val="nl-BE"/>
        </w:rPr>
        <w:t xml:space="preserve"> 17 </w:t>
      </w:r>
      <w:r w:rsidR="0073537A">
        <w:rPr>
          <w:lang w:val="nl-BE"/>
        </w:rPr>
        <w:t>tot en met</w:t>
      </w:r>
      <w:r w:rsidR="0073537A" w:rsidRPr="00E6515F">
        <w:rPr>
          <w:lang w:val="nl-BE"/>
        </w:rPr>
        <w:t xml:space="preserve"> </w:t>
      </w:r>
      <w:r w:rsidRPr="00E6515F">
        <w:rPr>
          <w:lang w:val="nl-BE"/>
        </w:rPr>
        <w:t xml:space="preserve">21 jaar zit. </w:t>
      </w:r>
      <w:r w:rsidR="0073537A">
        <w:rPr>
          <w:lang w:val="nl-BE"/>
        </w:rPr>
        <w:t>In zulke gevallen</w:t>
      </w:r>
      <w:r w:rsidR="0073537A" w:rsidRPr="00E6515F">
        <w:rPr>
          <w:lang w:val="nl-BE"/>
        </w:rPr>
        <w:t xml:space="preserve"> </w:t>
      </w:r>
      <w:r w:rsidRPr="00E6515F">
        <w:rPr>
          <w:lang w:val="nl-BE"/>
        </w:rPr>
        <w:t xml:space="preserve">werd telkens volgende redenering toegepast: als </w:t>
      </w:r>
      <w:r w:rsidR="00DD02E4">
        <w:rPr>
          <w:lang w:val="nl-BE"/>
        </w:rPr>
        <w:t>rechtstreeks toegankelijke hulp</w:t>
      </w:r>
      <w:r w:rsidRPr="00E6515F">
        <w:rPr>
          <w:lang w:val="nl-BE"/>
        </w:rPr>
        <w:t xml:space="preserve"> en </w:t>
      </w:r>
      <w:r w:rsidR="0073537A">
        <w:rPr>
          <w:lang w:val="nl-BE"/>
        </w:rPr>
        <w:t>niet-</w:t>
      </w:r>
      <w:r w:rsidR="00DD02E4">
        <w:rPr>
          <w:lang w:val="nl-BE"/>
        </w:rPr>
        <w:t>rechtstreeks toegankelijke hulp</w:t>
      </w:r>
      <w:r w:rsidRPr="00E6515F">
        <w:rPr>
          <w:lang w:val="nl-BE"/>
        </w:rPr>
        <w:t xml:space="preserve"> gecombineerd worden, wordt de persoon beschouwd als </w:t>
      </w:r>
      <w:proofErr w:type="spellStart"/>
      <w:r w:rsidRPr="00E6515F">
        <w:rPr>
          <w:lang w:val="nl-BE"/>
        </w:rPr>
        <w:t>nRTH</w:t>
      </w:r>
      <w:proofErr w:type="spellEnd"/>
      <w:r w:rsidRPr="00E6515F">
        <w:rPr>
          <w:lang w:val="nl-BE"/>
        </w:rPr>
        <w:t>-gebruiker. Als minderjarigen</w:t>
      </w:r>
      <w:r w:rsidR="0073537A">
        <w:rPr>
          <w:lang w:val="nl-BE"/>
        </w:rPr>
        <w:t>-</w:t>
      </w:r>
      <w:r w:rsidRPr="00E6515F">
        <w:rPr>
          <w:lang w:val="nl-BE"/>
        </w:rPr>
        <w:t xml:space="preserve"> en meerderjarigenondersteuning op elkaar </w:t>
      </w:r>
      <w:r w:rsidR="0073537A">
        <w:rPr>
          <w:lang w:val="nl-BE"/>
        </w:rPr>
        <w:t>volgen</w:t>
      </w:r>
      <w:r w:rsidRPr="00E6515F">
        <w:rPr>
          <w:lang w:val="nl-BE"/>
        </w:rPr>
        <w:t xml:space="preserve">, wordt de persoon meegeteld met zijn meerderjarigenondersteuning. </w:t>
      </w:r>
    </w:p>
    <w:p w:rsidR="00CD1B8C" w:rsidRPr="00E6515F" w:rsidRDefault="00CD1B8C">
      <w:pPr>
        <w:jc w:val="both"/>
        <w:rPr>
          <w:lang w:val="nl-BE"/>
        </w:rPr>
      </w:pPr>
    </w:p>
    <w:p w:rsidR="002F0E5A" w:rsidRDefault="002859D7">
      <w:pPr>
        <w:jc w:val="both"/>
        <w:rPr>
          <w:lang w:val="nl-BE"/>
        </w:rPr>
      </w:pPr>
      <w:r w:rsidRPr="00E6515F">
        <w:rPr>
          <w:lang w:val="nl-BE"/>
        </w:rPr>
        <w:t xml:space="preserve">Tot slot worden vaak leeftijdscategorieën gegeven. De leeftijdscategorieën zijn bepaald op basis van de leeftijd van personen op 1 januari in datzelfde jaar. Hierdoor is het mogelijk dat iemand die in de loop van het jaar 18 jaar wordt, voorkomt in de tabel bij meerderjarigenondersteuning in de leeftijdscategorie </w:t>
      </w:r>
      <w:r w:rsidR="0073537A">
        <w:rPr>
          <w:lang w:val="nl-BE"/>
        </w:rPr>
        <w:t xml:space="preserve">van </w:t>
      </w:r>
      <w:r w:rsidRPr="00E6515F">
        <w:rPr>
          <w:lang w:val="nl-BE"/>
        </w:rPr>
        <w:t>13 t</w:t>
      </w:r>
      <w:r w:rsidR="0073537A">
        <w:rPr>
          <w:lang w:val="nl-BE"/>
        </w:rPr>
        <w:t>ot en met</w:t>
      </w:r>
      <w:r w:rsidRPr="00E6515F">
        <w:rPr>
          <w:lang w:val="nl-BE"/>
        </w:rPr>
        <w:t xml:space="preserve"> 17 j</w:t>
      </w:r>
      <w:r w:rsidR="00D7734F" w:rsidRPr="00E6515F">
        <w:rPr>
          <w:lang w:val="nl-BE"/>
        </w:rPr>
        <w:t>aar</w:t>
      </w:r>
      <w:r w:rsidRPr="00E6515F">
        <w:rPr>
          <w:lang w:val="nl-BE"/>
        </w:rPr>
        <w:t xml:space="preserve">. </w:t>
      </w:r>
      <w:r w:rsidR="0073537A" w:rsidRPr="00E6515F">
        <w:rPr>
          <w:lang w:val="nl-BE"/>
        </w:rPr>
        <w:t>D</w:t>
      </w:r>
      <w:r w:rsidR="0073537A">
        <w:rPr>
          <w:lang w:val="nl-BE"/>
        </w:rPr>
        <w:t>ie</w:t>
      </w:r>
      <w:r w:rsidR="0073537A" w:rsidRPr="00E6515F">
        <w:rPr>
          <w:lang w:val="nl-BE"/>
        </w:rPr>
        <w:t xml:space="preserve"> </w:t>
      </w:r>
      <w:r w:rsidRPr="00E6515F">
        <w:rPr>
          <w:lang w:val="nl-BE"/>
        </w:rPr>
        <w:t>jongere gebruikt misschien pas vanaf zijn 18 jaar meerderjarigenondersteuning</w:t>
      </w:r>
      <w:r w:rsidR="0073537A">
        <w:rPr>
          <w:lang w:val="nl-BE"/>
        </w:rPr>
        <w:t>,</w:t>
      </w:r>
      <w:r w:rsidRPr="00E6515F">
        <w:rPr>
          <w:lang w:val="nl-BE"/>
        </w:rPr>
        <w:t xml:space="preserve"> maar was op 1 januari van dat jaar wel nog 17</w:t>
      </w:r>
      <w:r w:rsidR="00770291" w:rsidRPr="00E6515F">
        <w:rPr>
          <w:lang w:val="nl-BE"/>
        </w:rPr>
        <w:t xml:space="preserve"> jaar</w:t>
      </w:r>
      <w:r w:rsidRPr="00E6515F">
        <w:rPr>
          <w:lang w:val="nl-BE"/>
        </w:rPr>
        <w:t xml:space="preserve">. </w:t>
      </w:r>
    </w:p>
    <w:p w:rsidR="002F0E5A" w:rsidRDefault="002F0E5A">
      <w:pPr>
        <w:rPr>
          <w:lang w:val="nl-BE"/>
        </w:rPr>
      </w:pPr>
      <w:r>
        <w:rPr>
          <w:lang w:val="nl-BE"/>
        </w:rPr>
        <w:br w:type="page"/>
      </w:r>
    </w:p>
    <w:p w:rsidR="00CD1B8C" w:rsidRPr="00E6515F" w:rsidRDefault="002859D7" w:rsidP="00691346">
      <w:pPr>
        <w:pStyle w:val="Kop1"/>
        <w:widowControl w:val="0"/>
        <w:numPr>
          <w:ilvl w:val="1"/>
          <w:numId w:val="1"/>
        </w:numPr>
        <w:pBdr>
          <w:top w:val="nil"/>
          <w:left w:val="nil"/>
          <w:bottom w:val="nil"/>
          <w:right w:val="nil"/>
          <w:between w:val="nil"/>
        </w:pBdr>
        <w:rPr>
          <w:sz w:val="34"/>
          <w:szCs w:val="34"/>
          <w:lang w:val="nl-BE"/>
        </w:rPr>
      </w:pPr>
      <w:bookmarkStart w:id="14" w:name="_yuse7ya1s5lz" w:colFirst="0" w:colLast="0"/>
      <w:bookmarkStart w:id="15" w:name="_Toc536797796"/>
      <w:bookmarkStart w:id="16" w:name="_Toc528227881"/>
      <w:bookmarkEnd w:id="14"/>
      <w:r w:rsidRPr="00E6515F">
        <w:rPr>
          <w:sz w:val="34"/>
          <w:szCs w:val="34"/>
          <w:lang w:val="nl-BE"/>
        </w:rPr>
        <w:lastRenderedPageBreak/>
        <w:t>Gegevens met betrekking tot rechtstreeks toegankelijke</w:t>
      </w:r>
      <w:r w:rsidR="00FF60A4">
        <w:rPr>
          <w:sz w:val="34"/>
          <w:szCs w:val="34"/>
          <w:lang w:val="nl-BE"/>
        </w:rPr>
        <w:t xml:space="preserve"> hulp</w:t>
      </w:r>
      <w:bookmarkEnd w:id="15"/>
      <w:r w:rsidRPr="00E6515F">
        <w:rPr>
          <w:sz w:val="34"/>
          <w:szCs w:val="34"/>
          <w:lang w:val="nl-BE"/>
        </w:rPr>
        <w:t xml:space="preserve"> </w:t>
      </w:r>
      <w:bookmarkEnd w:id="16"/>
    </w:p>
    <w:p w:rsidR="00CD1B8C" w:rsidRPr="00E6515F" w:rsidRDefault="00CD1B8C">
      <w:pPr>
        <w:rPr>
          <w:lang w:val="nl-BE"/>
        </w:rPr>
      </w:pPr>
    </w:p>
    <w:p w:rsidR="00CD1B8C" w:rsidRPr="00E6515F" w:rsidRDefault="002859D7" w:rsidP="00691346">
      <w:pPr>
        <w:pStyle w:val="Kop1"/>
        <w:widowControl w:val="0"/>
        <w:numPr>
          <w:ilvl w:val="2"/>
          <w:numId w:val="1"/>
        </w:numPr>
        <w:pBdr>
          <w:top w:val="nil"/>
          <w:left w:val="nil"/>
          <w:bottom w:val="nil"/>
          <w:right w:val="nil"/>
          <w:between w:val="nil"/>
        </w:pBdr>
        <w:rPr>
          <w:sz w:val="30"/>
          <w:szCs w:val="30"/>
          <w:lang w:val="nl-BE"/>
        </w:rPr>
      </w:pPr>
      <w:bookmarkStart w:id="17" w:name="_Toc528227882"/>
      <w:bookmarkStart w:id="18" w:name="_Toc536797797"/>
      <w:r w:rsidRPr="00E6515F">
        <w:rPr>
          <w:sz w:val="30"/>
          <w:szCs w:val="30"/>
          <w:lang w:val="nl-BE"/>
        </w:rPr>
        <w:t>Evolutie van het aantal gebruikers per ondersteuningsfunctie</w:t>
      </w:r>
      <w:bookmarkEnd w:id="17"/>
      <w:bookmarkEnd w:id="18"/>
    </w:p>
    <w:p w:rsidR="00CD1B8C" w:rsidRPr="00E6515F" w:rsidRDefault="00CD1B8C">
      <w:pPr>
        <w:rPr>
          <w:lang w:val="nl-BE"/>
        </w:rPr>
      </w:pPr>
    </w:p>
    <w:p w:rsidR="00A179E6" w:rsidRPr="00E6515F" w:rsidRDefault="00A179E6" w:rsidP="00A179E6">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w:t>
      </w:r>
      <w:r w:rsidRPr="00E6515F">
        <w:rPr>
          <w:lang w:val="nl-BE"/>
        </w:rPr>
        <w:fldChar w:fldCharType="end"/>
      </w:r>
      <w:r w:rsidRPr="00E6515F">
        <w:rPr>
          <w:lang w:val="nl-BE"/>
        </w:rPr>
        <w:t xml:space="preserve">: Evolutie van aantal gebruikers </w:t>
      </w:r>
      <w:r w:rsidR="00B65CB7" w:rsidRPr="00E6515F">
        <w:rPr>
          <w:lang w:val="nl-BE"/>
        </w:rPr>
        <w:t xml:space="preserve">RTH </w:t>
      </w:r>
      <w:r w:rsidRPr="00E6515F">
        <w:rPr>
          <w:lang w:val="nl-BE"/>
        </w:rPr>
        <w:t>per ondersteuningsfunctie</w:t>
      </w:r>
    </w:p>
    <w:tbl>
      <w:tblPr>
        <w:tblStyle w:val="a7"/>
        <w:tblW w:w="6521"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648"/>
        <w:gridCol w:w="1291"/>
        <w:gridCol w:w="1291"/>
        <w:gridCol w:w="1291"/>
      </w:tblGrid>
      <w:tr w:rsidR="00CD1B8C" w:rsidRPr="00E6515F" w:rsidTr="00A179E6">
        <w:tc>
          <w:tcPr>
            <w:tcW w:w="2648"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A50E64" w:rsidP="00A50E64">
            <w:pPr>
              <w:rPr>
                <w:b/>
                <w:sz w:val="20"/>
                <w:szCs w:val="20"/>
                <w:lang w:val="nl-BE"/>
              </w:rPr>
            </w:pPr>
            <w:r w:rsidRPr="00E6515F">
              <w:rPr>
                <w:b/>
                <w:sz w:val="20"/>
                <w:szCs w:val="20"/>
                <w:lang w:val="nl-BE"/>
              </w:rPr>
              <w:t>Ondersteuningsfuncties</w:t>
            </w:r>
          </w:p>
        </w:tc>
        <w:tc>
          <w:tcPr>
            <w:tcW w:w="1291"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jc w:val="center"/>
              <w:rPr>
                <w:b/>
                <w:sz w:val="20"/>
                <w:szCs w:val="20"/>
                <w:lang w:val="nl-BE"/>
              </w:rPr>
            </w:pPr>
            <w:r w:rsidRPr="00E6515F">
              <w:rPr>
                <w:b/>
                <w:sz w:val="20"/>
                <w:szCs w:val="20"/>
                <w:lang w:val="nl-BE"/>
              </w:rPr>
              <w:t>2008</w:t>
            </w:r>
          </w:p>
        </w:tc>
        <w:tc>
          <w:tcPr>
            <w:tcW w:w="1291"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2013</w:t>
            </w:r>
          </w:p>
        </w:tc>
        <w:tc>
          <w:tcPr>
            <w:tcW w:w="1291"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2017</w:t>
            </w:r>
          </w:p>
        </w:tc>
      </w:tr>
      <w:tr w:rsidR="00CD1B8C" w:rsidRPr="00E6515F" w:rsidTr="00A179E6">
        <w:tc>
          <w:tcPr>
            <w:tcW w:w="264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Individuele ondersteuning</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5.674</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9.877</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20.244</w:t>
            </w:r>
          </w:p>
        </w:tc>
      </w:tr>
      <w:tr w:rsidR="00CD1B8C" w:rsidRPr="00E6515F" w:rsidTr="00A179E6">
        <w:tc>
          <w:tcPr>
            <w:tcW w:w="264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proofErr w:type="spellStart"/>
            <w:r w:rsidRPr="00E6515F">
              <w:rPr>
                <w:b/>
                <w:sz w:val="20"/>
                <w:szCs w:val="20"/>
                <w:lang w:val="nl-BE"/>
              </w:rPr>
              <w:t>Dagondersteuning</w:t>
            </w:r>
            <w:proofErr w:type="spellEnd"/>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 xml:space="preserve">- </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289</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2.534</w:t>
            </w:r>
          </w:p>
        </w:tc>
      </w:tr>
      <w:tr w:rsidR="00CD1B8C" w:rsidRPr="00E6515F" w:rsidTr="00A179E6">
        <w:tc>
          <w:tcPr>
            <w:tcW w:w="264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Woonondersteuning</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 xml:space="preserve">- </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39</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657</w:t>
            </w:r>
          </w:p>
        </w:tc>
      </w:tr>
      <w:tr w:rsidR="00CD1B8C" w:rsidRPr="00E6515F" w:rsidTr="00A179E6">
        <w:tc>
          <w:tcPr>
            <w:tcW w:w="264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5.674</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10.205</w:t>
            </w:r>
          </w:p>
        </w:tc>
        <w:tc>
          <w:tcPr>
            <w:tcW w:w="129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23.435</w:t>
            </w:r>
          </w:p>
        </w:tc>
      </w:tr>
    </w:tbl>
    <w:p w:rsidR="00CD1B8C" w:rsidRPr="00E6515F" w:rsidRDefault="00CD1B8C">
      <w:pPr>
        <w:rPr>
          <w:i/>
          <w:lang w:val="nl-BE"/>
        </w:rPr>
      </w:pPr>
    </w:p>
    <w:p w:rsidR="00CD1B8C" w:rsidRPr="00E6515F" w:rsidRDefault="002859D7">
      <w:pPr>
        <w:jc w:val="both"/>
        <w:rPr>
          <w:lang w:val="nl-BE"/>
        </w:rPr>
      </w:pPr>
      <w:r w:rsidRPr="00E6515F">
        <w:rPr>
          <w:lang w:val="nl-BE"/>
        </w:rPr>
        <w:t xml:space="preserve">We zien een sterk stijgende evolutie van het aantal gebruikers </w:t>
      </w:r>
      <w:r w:rsidR="00380DEB">
        <w:rPr>
          <w:lang w:val="nl-BE"/>
        </w:rPr>
        <w:t xml:space="preserve"> van </w:t>
      </w:r>
      <w:r w:rsidR="00DD02E4">
        <w:rPr>
          <w:lang w:val="nl-BE"/>
        </w:rPr>
        <w:t>rechtstreeks toegankelijke hulp</w:t>
      </w:r>
      <w:r w:rsidR="00380DEB">
        <w:rPr>
          <w:lang w:val="nl-BE"/>
        </w:rPr>
        <w:t xml:space="preserve"> (RTH)</w:t>
      </w:r>
      <w:r w:rsidRPr="00E6515F">
        <w:rPr>
          <w:lang w:val="nl-BE"/>
        </w:rPr>
        <w:t xml:space="preserve">. In 2008 bestond </w:t>
      </w:r>
      <w:r w:rsidR="00DD02E4">
        <w:rPr>
          <w:lang w:val="nl-BE"/>
        </w:rPr>
        <w:t>rechtstreeks toegankelijke hulp</w:t>
      </w:r>
      <w:r w:rsidRPr="00E6515F">
        <w:rPr>
          <w:lang w:val="nl-BE"/>
        </w:rPr>
        <w:t xml:space="preserve"> op zich nog niet. Wel kon men </w:t>
      </w:r>
      <w:r w:rsidR="00380DEB">
        <w:rPr>
          <w:lang w:val="nl-BE"/>
        </w:rPr>
        <w:t>al</w:t>
      </w:r>
      <w:r w:rsidR="00380DEB" w:rsidRPr="00E6515F">
        <w:rPr>
          <w:lang w:val="nl-BE"/>
        </w:rPr>
        <w:t xml:space="preserve"> </w:t>
      </w:r>
      <w:r w:rsidRPr="00E6515F">
        <w:rPr>
          <w:lang w:val="nl-BE"/>
        </w:rPr>
        <w:t xml:space="preserve">gebruik maken van thuisbegeleiding. In zowel 2008 als 2013 rekenen we alle personen die ondersteund werden via thuisbegeleiding en geen gebruik maakten van een andere vorm van </w:t>
      </w:r>
      <w:r w:rsidR="00380DEB">
        <w:rPr>
          <w:lang w:val="nl-BE"/>
        </w:rPr>
        <w:t>niet-</w:t>
      </w:r>
      <w:r w:rsidR="00DD02E4">
        <w:rPr>
          <w:lang w:val="nl-BE"/>
        </w:rPr>
        <w:t>rechtstreeks toegankelijke hulp</w:t>
      </w:r>
      <w:r w:rsidR="00B356FD">
        <w:rPr>
          <w:lang w:val="nl-BE"/>
        </w:rPr>
        <w:t xml:space="preserve"> (</w:t>
      </w:r>
      <w:proofErr w:type="spellStart"/>
      <w:r w:rsidR="00B356FD">
        <w:rPr>
          <w:lang w:val="nl-BE"/>
        </w:rPr>
        <w:t>nRTH</w:t>
      </w:r>
      <w:proofErr w:type="spellEnd"/>
      <w:r w:rsidR="00B356FD">
        <w:rPr>
          <w:lang w:val="nl-BE"/>
        </w:rPr>
        <w:t>)</w:t>
      </w:r>
      <w:r w:rsidRPr="00E6515F">
        <w:rPr>
          <w:lang w:val="nl-BE"/>
        </w:rPr>
        <w:t xml:space="preserve"> mee bij </w:t>
      </w:r>
      <w:r w:rsidR="00DD02E4">
        <w:rPr>
          <w:lang w:val="nl-BE"/>
        </w:rPr>
        <w:t>rechtstreeks toegankelijke hulp</w:t>
      </w:r>
      <w:r w:rsidRPr="00E6515F">
        <w:rPr>
          <w:lang w:val="nl-BE"/>
        </w:rPr>
        <w:t xml:space="preserve">. In 2013 kon naast thuisbegeleiding </w:t>
      </w:r>
      <w:r w:rsidR="00770291" w:rsidRPr="00E6515F">
        <w:rPr>
          <w:lang w:val="nl-BE"/>
        </w:rPr>
        <w:t>ook</w:t>
      </w:r>
      <w:r w:rsidRPr="00E6515F">
        <w:rPr>
          <w:lang w:val="nl-BE"/>
        </w:rPr>
        <w:t xml:space="preserve"> </w:t>
      </w:r>
      <w:r w:rsidR="00380DEB">
        <w:rPr>
          <w:lang w:val="nl-BE"/>
        </w:rPr>
        <w:t>al</w:t>
      </w:r>
      <w:r w:rsidR="00380DEB" w:rsidRPr="00E6515F">
        <w:rPr>
          <w:lang w:val="nl-BE"/>
        </w:rPr>
        <w:t xml:space="preserve"> </w:t>
      </w:r>
      <w:r w:rsidRPr="00E6515F">
        <w:rPr>
          <w:lang w:val="nl-BE"/>
        </w:rPr>
        <w:t xml:space="preserve">gebruik gemaakt worden van </w:t>
      </w:r>
      <w:r w:rsidR="00DD02E4">
        <w:rPr>
          <w:lang w:val="nl-BE"/>
        </w:rPr>
        <w:t>rechtstreeks toegankelijke hulp</w:t>
      </w:r>
      <w:r w:rsidRPr="00E6515F">
        <w:rPr>
          <w:lang w:val="nl-BE"/>
        </w:rPr>
        <w:t xml:space="preserve">. In de transitie </w:t>
      </w:r>
      <w:r w:rsidR="00380DEB">
        <w:rPr>
          <w:lang w:val="nl-BE"/>
        </w:rPr>
        <w:t xml:space="preserve">naar </w:t>
      </w:r>
      <w:r w:rsidRPr="00E6515F">
        <w:rPr>
          <w:lang w:val="nl-BE"/>
        </w:rPr>
        <w:t xml:space="preserve">persoonsvolgende financiering (PVF) zijn de thuisbegeleidingsdiensten omgezet naar een deel </w:t>
      </w:r>
      <w:r w:rsidR="00DD02E4">
        <w:rPr>
          <w:lang w:val="nl-BE"/>
        </w:rPr>
        <w:t>rechtstreeks toegankelijke hulp</w:t>
      </w:r>
      <w:r w:rsidRPr="00E6515F">
        <w:rPr>
          <w:lang w:val="nl-BE"/>
        </w:rPr>
        <w:t xml:space="preserve"> </w:t>
      </w:r>
      <w:r w:rsidR="007B5D93" w:rsidRPr="00E6515F">
        <w:rPr>
          <w:lang w:val="nl-BE"/>
        </w:rPr>
        <w:t xml:space="preserve">(voor minderjarigen en meerderjarigen) </w:t>
      </w:r>
      <w:r w:rsidRPr="00E6515F">
        <w:rPr>
          <w:lang w:val="nl-BE"/>
        </w:rPr>
        <w:t xml:space="preserve">en een deel </w:t>
      </w:r>
      <w:r w:rsidR="00380DEB">
        <w:rPr>
          <w:lang w:val="nl-BE"/>
        </w:rPr>
        <w:t>niet-</w:t>
      </w:r>
      <w:r w:rsidR="00DD02E4">
        <w:rPr>
          <w:lang w:val="nl-BE"/>
        </w:rPr>
        <w:t>rechtstreeks toegankelijke hulp</w:t>
      </w:r>
      <w:r w:rsidR="007B5D93" w:rsidRPr="00E6515F">
        <w:rPr>
          <w:lang w:val="nl-BE"/>
        </w:rPr>
        <w:t xml:space="preserve"> (</w:t>
      </w:r>
      <w:r w:rsidR="00380DEB">
        <w:rPr>
          <w:lang w:val="nl-BE"/>
        </w:rPr>
        <w:t>multifunctionele centra voor</w:t>
      </w:r>
      <w:r w:rsidR="00380DEB" w:rsidRPr="00E6515F">
        <w:rPr>
          <w:lang w:val="nl-BE"/>
        </w:rPr>
        <w:t xml:space="preserve"> </w:t>
      </w:r>
      <w:r w:rsidR="007B5D93" w:rsidRPr="00E6515F">
        <w:rPr>
          <w:lang w:val="nl-BE"/>
        </w:rPr>
        <w:t>mind</w:t>
      </w:r>
      <w:r w:rsidR="009845F3" w:rsidRPr="00E6515F">
        <w:rPr>
          <w:lang w:val="nl-BE"/>
        </w:rPr>
        <w:t xml:space="preserve">erjarigen, </w:t>
      </w:r>
      <w:r w:rsidR="00380DEB">
        <w:rPr>
          <w:lang w:val="nl-BE"/>
        </w:rPr>
        <w:t>vergunde zorgaanbieders voor</w:t>
      </w:r>
      <w:r w:rsidR="00380DEB" w:rsidRPr="00E6515F">
        <w:rPr>
          <w:lang w:val="nl-BE"/>
        </w:rPr>
        <w:t xml:space="preserve"> </w:t>
      </w:r>
      <w:r w:rsidR="009845F3" w:rsidRPr="00E6515F">
        <w:rPr>
          <w:lang w:val="nl-BE"/>
        </w:rPr>
        <w:t xml:space="preserve">meerderjarigen). </w:t>
      </w:r>
      <w:r w:rsidRPr="00E6515F">
        <w:rPr>
          <w:lang w:val="nl-BE"/>
        </w:rPr>
        <w:t xml:space="preserve">93,4% van de capaciteit van de thuisbegeleidingsdiensten werd omgezet naar </w:t>
      </w:r>
      <w:r w:rsidR="00DD02E4">
        <w:rPr>
          <w:lang w:val="nl-BE"/>
        </w:rPr>
        <w:t>rechtstreeks toegankelijke hulp</w:t>
      </w:r>
      <w:r w:rsidRPr="00E6515F">
        <w:rPr>
          <w:lang w:val="nl-BE"/>
        </w:rPr>
        <w:t xml:space="preserve">. In 2017 was de 1e ronde </w:t>
      </w:r>
      <w:r w:rsidR="00380DEB">
        <w:rPr>
          <w:lang w:val="nl-BE"/>
        </w:rPr>
        <w:t xml:space="preserve">van de </w:t>
      </w:r>
      <w:r w:rsidRPr="00E6515F">
        <w:rPr>
          <w:lang w:val="nl-BE"/>
        </w:rPr>
        <w:t>transitie</w:t>
      </w:r>
      <w:r w:rsidR="00380DEB">
        <w:rPr>
          <w:lang w:val="nl-BE"/>
        </w:rPr>
        <w:t xml:space="preserve"> zorg in natura</w:t>
      </w:r>
      <w:r w:rsidRPr="00E6515F">
        <w:rPr>
          <w:lang w:val="nl-BE"/>
        </w:rPr>
        <w:t xml:space="preserve"> </w:t>
      </w:r>
      <w:r w:rsidR="00380DEB">
        <w:rPr>
          <w:lang w:val="nl-BE"/>
        </w:rPr>
        <w:t>al</w:t>
      </w:r>
      <w:r w:rsidRPr="00E6515F">
        <w:rPr>
          <w:lang w:val="nl-BE"/>
        </w:rPr>
        <w:t xml:space="preserve"> voltooid, dus wordt hier het totaal aantal personen met </w:t>
      </w:r>
      <w:r w:rsidR="00DD02E4">
        <w:rPr>
          <w:lang w:val="nl-BE"/>
        </w:rPr>
        <w:t>rechtstreeks toegankelijke hulp</w:t>
      </w:r>
      <w:r w:rsidRPr="00E6515F">
        <w:rPr>
          <w:lang w:val="nl-BE"/>
        </w:rPr>
        <w:t xml:space="preserve"> gerekend. Er hoeft geen apart aantal </w:t>
      </w:r>
      <w:r w:rsidR="00770291" w:rsidRPr="00E6515F">
        <w:rPr>
          <w:lang w:val="nl-BE"/>
        </w:rPr>
        <w:t xml:space="preserve">voor </w:t>
      </w:r>
      <w:r w:rsidRPr="00E6515F">
        <w:rPr>
          <w:lang w:val="nl-BE"/>
        </w:rPr>
        <w:t xml:space="preserve">thuisbegeleiding opgeteld te worden. </w:t>
      </w:r>
    </w:p>
    <w:p w:rsidR="00CD1B8C" w:rsidRPr="00E6515F" w:rsidRDefault="00CD1B8C">
      <w:pPr>
        <w:jc w:val="both"/>
        <w:rPr>
          <w:lang w:val="nl-BE"/>
        </w:rPr>
      </w:pPr>
    </w:p>
    <w:p w:rsidR="00CD1B8C" w:rsidRPr="00E6515F" w:rsidRDefault="002859D7">
      <w:pPr>
        <w:jc w:val="both"/>
        <w:rPr>
          <w:lang w:val="nl-BE"/>
        </w:rPr>
      </w:pPr>
      <w:r w:rsidRPr="00E6515F">
        <w:rPr>
          <w:lang w:val="nl-BE"/>
        </w:rPr>
        <w:t>Opmerking: de totalen in de tabel zijn niet gelijk aan het aantal gebruikers</w:t>
      </w:r>
      <w:r w:rsidR="00380DEB">
        <w:rPr>
          <w:lang w:val="nl-BE"/>
        </w:rPr>
        <w:t xml:space="preserve"> van</w:t>
      </w:r>
      <w:r w:rsidRPr="00E6515F">
        <w:rPr>
          <w:lang w:val="nl-BE"/>
        </w:rPr>
        <w:t xml:space="preserve"> </w:t>
      </w:r>
      <w:r w:rsidR="00DD02E4">
        <w:rPr>
          <w:lang w:val="nl-BE"/>
        </w:rPr>
        <w:t>rechtstreeks toegankelijke hulp</w:t>
      </w:r>
      <w:r w:rsidRPr="00E6515F">
        <w:rPr>
          <w:lang w:val="nl-BE"/>
        </w:rPr>
        <w:t xml:space="preserve"> in </w:t>
      </w:r>
      <w:r w:rsidR="00802B34" w:rsidRPr="00E6515F">
        <w:rPr>
          <w:lang w:val="nl-BE"/>
        </w:rPr>
        <w:fldChar w:fldCharType="begin"/>
      </w:r>
      <w:r w:rsidR="00802B34" w:rsidRPr="00E6515F">
        <w:rPr>
          <w:lang w:val="nl-BE"/>
        </w:rPr>
        <w:instrText xml:space="preserve"> REF _Ref529533786 \h </w:instrText>
      </w:r>
      <w:r w:rsidR="00802B34" w:rsidRPr="00E6515F">
        <w:rPr>
          <w:lang w:val="nl-BE"/>
        </w:rPr>
      </w:r>
      <w:r w:rsidR="00802B34" w:rsidRPr="00E6515F">
        <w:rPr>
          <w:lang w:val="nl-BE"/>
        </w:rPr>
        <w:fldChar w:fldCharType="separate"/>
      </w:r>
      <w:r w:rsidR="0062760A" w:rsidRPr="00E6515F">
        <w:rPr>
          <w:lang w:val="nl-BE"/>
        </w:rPr>
        <w:t xml:space="preserve">Tabel </w:t>
      </w:r>
      <w:r w:rsidR="0062760A">
        <w:rPr>
          <w:noProof/>
          <w:lang w:val="nl-BE"/>
        </w:rPr>
        <w:t>3</w:t>
      </w:r>
      <w:r w:rsidR="00802B34" w:rsidRPr="00E6515F">
        <w:rPr>
          <w:lang w:val="nl-BE"/>
        </w:rPr>
        <w:fldChar w:fldCharType="end"/>
      </w:r>
      <w:r w:rsidRPr="00E6515F">
        <w:rPr>
          <w:lang w:val="nl-BE"/>
        </w:rPr>
        <w:t xml:space="preserve">, </w:t>
      </w:r>
      <w:r w:rsidR="00B356FD">
        <w:rPr>
          <w:lang w:val="nl-BE"/>
        </w:rPr>
        <w:t>aan</w:t>
      </w:r>
      <w:r w:rsidRPr="00E6515F">
        <w:rPr>
          <w:lang w:val="nl-BE"/>
        </w:rPr>
        <w:t>gezien hier alle RTH</w:t>
      </w:r>
      <w:r w:rsidR="00380DEB">
        <w:rPr>
          <w:lang w:val="nl-BE"/>
        </w:rPr>
        <w:t>-</w:t>
      </w:r>
      <w:r w:rsidRPr="00E6515F">
        <w:rPr>
          <w:lang w:val="nl-BE"/>
        </w:rPr>
        <w:t xml:space="preserve">gebruikers worden </w:t>
      </w:r>
      <w:r w:rsidR="00380DEB">
        <w:rPr>
          <w:lang w:val="nl-BE"/>
        </w:rPr>
        <w:t>meegerekend</w:t>
      </w:r>
      <w:r w:rsidRPr="00E6515F">
        <w:rPr>
          <w:lang w:val="nl-BE"/>
        </w:rPr>
        <w:t>, en in</w:t>
      </w:r>
      <w:r w:rsidR="00802B34" w:rsidRPr="00E6515F">
        <w:rPr>
          <w:lang w:val="nl-BE"/>
        </w:rPr>
        <w:t xml:space="preserve"> </w:t>
      </w:r>
      <w:r w:rsidR="00802B34" w:rsidRPr="00E6515F">
        <w:rPr>
          <w:lang w:val="nl-BE"/>
        </w:rPr>
        <w:fldChar w:fldCharType="begin"/>
      </w:r>
      <w:r w:rsidR="00802B34" w:rsidRPr="00E6515F">
        <w:rPr>
          <w:lang w:val="nl-BE"/>
        </w:rPr>
        <w:instrText xml:space="preserve"> REF _Ref529533786 \h </w:instrText>
      </w:r>
      <w:r w:rsidR="00802B34" w:rsidRPr="00E6515F">
        <w:rPr>
          <w:lang w:val="nl-BE"/>
        </w:rPr>
      </w:r>
      <w:r w:rsidR="00802B34" w:rsidRPr="00E6515F">
        <w:rPr>
          <w:lang w:val="nl-BE"/>
        </w:rPr>
        <w:fldChar w:fldCharType="separate"/>
      </w:r>
      <w:r w:rsidR="0062760A" w:rsidRPr="00E6515F">
        <w:rPr>
          <w:lang w:val="nl-BE"/>
        </w:rPr>
        <w:t xml:space="preserve">Tabel </w:t>
      </w:r>
      <w:r w:rsidR="0062760A">
        <w:rPr>
          <w:noProof/>
          <w:lang w:val="nl-BE"/>
        </w:rPr>
        <w:t>3</w:t>
      </w:r>
      <w:r w:rsidR="00802B34" w:rsidRPr="00E6515F">
        <w:rPr>
          <w:lang w:val="nl-BE"/>
        </w:rPr>
        <w:fldChar w:fldCharType="end"/>
      </w:r>
      <w:r w:rsidRPr="00E6515F">
        <w:rPr>
          <w:lang w:val="nl-BE"/>
        </w:rPr>
        <w:t xml:space="preserve"> enkel de RTH-gebruikers die niet combineerden</w:t>
      </w:r>
      <w:r w:rsidR="00403554" w:rsidRPr="00E6515F">
        <w:rPr>
          <w:lang w:val="nl-BE"/>
        </w:rPr>
        <w:t xml:space="preserve"> (binnen hetzelfde jaar) </w:t>
      </w:r>
      <w:r w:rsidRPr="00E6515F">
        <w:rPr>
          <w:lang w:val="nl-BE"/>
        </w:rPr>
        <w:t xml:space="preserve">met </w:t>
      </w:r>
      <w:r w:rsidR="00380DEB">
        <w:rPr>
          <w:lang w:val="nl-BE"/>
        </w:rPr>
        <w:t>niet-</w:t>
      </w:r>
      <w:r w:rsidR="00DD02E4">
        <w:rPr>
          <w:lang w:val="nl-BE"/>
        </w:rPr>
        <w:t>rechtstreeks toegankelijke hulp</w:t>
      </w:r>
      <w:r w:rsidRPr="00E6515F">
        <w:rPr>
          <w:lang w:val="nl-BE"/>
        </w:rPr>
        <w:t xml:space="preserve">.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Wat betreft de </w:t>
      </w:r>
      <w:r w:rsidR="00380DEB">
        <w:rPr>
          <w:lang w:val="nl-BE"/>
        </w:rPr>
        <w:t>ondersteunings</w:t>
      </w:r>
      <w:r w:rsidRPr="00E6515F">
        <w:rPr>
          <w:lang w:val="nl-BE"/>
        </w:rPr>
        <w:t xml:space="preserve">functies, zien we dat in zowel </w:t>
      </w:r>
      <w:r w:rsidR="00627480" w:rsidRPr="00E6515F">
        <w:rPr>
          <w:lang w:val="nl-BE"/>
        </w:rPr>
        <w:t>2008</w:t>
      </w:r>
      <w:r w:rsidR="009845F3" w:rsidRPr="00E6515F">
        <w:rPr>
          <w:lang w:val="nl-BE"/>
        </w:rPr>
        <w:t>, 20</w:t>
      </w:r>
      <w:r w:rsidRPr="00E6515F">
        <w:rPr>
          <w:lang w:val="nl-BE"/>
        </w:rPr>
        <w:t xml:space="preserve">13 als </w:t>
      </w:r>
      <w:r w:rsidR="00627480" w:rsidRPr="00E6515F">
        <w:rPr>
          <w:lang w:val="nl-BE"/>
        </w:rPr>
        <w:t>2017</w:t>
      </w:r>
      <w:r w:rsidRPr="00E6515F">
        <w:rPr>
          <w:lang w:val="nl-BE"/>
        </w:rPr>
        <w:t xml:space="preserve"> het overgrote deel van de mensen die gebruik </w:t>
      </w:r>
      <w:r w:rsidR="00380DEB">
        <w:rPr>
          <w:lang w:val="nl-BE"/>
        </w:rPr>
        <w:t>maakten</w:t>
      </w:r>
      <w:r w:rsidR="00380DEB" w:rsidRPr="00E6515F">
        <w:rPr>
          <w:lang w:val="nl-BE"/>
        </w:rPr>
        <w:t xml:space="preserve"> </w:t>
      </w:r>
      <w:r w:rsidRPr="00E6515F">
        <w:rPr>
          <w:lang w:val="nl-BE"/>
        </w:rPr>
        <w:t xml:space="preserve">van </w:t>
      </w:r>
      <w:r w:rsidR="00DD02E4">
        <w:rPr>
          <w:lang w:val="nl-BE"/>
        </w:rPr>
        <w:t>rechtstreeks toegankelijke hulp</w:t>
      </w:r>
      <w:r w:rsidRPr="00E6515F">
        <w:rPr>
          <w:lang w:val="nl-BE"/>
        </w:rPr>
        <w:t xml:space="preserve">, </w:t>
      </w:r>
      <w:r w:rsidR="00380DEB">
        <w:rPr>
          <w:lang w:val="nl-BE"/>
        </w:rPr>
        <w:t xml:space="preserve">een </w:t>
      </w:r>
      <w:r w:rsidRPr="00E6515F">
        <w:rPr>
          <w:lang w:val="nl-BE"/>
        </w:rPr>
        <w:t xml:space="preserve">beroep </w:t>
      </w:r>
      <w:r w:rsidR="00380DEB">
        <w:rPr>
          <w:lang w:val="nl-BE"/>
        </w:rPr>
        <w:t>deden</w:t>
      </w:r>
      <w:r w:rsidR="00380DEB" w:rsidRPr="00E6515F">
        <w:rPr>
          <w:lang w:val="nl-BE"/>
        </w:rPr>
        <w:t xml:space="preserve"> </w:t>
      </w:r>
      <w:r w:rsidRPr="00E6515F">
        <w:rPr>
          <w:lang w:val="nl-BE"/>
        </w:rPr>
        <w:t>op individuele ondersteuning. Slechts een beperkte groep maakt</w:t>
      </w:r>
      <w:r w:rsidR="00380DEB">
        <w:rPr>
          <w:lang w:val="nl-BE"/>
        </w:rPr>
        <w:t>e</w:t>
      </w:r>
      <w:r w:rsidRPr="00E6515F">
        <w:rPr>
          <w:lang w:val="nl-BE"/>
        </w:rPr>
        <w:t xml:space="preserve"> gebruik van woonondersteuning via </w:t>
      </w:r>
      <w:r w:rsidR="00DD02E4">
        <w:rPr>
          <w:lang w:val="nl-BE"/>
        </w:rPr>
        <w:t>rechtstreeks toegankelijke hulp</w:t>
      </w:r>
      <w:r w:rsidRPr="00E6515F">
        <w:rPr>
          <w:lang w:val="nl-BE"/>
        </w:rPr>
        <w:t xml:space="preserve">. </w:t>
      </w:r>
    </w:p>
    <w:p w:rsidR="00CD1B8C" w:rsidRPr="00E6515F" w:rsidRDefault="00CD1B8C">
      <w:pPr>
        <w:rPr>
          <w:lang w:val="nl-BE"/>
        </w:rPr>
      </w:pPr>
    </w:p>
    <w:p w:rsidR="00292682" w:rsidRPr="00E6515F" w:rsidRDefault="00292682">
      <w:pPr>
        <w:rPr>
          <w:b/>
          <w:sz w:val="30"/>
          <w:szCs w:val="30"/>
          <w:lang w:val="nl-BE"/>
        </w:rPr>
      </w:pPr>
      <w:bookmarkStart w:id="19" w:name="_v5j9bkh6vcjl" w:colFirst="0" w:colLast="0"/>
      <w:bookmarkStart w:id="20" w:name="_Toc528227883"/>
      <w:bookmarkEnd w:id="19"/>
      <w:r w:rsidRPr="00E6515F">
        <w:rPr>
          <w:sz w:val="30"/>
          <w:szCs w:val="30"/>
          <w:lang w:val="nl-BE"/>
        </w:rPr>
        <w:br w:type="page"/>
      </w:r>
    </w:p>
    <w:p w:rsidR="00A179E6" w:rsidRPr="00E6515F" w:rsidRDefault="002859D7" w:rsidP="00A179E6">
      <w:pPr>
        <w:pStyle w:val="Kop1"/>
        <w:widowControl w:val="0"/>
        <w:numPr>
          <w:ilvl w:val="2"/>
          <w:numId w:val="1"/>
        </w:numPr>
        <w:pBdr>
          <w:top w:val="nil"/>
          <w:left w:val="nil"/>
          <w:bottom w:val="nil"/>
          <w:right w:val="nil"/>
          <w:between w:val="nil"/>
        </w:pBdr>
        <w:rPr>
          <w:sz w:val="30"/>
          <w:szCs w:val="30"/>
          <w:lang w:val="nl-BE"/>
        </w:rPr>
      </w:pPr>
      <w:bookmarkStart w:id="21" w:name="_Toc536797798"/>
      <w:r w:rsidRPr="00E6515F">
        <w:rPr>
          <w:sz w:val="30"/>
          <w:szCs w:val="30"/>
          <w:lang w:val="nl-BE"/>
        </w:rPr>
        <w:lastRenderedPageBreak/>
        <w:t>Verdere info met betrekking tot gebruikers 2017</w:t>
      </w:r>
      <w:bookmarkEnd w:id="20"/>
      <w:bookmarkEnd w:id="21"/>
    </w:p>
    <w:p w:rsidR="00A179E6" w:rsidRPr="00E6515F" w:rsidRDefault="00A179E6" w:rsidP="00A179E6">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w:t>
      </w:r>
      <w:r w:rsidRPr="00E6515F">
        <w:rPr>
          <w:lang w:val="nl-BE"/>
        </w:rPr>
        <w:fldChar w:fldCharType="end"/>
      </w:r>
      <w:r w:rsidRPr="00E6515F">
        <w:rPr>
          <w:lang w:val="nl-BE"/>
        </w:rPr>
        <w:t>: Overzicht van het aantal gebruikers</w:t>
      </w:r>
      <w:r w:rsidR="00380DEB">
        <w:rPr>
          <w:lang w:val="nl-BE"/>
        </w:rPr>
        <w:t xml:space="preserve"> van RTH</w:t>
      </w:r>
      <w:r w:rsidRPr="00E6515F">
        <w:rPr>
          <w:lang w:val="nl-BE"/>
        </w:rPr>
        <w:t xml:space="preserve"> per functie per leeftijdscategorie</w:t>
      </w:r>
      <w:r w:rsidR="00380DEB">
        <w:rPr>
          <w:lang w:val="nl-BE"/>
        </w:rPr>
        <w:t xml:space="preserve"> in 2017</w:t>
      </w:r>
    </w:p>
    <w:tbl>
      <w:tblPr>
        <w:tblStyle w:val="a8"/>
        <w:tblW w:w="8954"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1985"/>
        <w:gridCol w:w="1525"/>
        <w:gridCol w:w="1814"/>
        <w:gridCol w:w="2130"/>
        <w:gridCol w:w="1500"/>
      </w:tblGrid>
      <w:tr w:rsidR="00CD1B8C" w:rsidRPr="00E6515F" w:rsidTr="00FF60A4">
        <w:tc>
          <w:tcPr>
            <w:tcW w:w="198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FF60A4">
            <w:pPr>
              <w:widowControl w:val="0"/>
              <w:jc w:val="center"/>
              <w:rPr>
                <w:b/>
                <w:sz w:val="20"/>
                <w:szCs w:val="20"/>
                <w:lang w:val="nl-BE"/>
              </w:rPr>
            </w:pPr>
            <w:r w:rsidRPr="00E6515F">
              <w:rPr>
                <w:b/>
                <w:sz w:val="20"/>
                <w:szCs w:val="20"/>
                <w:lang w:val="nl-BE"/>
              </w:rPr>
              <w:t>Leeftijdscategori</w:t>
            </w:r>
            <w:r w:rsidR="00FF60A4">
              <w:rPr>
                <w:b/>
                <w:sz w:val="20"/>
                <w:szCs w:val="20"/>
                <w:lang w:val="nl-BE"/>
              </w:rPr>
              <w:t>e</w:t>
            </w:r>
          </w:p>
        </w:tc>
        <w:tc>
          <w:tcPr>
            <w:tcW w:w="152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Individuele ondersteuning</w:t>
            </w:r>
          </w:p>
        </w:tc>
        <w:tc>
          <w:tcPr>
            <w:tcW w:w="181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proofErr w:type="spellStart"/>
            <w:r w:rsidRPr="00E6515F">
              <w:rPr>
                <w:b/>
                <w:sz w:val="20"/>
                <w:szCs w:val="20"/>
                <w:lang w:val="nl-BE"/>
              </w:rPr>
              <w:t>Dagondersteuning</w:t>
            </w:r>
            <w:proofErr w:type="spellEnd"/>
          </w:p>
        </w:tc>
        <w:tc>
          <w:tcPr>
            <w:tcW w:w="2130"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Woonondersteuning</w:t>
            </w:r>
          </w:p>
        </w:tc>
        <w:tc>
          <w:tcPr>
            <w:tcW w:w="1500"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Totaal</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0 </w:t>
            </w:r>
            <w:r w:rsidR="00380DEB">
              <w:rPr>
                <w:b/>
                <w:sz w:val="20"/>
                <w:szCs w:val="20"/>
                <w:lang w:val="nl-BE"/>
              </w:rPr>
              <w:t xml:space="preserve">t/m </w:t>
            </w:r>
            <w:r w:rsidRPr="00E6515F">
              <w:rPr>
                <w:b/>
                <w:sz w:val="20"/>
                <w:szCs w:val="20"/>
                <w:lang w:val="nl-BE"/>
              </w:rPr>
              <w:t>6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4.461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309</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45</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4.815</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7 </w:t>
            </w:r>
            <w:r w:rsidR="00380DEB">
              <w:rPr>
                <w:b/>
                <w:sz w:val="20"/>
                <w:szCs w:val="20"/>
                <w:lang w:val="nl-BE"/>
              </w:rPr>
              <w:t xml:space="preserve">t/m </w:t>
            </w:r>
            <w:r w:rsidRPr="00E6515F">
              <w:rPr>
                <w:b/>
                <w:sz w:val="20"/>
                <w:szCs w:val="20"/>
                <w:lang w:val="nl-BE"/>
              </w:rPr>
              <w:t>12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3.727</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427</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117</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4.271</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13 </w:t>
            </w:r>
            <w:r w:rsidR="00380DEB">
              <w:rPr>
                <w:b/>
                <w:sz w:val="20"/>
                <w:szCs w:val="20"/>
                <w:lang w:val="nl-BE"/>
              </w:rPr>
              <w:t xml:space="preserve">t/m </w:t>
            </w:r>
            <w:r w:rsidRPr="00E6515F">
              <w:rPr>
                <w:b/>
                <w:sz w:val="20"/>
                <w:szCs w:val="20"/>
                <w:lang w:val="nl-BE"/>
              </w:rPr>
              <w:t>17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2.125</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228</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87</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2.440</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1.044</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212</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74</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1.330</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1.577</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365</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95</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2.037</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1.899</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259</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57</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2.215</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1.601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218</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47</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1.866</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1.819</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268</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75</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2.162</w:t>
            </w:r>
          </w:p>
        </w:tc>
      </w:tr>
      <w:tr w:rsidR="00CD1B8C" w:rsidRPr="00E6515F" w:rsidTr="00FF60A4">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FA2F50">
              <w:rPr>
                <w:b/>
                <w:sz w:val="20"/>
                <w:szCs w:val="20"/>
                <w:lang w:val="nl-BE"/>
              </w:rPr>
              <w:t xml:space="preserve"> </w:t>
            </w:r>
            <w:r w:rsidRPr="00E6515F">
              <w:rPr>
                <w:b/>
                <w:sz w:val="20"/>
                <w:szCs w:val="20"/>
                <w:lang w:val="nl-BE"/>
              </w:rPr>
              <w:t>j</w:t>
            </w:r>
            <w:r w:rsidR="00FA2F50">
              <w:rPr>
                <w:b/>
                <w:sz w:val="20"/>
                <w:szCs w:val="20"/>
                <w:lang w:val="nl-BE"/>
              </w:rPr>
              <w:t>.</w:t>
            </w:r>
          </w:p>
        </w:tc>
        <w:tc>
          <w:tcPr>
            <w:tcW w:w="152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1.217</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186</w:t>
            </w:r>
          </w:p>
        </w:tc>
        <w:tc>
          <w:tcPr>
            <w:tcW w:w="213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54</w:t>
            </w:r>
          </w:p>
        </w:tc>
        <w:tc>
          <w:tcPr>
            <w:tcW w:w="15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1.457</w:t>
            </w:r>
          </w:p>
        </w:tc>
      </w:tr>
      <w:tr w:rsidR="00CD1B8C" w:rsidRPr="00E6515F" w:rsidTr="00FF60A4">
        <w:tc>
          <w:tcPr>
            <w:tcW w:w="1985" w:type="dxa"/>
            <w:tcBorders>
              <w:top w:val="nil"/>
              <w:left w:val="single" w:sz="8" w:space="0" w:color="414141"/>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+65 j</w:t>
            </w:r>
            <w:r w:rsidR="00FA2F50">
              <w:rPr>
                <w:b/>
                <w:sz w:val="20"/>
                <w:szCs w:val="20"/>
                <w:lang w:val="nl-BE"/>
              </w:rPr>
              <w:t>.</w:t>
            </w:r>
          </w:p>
        </w:tc>
        <w:tc>
          <w:tcPr>
            <w:tcW w:w="1525"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774</w:t>
            </w:r>
          </w:p>
        </w:tc>
        <w:tc>
          <w:tcPr>
            <w:tcW w:w="1814"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62</w:t>
            </w:r>
          </w:p>
        </w:tc>
        <w:tc>
          <w:tcPr>
            <w:tcW w:w="2130"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w:t>
            </w:r>
          </w:p>
        </w:tc>
        <w:tc>
          <w:tcPr>
            <w:tcW w:w="1500"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842</w:t>
            </w:r>
          </w:p>
        </w:tc>
      </w:tr>
      <w:tr w:rsidR="00CD1B8C" w:rsidRPr="00E6515F" w:rsidTr="00FF60A4">
        <w:tc>
          <w:tcPr>
            <w:tcW w:w="198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152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20.244</w:t>
            </w:r>
          </w:p>
        </w:tc>
        <w:tc>
          <w:tcPr>
            <w:tcW w:w="181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2.534</w:t>
            </w:r>
          </w:p>
        </w:tc>
        <w:tc>
          <w:tcPr>
            <w:tcW w:w="213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657</w:t>
            </w:r>
          </w:p>
        </w:tc>
        <w:tc>
          <w:tcPr>
            <w:tcW w:w="150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23.435</w:t>
            </w:r>
          </w:p>
        </w:tc>
      </w:tr>
      <w:tr w:rsidR="00351F04" w:rsidRPr="00E6515F" w:rsidTr="00FF60A4">
        <w:tc>
          <w:tcPr>
            <w:tcW w:w="198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351F04" w:rsidRPr="00E6515F" w:rsidRDefault="00351F04" w:rsidP="00351F04">
            <w:pPr>
              <w:widowControl w:val="0"/>
              <w:rPr>
                <w:b/>
                <w:i/>
                <w:sz w:val="20"/>
                <w:szCs w:val="20"/>
                <w:lang w:val="nl-BE"/>
              </w:rPr>
            </w:pPr>
            <w:r w:rsidRPr="00E6515F">
              <w:rPr>
                <w:b/>
                <w:i/>
                <w:sz w:val="20"/>
                <w:szCs w:val="20"/>
                <w:lang w:val="nl-BE"/>
              </w:rPr>
              <w:t>Totaal in  %</w:t>
            </w:r>
          </w:p>
        </w:tc>
        <w:tc>
          <w:tcPr>
            <w:tcW w:w="152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86%</w:t>
            </w:r>
          </w:p>
        </w:tc>
        <w:tc>
          <w:tcPr>
            <w:tcW w:w="181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11%</w:t>
            </w:r>
          </w:p>
        </w:tc>
        <w:tc>
          <w:tcPr>
            <w:tcW w:w="213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3%</w:t>
            </w:r>
          </w:p>
        </w:tc>
        <w:tc>
          <w:tcPr>
            <w:tcW w:w="150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351F04" w:rsidRPr="00E6515F" w:rsidRDefault="00351F04">
            <w:pPr>
              <w:widowControl w:val="0"/>
              <w:jc w:val="center"/>
              <w:rPr>
                <w:b/>
                <w:i/>
                <w:sz w:val="20"/>
                <w:szCs w:val="20"/>
                <w:lang w:val="nl-BE"/>
              </w:rPr>
            </w:pPr>
            <w:r w:rsidRPr="00E6515F">
              <w:rPr>
                <w:b/>
                <w:i/>
                <w:sz w:val="20"/>
                <w:szCs w:val="20"/>
                <w:lang w:val="nl-BE"/>
              </w:rPr>
              <w:t>100%</w:t>
            </w:r>
          </w:p>
        </w:tc>
      </w:tr>
    </w:tbl>
    <w:p w:rsidR="00CD1B8C" w:rsidRPr="00E6515F" w:rsidRDefault="002859D7" w:rsidP="00C45F18">
      <w:pPr>
        <w:jc w:val="both"/>
        <w:rPr>
          <w:lang w:val="nl-BE"/>
        </w:rPr>
      </w:pPr>
      <w:r w:rsidRPr="00E6515F">
        <w:rPr>
          <w:lang w:val="nl-BE"/>
        </w:rPr>
        <w:br/>
        <w:t xml:space="preserve">In deze tabel wordt een opsplitsing </w:t>
      </w:r>
      <w:r w:rsidR="00FA2F50">
        <w:rPr>
          <w:lang w:val="nl-BE"/>
        </w:rPr>
        <w:t>gemaakt</w:t>
      </w:r>
      <w:r w:rsidR="00FA2F50" w:rsidRPr="00E6515F">
        <w:rPr>
          <w:lang w:val="nl-BE"/>
        </w:rPr>
        <w:t xml:space="preserve"> </w:t>
      </w:r>
      <w:r w:rsidRPr="00E6515F">
        <w:rPr>
          <w:lang w:val="nl-BE"/>
        </w:rPr>
        <w:t xml:space="preserve">per leeftijdscategorie. Opvallend is hier dat </w:t>
      </w:r>
      <w:r w:rsidR="00DD02E4">
        <w:rPr>
          <w:lang w:val="nl-BE"/>
        </w:rPr>
        <w:t>rechtstreeks toegankelijke hulp</w:t>
      </w:r>
      <w:r w:rsidRPr="00E6515F">
        <w:rPr>
          <w:lang w:val="nl-BE"/>
        </w:rPr>
        <w:t xml:space="preserve"> veel gebruikt door de groep </w:t>
      </w:r>
      <w:r w:rsidR="00A14A44" w:rsidRPr="00E6515F">
        <w:rPr>
          <w:lang w:val="nl-BE"/>
        </w:rPr>
        <w:t xml:space="preserve">kinderen </w:t>
      </w:r>
      <w:r w:rsidRPr="00E6515F">
        <w:rPr>
          <w:lang w:val="nl-BE"/>
        </w:rPr>
        <w:t>van 0 t</w:t>
      </w:r>
      <w:r w:rsidR="00A14A44" w:rsidRPr="00E6515F">
        <w:rPr>
          <w:lang w:val="nl-BE"/>
        </w:rPr>
        <w:t xml:space="preserve">ot </w:t>
      </w:r>
      <w:r w:rsidR="00FA2F50">
        <w:rPr>
          <w:lang w:val="nl-BE"/>
        </w:rPr>
        <w:t xml:space="preserve">en met </w:t>
      </w:r>
      <w:r w:rsidRPr="00E6515F">
        <w:rPr>
          <w:lang w:val="nl-BE"/>
        </w:rPr>
        <w:t xml:space="preserve">12 jaar. </w:t>
      </w:r>
    </w:p>
    <w:p w:rsidR="00CD1B8C" w:rsidRPr="00E6515F" w:rsidRDefault="00CD1B8C">
      <w:pPr>
        <w:rPr>
          <w:lang w:val="nl-BE"/>
        </w:rPr>
      </w:pPr>
    </w:p>
    <w:p w:rsidR="00292682" w:rsidRPr="00E6515F" w:rsidRDefault="00292682">
      <w:pPr>
        <w:rPr>
          <w:b/>
          <w:sz w:val="34"/>
          <w:szCs w:val="34"/>
          <w:lang w:val="nl-BE"/>
        </w:rPr>
      </w:pPr>
      <w:bookmarkStart w:id="22" w:name="_3g0fp5j8dvmi" w:colFirst="0" w:colLast="0"/>
      <w:bookmarkStart w:id="23" w:name="_Toc528227884"/>
      <w:bookmarkEnd w:id="22"/>
      <w:r w:rsidRPr="00E6515F">
        <w:rPr>
          <w:sz w:val="34"/>
          <w:szCs w:val="34"/>
          <w:lang w:val="nl-BE"/>
        </w:rPr>
        <w:br w:type="page"/>
      </w:r>
    </w:p>
    <w:p w:rsidR="00CD1B8C" w:rsidRPr="00E6515F" w:rsidRDefault="002859D7" w:rsidP="00691346">
      <w:pPr>
        <w:pStyle w:val="Kop1"/>
        <w:widowControl w:val="0"/>
        <w:numPr>
          <w:ilvl w:val="1"/>
          <w:numId w:val="1"/>
        </w:numPr>
        <w:pBdr>
          <w:top w:val="nil"/>
          <w:left w:val="nil"/>
          <w:bottom w:val="nil"/>
          <w:right w:val="nil"/>
          <w:between w:val="nil"/>
        </w:pBdr>
        <w:rPr>
          <w:sz w:val="34"/>
          <w:szCs w:val="34"/>
          <w:lang w:val="nl-BE"/>
        </w:rPr>
      </w:pPr>
      <w:bookmarkStart w:id="24" w:name="_Toc536797799"/>
      <w:r w:rsidRPr="00E6515F">
        <w:rPr>
          <w:sz w:val="34"/>
          <w:szCs w:val="34"/>
          <w:lang w:val="nl-BE"/>
        </w:rPr>
        <w:lastRenderedPageBreak/>
        <w:t xml:space="preserve">Gegevens </w:t>
      </w:r>
      <w:r w:rsidR="00B757A4" w:rsidRPr="00E6515F">
        <w:rPr>
          <w:sz w:val="34"/>
          <w:szCs w:val="34"/>
          <w:lang w:val="nl-BE"/>
        </w:rPr>
        <w:t>met betrekking tot</w:t>
      </w:r>
      <w:r w:rsidRPr="00E6515F">
        <w:rPr>
          <w:sz w:val="34"/>
          <w:szCs w:val="34"/>
          <w:lang w:val="nl-BE"/>
        </w:rPr>
        <w:t xml:space="preserve"> </w:t>
      </w:r>
      <w:r w:rsidR="00627480" w:rsidRPr="00E6515F">
        <w:rPr>
          <w:sz w:val="34"/>
          <w:szCs w:val="34"/>
          <w:lang w:val="nl-BE"/>
        </w:rPr>
        <w:t>VAPH</w:t>
      </w:r>
      <w:r w:rsidRPr="00E6515F">
        <w:rPr>
          <w:sz w:val="34"/>
          <w:szCs w:val="34"/>
          <w:lang w:val="nl-BE"/>
        </w:rPr>
        <w:t xml:space="preserve">-ondersteuning: RTH en </w:t>
      </w:r>
      <w:proofErr w:type="spellStart"/>
      <w:r w:rsidRPr="00E6515F">
        <w:rPr>
          <w:sz w:val="34"/>
          <w:szCs w:val="34"/>
          <w:lang w:val="nl-BE"/>
        </w:rPr>
        <w:t>nRTH</w:t>
      </w:r>
      <w:bookmarkEnd w:id="23"/>
      <w:bookmarkEnd w:id="24"/>
      <w:proofErr w:type="spellEnd"/>
    </w:p>
    <w:p w:rsidR="00CD1B8C" w:rsidRPr="00E6515F" w:rsidRDefault="002859D7" w:rsidP="00691346">
      <w:pPr>
        <w:pStyle w:val="Kop1"/>
        <w:widowControl w:val="0"/>
        <w:numPr>
          <w:ilvl w:val="2"/>
          <w:numId w:val="1"/>
        </w:numPr>
        <w:pBdr>
          <w:top w:val="nil"/>
          <w:left w:val="nil"/>
          <w:bottom w:val="nil"/>
          <w:right w:val="nil"/>
          <w:between w:val="nil"/>
        </w:pBdr>
        <w:rPr>
          <w:sz w:val="30"/>
          <w:szCs w:val="30"/>
          <w:lang w:val="nl-BE"/>
        </w:rPr>
      </w:pPr>
      <w:bookmarkStart w:id="25" w:name="_979tbz3aucz0" w:colFirst="0" w:colLast="0"/>
      <w:bookmarkStart w:id="26" w:name="_Toc528227885"/>
      <w:bookmarkStart w:id="27" w:name="_Toc536797800"/>
      <w:bookmarkEnd w:id="25"/>
      <w:r w:rsidRPr="00E6515F">
        <w:rPr>
          <w:sz w:val="30"/>
          <w:szCs w:val="30"/>
          <w:lang w:val="nl-BE"/>
        </w:rPr>
        <w:t>Evolutie van het aantal gebruikers per ondersteuningsfunctie</w:t>
      </w:r>
      <w:bookmarkEnd w:id="26"/>
      <w:bookmarkEnd w:id="27"/>
    </w:p>
    <w:p w:rsidR="00CD1B8C" w:rsidRPr="00E6515F" w:rsidRDefault="00CD1B8C" w:rsidP="00A179E6">
      <w:pPr>
        <w:contextualSpacing/>
        <w:rPr>
          <w:lang w:val="nl-BE"/>
        </w:rPr>
      </w:pPr>
    </w:p>
    <w:p w:rsidR="00A179E6" w:rsidRPr="00E6515F" w:rsidRDefault="00A179E6" w:rsidP="00A179E6">
      <w:pPr>
        <w:pStyle w:val="Bijschrift"/>
        <w:keepNext/>
        <w:rPr>
          <w:lang w:val="nl-BE"/>
        </w:rPr>
      </w:pPr>
      <w:bookmarkStart w:id="28" w:name="_Ref529533786"/>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w:t>
      </w:r>
      <w:r w:rsidRPr="00E6515F">
        <w:rPr>
          <w:lang w:val="nl-BE"/>
        </w:rPr>
        <w:fldChar w:fldCharType="end"/>
      </w:r>
      <w:bookmarkEnd w:id="28"/>
      <w:r w:rsidRPr="00E6515F">
        <w:rPr>
          <w:lang w:val="nl-BE"/>
        </w:rPr>
        <w:t xml:space="preserve">: Overzicht </w:t>
      </w:r>
      <w:r w:rsidR="00FA2F50">
        <w:rPr>
          <w:lang w:val="nl-BE"/>
        </w:rPr>
        <w:t xml:space="preserve">van het </w:t>
      </w:r>
      <w:r w:rsidRPr="00E6515F">
        <w:rPr>
          <w:lang w:val="nl-BE"/>
        </w:rPr>
        <w:t xml:space="preserve">aantal </w:t>
      </w:r>
      <w:r w:rsidR="00FA2F50">
        <w:rPr>
          <w:lang w:val="nl-BE"/>
        </w:rPr>
        <w:t xml:space="preserve">gebruikers van RTH en </w:t>
      </w:r>
      <w:proofErr w:type="spellStart"/>
      <w:r w:rsidR="00FA2F50">
        <w:rPr>
          <w:lang w:val="nl-BE"/>
        </w:rPr>
        <w:t>nRTH</w:t>
      </w:r>
      <w:proofErr w:type="spellEnd"/>
      <w:r w:rsidR="00FA2F50" w:rsidRPr="00E6515F">
        <w:rPr>
          <w:lang w:val="nl-BE"/>
        </w:rPr>
        <w:t xml:space="preserve"> </w:t>
      </w:r>
      <w:r w:rsidRPr="00E6515F">
        <w:rPr>
          <w:lang w:val="nl-BE"/>
        </w:rPr>
        <w:t>per ondersteuningsfunctie per jaar</w:t>
      </w:r>
    </w:p>
    <w:tbl>
      <w:tblPr>
        <w:tblStyle w:val="a9"/>
        <w:tblW w:w="8905"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527"/>
        <w:gridCol w:w="2126"/>
        <w:gridCol w:w="2126"/>
        <w:gridCol w:w="2126"/>
      </w:tblGrid>
      <w:tr w:rsidR="00CD1B8C" w:rsidRPr="00E6515F" w:rsidTr="00A179E6">
        <w:tc>
          <w:tcPr>
            <w:tcW w:w="2527"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Ondersteuningsfuncties</w:t>
            </w:r>
          </w:p>
        </w:tc>
        <w:tc>
          <w:tcPr>
            <w:tcW w:w="2126"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2008</w:t>
            </w:r>
          </w:p>
        </w:tc>
        <w:tc>
          <w:tcPr>
            <w:tcW w:w="2126"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2013</w:t>
            </w:r>
          </w:p>
        </w:tc>
        <w:tc>
          <w:tcPr>
            <w:tcW w:w="2126"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2017</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Individuele ondersteuning</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3.582</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5.329</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4.405</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proofErr w:type="spellStart"/>
            <w:r w:rsidRPr="00E6515F">
              <w:rPr>
                <w:b/>
                <w:sz w:val="20"/>
                <w:szCs w:val="20"/>
                <w:lang w:val="nl-BE"/>
              </w:rPr>
              <w:t>Dagondersteuning</w:t>
            </w:r>
            <w:proofErr w:type="spellEnd"/>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8.631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9.243</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7.931</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Woonondersteuning</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18.321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19.031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20.366</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PAB*</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1.332</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1.982</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499</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770291" w:rsidP="00770291">
            <w:pPr>
              <w:widowControl w:val="0"/>
              <w:rPr>
                <w:b/>
                <w:sz w:val="20"/>
                <w:szCs w:val="20"/>
                <w:lang w:val="nl-BE"/>
              </w:rPr>
            </w:pPr>
            <w:r w:rsidRPr="00E6515F">
              <w:rPr>
                <w:b/>
                <w:sz w:val="20"/>
                <w:szCs w:val="20"/>
                <w:lang w:val="nl-BE"/>
              </w:rPr>
              <w:t>PAB + DO</w:t>
            </w:r>
            <w:r w:rsidR="002859D7" w:rsidRPr="00E6515F">
              <w:rPr>
                <w:b/>
                <w:sz w:val="20"/>
                <w:szCs w:val="20"/>
                <w:lang w:val="nl-BE"/>
              </w:rPr>
              <w:t>*</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301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419</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186</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Cash</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2.016</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RTH</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5.674</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9.467</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22.307</w:t>
            </w:r>
          </w:p>
        </w:tc>
      </w:tr>
      <w:tr w:rsidR="00CD1B8C" w:rsidRPr="00E6515F" w:rsidTr="00A179E6">
        <w:tc>
          <w:tcPr>
            <w:tcW w:w="252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37.841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45.471</w:t>
            </w:r>
          </w:p>
        </w:tc>
        <w:tc>
          <w:tcPr>
            <w:tcW w:w="2126"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57.710</w:t>
            </w:r>
          </w:p>
        </w:tc>
      </w:tr>
    </w:tbl>
    <w:p w:rsidR="00CD1B8C" w:rsidRPr="00E6515F" w:rsidRDefault="002859D7">
      <w:pPr>
        <w:rPr>
          <w:sz w:val="20"/>
          <w:szCs w:val="20"/>
          <w:lang w:val="nl-BE"/>
        </w:rPr>
      </w:pPr>
      <w:r w:rsidRPr="00E6515F">
        <w:rPr>
          <w:sz w:val="20"/>
          <w:szCs w:val="20"/>
          <w:lang w:val="nl-BE"/>
        </w:rPr>
        <w:t>*</w:t>
      </w:r>
      <w:r w:rsidR="00FF60A4">
        <w:rPr>
          <w:sz w:val="20"/>
          <w:szCs w:val="20"/>
          <w:lang w:val="nl-BE"/>
        </w:rPr>
        <w:t xml:space="preserve"> </w:t>
      </w:r>
      <w:r w:rsidRPr="00E6515F">
        <w:rPr>
          <w:sz w:val="20"/>
          <w:szCs w:val="20"/>
          <w:lang w:val="nl-BE"/>
        </w:rPr>
        <w:t>=</w:t>
      </w:r>
      <w:r w:rsidR="00FA2F50">
        <w:rPr>
          <w:sz w:val="20"/>
          <w:szCs w:val="20"/>
          <w:lang w:val="nl-BE"/>
        </w:rPr>
        <w:t xml:space="preserve"> </w:t>
      </w:r>
      <w:r w:rsidRPr="00E6515F">
        <w:rPr>
          <w:sz w:val="20"/>
          <w:szCs w:val="20"/>
          <w:lang w:val="nl-BE"/>
        </w:rPr>
        <w:t>persoonlijk</w:t>
      </w:r>
      <w:r w:rsidR="006857B0" w:rsidRPr="00E6515F">
        <w:rPr>
          <w:sz w:val="20"/>
          <w:szCs w:val="20"/>
          <w:lang w:val="nl-BE"/>
        </w:rPr>
        <w:t>e</w:t>
      </w:r>
      <w:r w:rsidR="00FA2F50">
        <w:rPr>
          <w:sz w:val="20"/>
          <w:szCs w:val="20"/>
          <w:lang w:val="nl-BE"/>
        </w:rPr>
        <w:t>-</w:t>
      </w:r>
      <w:r w:rsidRPr="00E6515F">
        <w:rPr>
          <w:sz w:val="20"/>
          <w:szCs w:val="20"/>
          <w:lang w:val="nl-BE"/>
        </w:rPr>
        <w:t>assistentiebudget</w:t>
      </w:r>
    </w:p>
    <w:p w:rsidR="00CD1B8C" w:rsidRPr="00E6515F" w:rsidRDefault="002859D7">
      <w:pPr>
        <w:rPr>
          <w:sz w:val="20"/>
          <w:szCs w:val="20"/>
          <w:lang w:val="nl-BE"/>
        </w:rPr>
      </w:pPr>
      <w:r w:rsidRPr="00E6515F">
        <w:rPr>
          <w:sz w:val="20"/>
          <w:szCs w:val="20"/>
          <w:lang w:val="nl-BE"/>
        </w:rPr>
        <w:t>*</w:t>
      </w:r>
      <w:r w:rsidR="00FF60A4">
        <w:rPr>
          <w:sz w:val="20"/>
          <w:szCs w:val="20"/>
          <w:lang w:val="nl-BE"/>
        </w:rPr>
        <w:t xml:space="preserve"> </w:t>
      </w:r>
      <w:r w:rsidRPr="00E6515F">
        <w:rPr>
          <w:sz w:val="20"/>
          <w:szCs w:val="20"/>
          <w:lang w:val="nl-BE"/>
        </w:rPr>
        <w:t>= persoonlijk</w:t>
      </w:r>
      <w:r w:rsidR="006857B0" w:rsidRPr="00E6515F">
        <w:rPr>
          <w:sz w:val="20"/>
          <w:szCs w:val="20"/>
          <w:lang w:val="nl-BE"/>
        </w:rPr>
        <w:t>e</w:t>
      </w:r>
      <w:r w:rsidR="00FA2F50">
        <w:rPr>
          <w:sz w:val="20"/>
          <w:szCs w:val="20"/>
          <w:lang w:val="nl-BE"/>
        </w:rPr>
        <w:t>-</w:t>
      </w:r>
      <w:r w:rsidRPr="00E6515F">
        <w:rPr>
          <w:sz w:val="20"/>
          <w:szCs w:val="20"/>
          <w:lang w:val="nl-BE"/>
        </w:rPr>
        <w:t xml:space="preserve">assistentiebudget + </w:t>
      </w:r>
      <w:proofErr w:type="spellStart"/>
      <w:r w:rsidRPr="00E6515F">
        <w:rPr>
          <w:sz w:val="20"/>
          <w:szCs w:val="20"/>
          <w:lang w:val="nl-BE"/>
        </w:rPr>
        <w:t>dagondersteuning</w:t>
      </w:r>
      <w:proofErr w:type="spellEnd"/>
    </w:p>
    <w:p w:rsidR="00CD1B8C" w:rsidRPr="00E6515F" w:rsidRDefault="00CD1B8C">
      <w:pPr>
        <w:rPr>
          <w:lang w:val="nl-BE"/>
        </w:rPr>
      </w:pPr>
    </w:p>
    <w:p w:rsidR="009C7126" w:rsidRPr="00E6515F" w:rsidRDefault="002859D7">
      <w:pPr>
        <w:jc w:val="both"/>
        <w:rPr>
          <w:lang w:val="nl-BE"/>
        </w:rPr>
      </w:pPr>
      <w:r w:rsidRPr="00E6515F">
        <w:rPr>
          <w:lang w:val="nl-BE"/>
        </w:rPr>
        <w:t xml:space="preserve">In deze tabel wordt per jaar het aantal personen per ondersteuningsfunctie gegeven. </w:t>
      </w:r>
      <w:r w:rsidR="00770291" w:rsidRPr="00E6515F">
        <w:rPr>
          <w:lang w:val="nl-BE"/>
        </w:rPr>
        <w:t xml:space="preserve">Er </w:t>
      </w:r>
      <w:r w:rsidRPr="00E6515F">
        <w:rPr>
          <w:lang w:val="nl-BE"/>
        </w:rPr>
        <w:t xml:space="preserve">worden zowel minderjarigen als meerderjarigen meegegeven, zowel gebruikers van </w:t>
      </w:r>
      <w:r w:rsidR="00DD02E4">
        <w:rPr>
          <w:lang w:val="nl-BE"/>
        </w:rPr>
        <w:t>rechtstreeks toegankelijke hulp</w:t>
      </w:r>
      <w:r w:rsidR="00FA2F50">
        <w:rPr>
          <w:lang w:val="nl-BE"/>
        </w:rPr>
        <w:t xml:space="preserve"> (RTH)</w:t>
      </w:r>
      <w:r w:rsidRPr="00E6515F">
        <w:rPr>
          <w:lang w:val="nl-BE"/>
        </w:rPr>
        <w:t xml:space="preserve"> als van </w:t>
      </w:r>
      <w:r w:rsidR="00FA2F50">
        <w:rPr>
          <w:lang w:val="nl-BE"/>
        </w:rPr>
        <w:t>niet-</w:t>
      </w:r>
      <w:r w:rsidR="00DD02E4">
        <w:rPr>
          <w:lang w:val="nl-BE"/>
        </w:rPr>
        <w:t>rechtstreeks toegankelijke hulp</w:t>
      </w:r>
      <w:r w:rsidR="00FA2F50">
        <w:rPr>
          <w:lang w:val="nl-BE"/>
        </w:rPr>
        <w:t xml:space="preserve"> (</w:t>
      </w:r>
      <w:proofErr w:type="spellStart"/>
      <w:r w:rsidR="00FA2F50">
        <w:rPr>
          <w:lang w:val="nl-BE"/>
        </w:rPr>
        <w:t>nRTH</w:t>
      </w:r>
      <w:proofErr w:type="spellEnd"/>
      <w:r w:rsidR="00FA2F50">
        <w:rPr>
          <w:lang w:val="nl-BE"/>
        </w:rPr>
        <w:t>)</w:t>
      </w:r>
      <w:r w:rsidRPr="00E6515F">
        <w:rPr>
          <w:lang w:val="nl-BE"/>
        </w:rPr>
        <w:t xml:space="preserve">. Bij combinaties van </w:t>
      </w:r>
      <w:r w:rsidR="00DD02E4">
        <w:rPr>
          <w:lang w:val="nl-BE"/>
        </w:rPr>
        <w:t>rechtstreeks toegankelijke hulp</w:t>
      </w:r>
      <w:r w:rsidRPr="00E6515F">
        <w:rPr>
          <w:lang w:val="nl-BE"/>
        </w:rPr>
        <w:t xml:space="preserve"> en </w:t>
      </w:r>
      <w:r w:rsidR="00FA2F50">
        <w:rPr>
          <w:lang w:val="nl-BE"/>
        </w:rPr>
        <w:t>niet-</w:t>
      </w:r>
      <w:r w:rsidR="00DD02E4">
        <w:rPr>
          <w:lang w:val="nl-BE"/>
        </w:rPr>
        <w:t>rechtstreeks toegankelijke hulp</w:t>
      </w:r>
      <w:r w:rsidRPr="00E6515F">
        <w:rPr>
          <w:lang w:val="nl-BE"/>
        </w:rPr>
        <w:t xml:space="preserve"> in hetzelfde jaar wordt de persoon bij de </w:t>
      </w:r>
      <w:proofErr w:type="spellStart"/>
      <w:r w:rsidRPr="00E6515F">
        <w:rPr>
          <w:lang w:val="nl-BE"/>
        </w:rPr>
        <w:t>nRTH</w:t>
      </w:r>
      <w:proofErr w:type="spellEnd"/>
      <w:r w:rsidRPr="00E6515F">
        <w:rPr>
          <w:lang w:val="nl-BE"/>
        </w:rPr>
        <w:t xml:space="preserve">-functie meegerekend. </w:t>
      </w:r>
    </w:p>
    <w:p w:rsidR="009C7126" w:rsidRPr="00E6515F" w:rsidRDefault="009C7126">
      <w:pPr>
        <w:jc w:val="both"/>
        <w:rPr>
          <w:lang w:val="nl-BE"/>
        </w:rPr>
      </w:pPr>
    </w:p>
    <w:p w:rsidR="009C7126" w:rsidRPr="00E6515F" w:rsidRDefault="002F16DD">
      <w:pPr>
        <w:jc w:val="both"/>
        <w:rPr>
          <w:lang w:val="nl-BE"/>
        </w:rPr>
      </w:pPr>
      <w:r w:rsidRPr="00E6515F">
        <w:rPr>
          <w:lang w:val="nl-BE"/>
        </w:rPr>
        <w:t xml:space="preserve">Dankzij de budgettaire inspanningen zien we </w:t>
      </w:r>
      <w:r w:rsidR="002859D7" w:rsidRPr="00E6515F">
        <w:rPr>
          <w:lang w:val="nl-BE"/>
        </w:rPr>
        <w:t>een</w:t>
      </w:r>
      <w:r w:rsidR="007B134C" w:rsidRPr="00E6515F">
        <w:rPr>
          <w:lang w:val="nl-BE"/>
        </w:rPr>
        <w:t xml:space="preserve"> sterk </w:t>
      </w:r>
      <w:r w:rsidR="002859D7" w:rsidRPr="00E6515F">
        <w:rPr>
          <w:lang w:val="nl-BE"/>
        </w:rPr>
        <w:t xml:space="preserve"> stijgende trend in het aantal mensen dat ondersteund wordt door het </w:t>
      </w:r>
      <w:r w:rsidR="00627480" w:rsidRPr="00E6515F">
        <w:rPr>
          <w:lang w:val="nl-BE"/>
        </w:rPr>
        <w:t>VAPH</w:t>
      </w:r>
      <w:r w:rsidR="002859D7" w:rsidRPr="00E6515F">
        <w:rPr>
          <w:lang w:val="nl-BE"/>
        </w:rPr>
        <w:t xml:space="preserve">. </w:t>
      </w:r>
      <w:r w:rsidR="00FA2F50" w:rsidRPr="00E6515F">
        <w:rPr>
          <w:lang w:val="nl-BE"/>
        </w:rPr>
        <w:t>D</w:t>
      </w:r>
      <w:r w:rsidR="00FA2F50">
        <w:rPr>
          <w:lang w:val="nl-BE"/>
        </w:rPr>
        <w:t>ie</w:t>
      </w:r>
      <w:r w:rsidR="00FA2F50" w:rsidRPr="00E6515F">
        <w:rPr>
          <w:lang w:val="nl-BE"/>
        </w:rPr>
        <w:t xml:space="preserve"> </w:t>
      </w:r>
      <w:r w:rsidR="002859D7" w:rsidRPr="00E6515F">
        <w:rPr>
          <w:lang w:val="nl-BE"/>
        </w:rPr>
        <w:t xml:space="preserve">stijging voltrekt zich in bijna alle vormen van ondersteuning. </w:t>
      </w:r>
    </w:p>
    <w:p w:rsidR="009C7126" w:rsidRPr="00E6515F" w:rsidRDefault="009C7126">
      <w:pPr>
        <w:jc w:val="both"/>
        <w:rPr>
          <w:lang w:val="nl-BE"/>
        </w:rPr>
      </w:pPr>
    </w:p>
    <w:p w:rsidR="009C7126" w:rsidRPr="00E6515F" w:rsidRDefault="009C7126" w:rsidP="009C7126">
      <w:pPr>
        <w:jc w:val="both"/>
        <w:rPr>
          <w:lang w:val="nl-BE"/>
        </w:rPr>
      </w:pPr>
      <w:r w:rsidRPr="00E6515F">
        <w:rPr>
          <w:lang w:val="nl-BE"/>
        </w:rPr>
        <w:t xml:space="preserve">Opvallend is dat </w:t>
      </w:r>
      <w:r w:rsidR="002859D7" w:rsidRPr="00E6515F">
        <w:rPr>
          <w:lang w:val="nl-BE"/>
        </w:rPr>
        <w:t xml:space="preserve">het aantal personen dat gebruik maakt van </w:t>
      </w:r>
      <w:r w:rsidR="00DD02E4">
        <w:rPr>
          <w:lang w:val="nl-BE"/>
        </w:rPr>
        <w:t>rechtstreeks toegankelijke hulp</w:t>
      </w:r>
      <w:r w:rsidR="002859D7" w:rsidRPr="00E6515F">
        <w:rPr>
          <w:lang w:val="nl-BE"/>
        </w:rPr>
        <w:t xml:space="preserve"> sterk </w:t>
      </w:r>
      <w:r w:rsidRPr="00E6515F">
        <w:rPr>
          <w:lang w:val="nl-BE"/>
        </w:rPr>
        <w:t xml:space="preserve">stijgt </w:t>
      </w:r>
      <w:r w:rsidR="002859D7" w:rsidRPr="00E6515F">
        <w:rPr>
          <w:lang w:val="nl-BE"/>
        </w:rPr>
        <w:t xml:space="preserve">doorheen de tijd. </w:t>
      </w:r>
      <w:r w:rsidRPr="00E6515F">
        <w:rPr>
          <w:lang w:val="nl-BE"/>
        </w:rPr>
        <w:t>Daarnaast</w:t>
      </w:r>
      <w:r w:rsidR="002859D7" w:rsidRPr="00E6515F">
        <w:rPr>
          <w:lang w:val="nl-BE"/>
        </w:rPr>
        <w:t xml:space="preserve"> </w:t>
      </w:r>
      <w:r w:rsidRPr="00E6515F">
        <w:rPr>
          <w:lang w:val="nl-BE"/>
        </w:rPr>
        <w:t xml:space="preserve">valt op dat </w:t>
      </w:r>
      <w:r w:rsidR="002859D7" w:rsidRPr="00E6515F">
        <w:rPr>
          <w:lang w:val="nl-BE"/>
        </w:rPr>
        <w:t>er een</w:t>
      </w:r>
      <w:r w:rsidRPr="00E6515F">
        <w:rPr>
          <w:lang w:val="nl-BE"/>
        </w:rPr>
        <w:t xml:space="preserve"> lichte</w:t>
      </w:r>
      <w:r w:rsidR="002859D7" w:rsidRPr="00E6515F">
        <w:rPr>
          <w:lang w:val="nl-BE"/>
        </w:rPr>
        <w:t xml:space="preserve"> daling is in het aantal personen dat gebruik maakt van </w:t>
      </w:r>
      <w:r w:rsidR="00FA2F50">
        <w:rPr>
          <w:lang w:val="nl-BE"/>
        </w:rPr>
        <w:t>niet-</w:t>
      </w:r>
      <w:r w:rsidR="00DD02E4">
        <w:rPr>
          <w:lang w:val="nl-BE"/>
        </w:rPr>
        <w:t>rechtstreeks toegankelijke hulp</w:t>
      </w:r>
      <w:r w:rsidRPr="00E6515F">
        <w:rPr>
          <w:lang w:val="nl-BE"/>
        </w:rPr>
        <w:t xml:space="preserve"> </w:t>
      </w:r>
      <w:r w:rsidR="002859D7" w:rsidRPr="00E6515F">
        <w:rPr>
          <w:lang w:val="nl-BE"/>
        </w:rPr>
        <w:t xml:space="preserve">in </w:t>
      </w:r>
      <w:r w:rsidR="00627480" w:rsidRPr="00E6515F">
        <w:rPr>
          <w:lang w:val="nl-BE"/>
        </w:rPr>
        <w:t>2017</w:t>
      </w:r>
      <w:r w:rsidR="002859D7" w:rsidRPr="00E6515F">
        <w:rPr>
          <w:lang w:val="nl-BE"/>
        </w:rPr>
        <w:t xml:space="preserve"> </w:t>
      </w:r>
      <w:r w:rsidR="00FA2F50">
        <w:rPr>
          <w:lang w:val="nl-BE"/>
        </w:rPr>
        <w:t>ten opzichte van</w:t>
      </w:r>
      <w:r w:rsidR="002859D7" w:rsidRPr="00E6515F">
        <w:rPr>
          <w:lang w:val="nl-BE"/>
        </w:rPr>
        <w:t xml:space="preserve"> </w:t>
      </w:r>
      <w:r w:rsidR="009845F3" w:rsidRPr="00E6515F">
        <w:rPr>
          <w:lang w:val="nl-BE"/>
        </w:rPr>
        <w:t>20</w:t>
      </w:r>
      <w:r w:rsidR="002859D7" w:rsidRPr="00E6515F">
        <w:rPr>
          <w:lang w:val="nl-BE"/>
        </w:rPr>
        <w:t>13.</w:t>
      </w:r>
      <w:r w:rsidRPr="00E6515F">
        <w:rPr>
          <w:lang w:val="nl-BE"/>
        </w:rPr>
        <w:t xml:space="preserve"> </w:t>
      </w:r>
      <w:r w:rsidR="00FA2F50">
        <w:rPr>
          <w:lang w:val="nl-BE"/>
        </w:rPr>
        <w:t>Daa</w:t>
      </w:r>
      <w:r w:rsidR="00FA2F50" w:rsidRPr="00E6515F">
        <w:rPr>
          <w:lang w:val="nl-BE"/>
        </w:rPr>
        <w:t xml:space="preserve">rvoor </w:t>
      </w:r>
      <w:r w:rsidRPr="00E6515F">
        <w:rPr>
          <w:lang w:val="nl-BE"/>
        </w:rPr>
        <w:t xml:space="preserve">zijn een aantal mogelijke verklaringen: </w:t>
      </w:r>
    </w:p>
    <w:p w:rsidR="0055599A" w:rsidRPr="00E6515F" w:rsidRDefault="0055599A" w:rsidP="0055599A">
      <w:pPr>
        <w:pStyle w:val="Lijstalinea"/>
        <w:numPr>
          <w:ilvl w:val="0"/>
          <w:numId w:val="11"/>
        </w:numPr>
        <w:jc w:val="both"/>
        <w:rPr>
          <w:lang w:val="nl-BE"/>
        </w:rPr>
      </w:pPr>
      <w:r w:rsidRPr="00E6515F">
        <w:rPr>
          <w:lang w:val="nl-BE"/>
        </w:rPr>
        <w:t xml:space="preserve">Een aantal mensen die vóór de transitie </w:t>
      </w:r>
      <w:r w:rsidR="00FA2F50">
        <w:rPr>
          <w:lang w:val="nl-BE"/>
        </w:rPr>
        <w:t>zorg in natura</w:t>
      </w:r>
      <w:r w:rsidR="00FA2F50" w:rsidRPr="00E6515F">
        <w:rPr>
          <w:lang w:val="nl-BE"/>
        </w:rPr>
        <w:t xml:space="preserve"> </w:t>
      </w:r>
      <w:r w:rsidRPr="00E6515F">
        <w:rPr>
          <w:lang w:val="nl-BE"/>
        </w:rPr>
        <w:t xml:space="preserve">onder </w:t>
      </w:r>
      <w:r w:rsidR="00FA2F50">
        <w:rPr>
          <w:lang w:val="nl-BE"/>
        </w:rPr>
        <w:t>niet-</w:t>
      </w:r>
      <w:r w:rsidR="00DD02E4">
        <w:rPr>
          <w:lang w:val="nl-BE"/>
        </w:rPr>
        <w:t>rechtstreeks toegankelijke hulp</w:t>
      </w:r>
      <w:r w:rsidRPr="00E6515F">
        <w:rPr>
          <w:lang w:val="nl-BE"/>
        </w:rPr>
        <w:t xml:space="preserve"> vielen, zijn in de transitie omgezet naar </w:t>
      </w:r>
      <w:r w:rsidR="00DD02E4">
        <w:rPr>
          <w:lang w:val="nl-BE"/>
        </w:rPr>
        <w:t>rechtstreeks toegankelijke hulp</w:t>
      </w:r>
      <w:r w:rsidRPr="00E6515F">
        <w:rPr>
          <w:lang w:val="nl-BE"/>
        </w:rPr>
        <w:t xml:space="preserve">, als zij in de berekeningstool een gewicht hadden lager dan 2. </w:t>
      </w:r>
      <w:r w:rsidR="00FA2F50" w:rsidRPr="00E6515F">
        <w:rPr>
          <w:lang w:val="nl-BE"/>
        </w:rPr>
        <w:t>D</w:t>
      </w:r>
      <w:r w:rsidR="00FA2F50">
        <w:rPr>
          <w:lang w:val="nl-BE"/>
        </w:rPr>
        <w:t>a</w:t>
      </w:r>
      <w:r w:rsidR="00FA2F50" w:rsidRPr="00E6515F">
        <w:rPr>
          <w:lang w:val="nl-BE"/>
        </w:rPr>
        <w:t xml:space="preserve">t </w:t>
      </w:r>
      <w:r w:rsidRPr="00E6515F">
        <w:rPr>
          <w:lang w:val="nl-BE"/>
        </w:rPr>
        <w:t xml:space="preserve">is bijvoorbeeld het geval bij mensen die gebruik maakten van begeleid werken. </w:t>
      </w:r>
      <w:r w:rsidR="00FA2F50" w:rsidRPr="00E6515F">
        <w:rPr>
          <w:lang w:val="nl-BE"/>
        </w:rPr>
        <w:t>D</w:t>
      </w:r>
      <w:r w:rsidR="00FA2F50">
        <w:rPr>
          <w:lang w:val="nl-BE"/>
        </w:rPr>
        <w:t>ie</w:t>
      </w:r>
      <w:r w:rsidR="00FA2F50" w:rsidRPr="00E6515F">
        <w:rPr>
          <w:lang w:val="nl-BE"/>
        </w:rPr>
        <w:t xml:space="preserve"> </w:t>
      </w:r>
      <w:r w:rsidRPr="00E6515F">
        <w:rPr>
          <w:lang w:val="nl-BE"/>
        </w:rPr>
        <w:t>groep wordt in 2013 gecapteerd onder ‘</w:t>
      </w:r>
      <w:proofErr w:type="spellStart"/>
      <w:r w:rsidRPr="00E6515F">
        <w:rPr>
          <w:lang w:val="nl-BE"/>
        </w:rPr>
        <w:t>dagondersteuning</w:t>
      </w:r>
      <w:proofErr w:type="spellEnd"/>
      <w:r w:rsidRPr="00E6515F">
        <w:rPr>
          <w:lang w:val="nl-BE"/>
        </w:rPr>
        <w:t xml:space="preserve">’, terwijl ze in 2017 behoort tot </w:t>
      </w:r>
      <w:r w:rsidR="00FA2F50">
        <w:rPr>
          <w:lang w:val="nl-BE"/>
        </w:rPr>
        <w:t>’</w:t>
      </w:r>
      <w:r w:rsidR="00DD02E4">
        <w:rPr>
          <w:lang w:val="nl-BE"/>
        </w:rPr>
        <w:t>rechtstreeks toegankelijke hulp</w:t>
      </w:r>
      <w:r w:rsidR="00FA2F50">
        <w:rPr>
          <w:lang w:val="nl-BE"/>
        </w:rPr>
        <w:t>’</w:t>
      </w:r>
      <w:r w:rsidRPr="00E6515F">
        <w:rPr>
          <w:lang w:val="nl-BE"/>
        </w:rPr>
        <w:t xml:space="preserve">. Vandaar de daling in </w:t>
      </w:r>
      <w:proofErr w:type="spellStart"/>
      <w:r w:rsidRPr="00E6515F">
        <w:rPr>
          <w:lang w:val="nl-BE"/>
        </w:rPr>
        <w:t>dagondersteuning</w:t>
      </w:r>
      <w:proofErr w:type="spellEnd"/>
      <w:r w:rsidRPr="00E6515F">
        <w:rPr>
          <w:lang w:val="nl-BE"/>
        </w:rPr>
        <w:t xml:space="preserve"> tussen 2013 en 2017. </w:t>
      </w:r>
    </w:p>
    <w:p w:rsidR="009C7126" w:rsidRPr="00E6515F" w:rsidRDefault="0055599A" w:rsidP="007B134C">
      <w:pPr>
        <w:pStyle w:val="Lijstalinea"/>
        <w:numPr>
          <w:ilvl w:val="0"/>
          <w:numId w:val="11"/>
        </w:numPr>
        <w:jc w:val="both"/>
        <w:rPr>
          <w:lang w:val="nl-BE"/>
        </w:rPr>
      </w:pPr>
      <w:r w:rsidRPr="00E6515F">
        <w:rPr>
          <w:lang w:val="nl-BE"/>
        </w:rPr>
        <w:lastRenderedPageBreak/>
        <w:t>Vervolgens worden mensen</w:t>
      </w:r>
      <w:r w:rsidR="009C7126" w:rsidRPr="00E6515F">
        <w:rPr>
          <w:lang w:val="nl-BE"/>
        </w:rPr>
        <w:t xml:space="preserve"> die enkel gebruik maken van kortverblijf niet meegerekend, omdat </w:t>
      </w:r>
      <w:r w:rsidR="00FA2F50" w:rsidRPr="00E6515F">
        <w:rPr>
          <w:lang w:val="nl-BE"/>
        </w:rPr>
        <w:t>d</w:t>
      </w:r>
      <w:r w:rsidR="00FA2F50">
        <w:rPr>
          <w:lang w:val="nl-BE"/>
        </w:rPr>
        <w:t>ie</w:t>
      </w:r>
      <w:r w:rsidR="00FA2F50" w:rsidRPr="00E6515F">
        <w:rPr>
          <w:lang w:val="nl-BE"/>
        </w:rPr>
        <w:t xml:space="preserve"> </w:t>
      </w:r>
      <w:r w:rsidR="009C7126" w:rsidRPr="00E6515F">
        <w:rPr>
          <w:lang w:val="nl-BE"/>
        </w:rPr>
        <w:t xml:space="preserve">cijfers moeilijk </w:t>
      </w:r>
      <w:proofErr w:type="spellStart"/>
      <w:r w:rsidR="009C7126" w:rsidRPr="00E6515F">
        <w:rPr>
          <w:lang w:val="nl-BE"/>
        </w:rPr>
        <w:t>rapporteerbaar</w:t>
      </w:r>
      <w:proofErr w:type="spellEnd"/>
      <w:r w:rsidR="009C7126" w:rsidRPr="00E6515F">
        <w:rPr>
          <w:lang w:val="nl-BE"/>
        </w:rPr>
        <w:t xml:space="preserve"> zijn, omwille van de flexibele registratiemogelijkheden van </w:t>
      </w:r>
      <w:r w:rsidR="00FA2F50" w:rsidRPr="00E6515F">
        <w:rPr>
          <w:lang w:val="nl-BE"/>
        </w:rPr>
        <w:t>d</w:t>
      </w:r>
      <w:r w:rsidR="00FA2F50">
        <w:rPr>
          <w:lang w:val="nl-BE"/>
        </w:rPr>
        <w:t>ie</w:t>
      </w:r>
      <w:r w:rsidR="00FA2F50" w:rsidRPr="00E6515F">
        <w:rPr>
          <w:lang w:val="nl-BE"/>
        </w:rPr>
        <w:t xml:space="preserve"> </w:t>
      </w:r>
      <w:r w:rsidR="009C7126" w:rsidRPr="00E6515F">
        <w:rPr>
          <w:lang w:val="nl-BE"/>
        </w:rPr>
        <w:t>ondersteuningsfunctie. Ook in 2017</w:t>
      </w:r>
      <w:r w:rsidRPr="00E6515F">
        <w:rPr>
          <w:lang w:val="nl-BE"/>
        </w:rPr>
        <w:t xml:space="preserve"> werden mensen met een voucher</w:t>
      </w:r>
      <w:r w:rsidR="009C7126" w:rsidRPr="00E6515F">
        <w:rPr>
          <w:lang w:val="nl-BE"/>
        </w:rPr>
        <w:t xml:space="preserve"> met frequenties van ondersteuning die overeenkomen met kortdurende begeleiding niet meegerekend. Wie echter omgezet werd in de transitie </w:t>
      </w:r>
      <w:r w:rsidR="00FA2F50">
        <w:rPr>
          <w:lang w:val="nl-BE"/>
        </w:rPr>
        <w:t>zorg in natura</w:t>
      </w:r>
      <w:r w:rsidR="00FA2F50" w:rsidRPr="00E6515F">
        <w:rPr>
          <w:lang w:val="nl-BE"/>
        </w:rPr>
        <w:t xml:space="preserve"> </w:t>
      </w:r>
      <w:r w:rsidR="009C7126" w:rsidRPr="00E6515F">
        <w:rPr>
          <w:lang w:val="nl-BE"/>
        </w:rPr>
        <w:t xml:space="preserve">met kortdurende begeleiding naar </w:t>
      </w:r>
      <w:r w:rsidR="00DD02E4">
        <w:rPr>
          <w:lang w:val="nl-BE"/>
        </w:rPr>
        <w:t>rechtstreeks toegankelijke hulp</w:t>
      </w:r>
      <w:r w:rsidR="009C7126" w:rsidRPr="00E6515F">
        <w:rPr>
          <w:lang w:val="nl-BE"/>
        </w:rPr>
        <w:t xml:space="preserve">, wordt wel meegerekend bij </w:t>
      </w:r>
      <w:r w:rsidR="00DD02E4">
        <w:rPr>
          <w:lang w:val="nl-BE"/>
        </w:rPr>
        <w:t>rechtstreeks toegankelijke hulp</w:t>
      </w:r>
      <w:r w:rsidR="009C7126" w:rsidRPr="00E6515F">
        <w:rPr>
          <w:lang w:val="nl-BE"/>
        </w:rPr>
        <w:t xml:space="preserve">. </w:t>
      </w:r>
      <w:r w:rsidR="00FA2F50" w:rsidRPr="00E6515F">
        <w:rPr>
          <w:lang w:val="nl-BE"/>
        </w:rPr>
        <w:t>D</w:t>
      </w:r>
      <w:r w:rsidR="00FA2F50">
        <w:rPr>
          <w:lang w:val="nl-BE"/>
        </w:rPr>
        <w:t>a</w:t>
      </w:r>
      <w:r w:rsidR="00FA2F50" w:rsidRPr="00E6515F">
        <w:rPr>
          <w:lang w:val="nl-BE"/>
        </w:rPr>
        <w:t xml:space="preserve">t </w:t>
      </w:r>
      <w:r w:rsidR="009C7126" w:rsidRPr="00E6515F">
        <w:rPr>
          <w:lang w:val="nl-BE"/>
        </w:rPr>
        <w:t xml:space="preserve">is </w:t>
      </w:r>
      <w:r w:rsidR="00FA2F50">
        <w:rPr>
          <w:lang w:val="nl-BE"/>
        </w:rPr>
        <w:t>ee</w:t>
      </w:r>
      <w:r w:rsidR="00FA2F50" w:rsidRPr="00E6515F">
        <w:rPr>
          <w:lang w:val="nl-BE"/>
        </w:rPr>
        <w:t xml:space="preserve">n </w:t>
      </w:r>
      <w:r w:rsidR="009C7126" w:rsidRPr="00E6515F">
        <w:rPr>
          <w:lang w:val="nl-BE"/>
        </w:rPr>
        <w:t xml:space="preserve">van de verklaringen voor de stijging in het aantal personen dat ondersteund wordt via </w:t>
      </w:r>
      <w:r w:rsidR="00DD02E4">
        <w:rPr>
          <w:lang w:val="nl-BE"/>
        </w:rPr>
        <w:t>rechtstreeks toegankelijke hulp</w:t>
      </w:r>
      <w:r w:rsidR="009C7126" w:rsidRPr="00E6515F">
        <w:rPr>
          <w:lang w:val="nl-BE"/>
        </w:rPr>
        <w:t xml:space="preserve">. </w:t>
      </w:r>
    </w:p>
    <w:p w:rsidR="00FA2F50" w:rsidRDefault="00FA2F50" w:rsidP="0055599A">
      <w:pPr>
        <w:jc w:val="both"/>
        <w:rPr>
          <w:lang w:val="nl-BE"/>
        </w:rPr>
      </w:pPr>
    </w:p>
    <w:p w:rsidR="0055599A" w:rsidRPr="00E6515F" w:rsidRDefault="00FA2F50" w:rsidP="0055599A">
      <w:pPr>
        <w:jc w:val="both"/>
        <w:rPr>
          <w:lang w:val="nl-BE"/>
        </w:rPr>
      </w:pPr>
      <w:r w:rsidRPr="00E6515F">
        <w:rPr>
          <w:lang w:val="nl-BE"/>
        </w:rPr>
        <w:t>De</w:t>
      </w:r>
      <w:r>
        <w:rPr>
          <w:lang w:val="nl-BE"/>
        </w:rPr>
        <w:t xml:space="preserve"> beschreven</w:t>
      </w:r>
      <w:r w:rsidRPr="00E6515F">
        <w:rPr>
          <w:lang w:val="nl-BE"/>
        </w:rPr>
        <w:t xml:space="preserve"> </w:t>
      </w:r>
      <w:r w:rsidR="0055599A" w:rsidRPr="00E6515F">
        <w:rPr>
          <w:lang w:val="nl-BE"/>
        </w:rPr>
        <w:t>effecten zijn het gevolg van het feit dat er een systeemshift geweest is tussen 2008 en 2017. Ondanks de gebruikte methodieken om de referentiejaren vergelijkbaar te maken ten opzicht</w:t>
      </w:r>
      <w:r w:rsidR="00FF60A4">
        <w:rPr>
          <w:lang w:val="nl-BE"/>
        </w:rPr>
        <w:t>e</w:t>
      </w:r>
      <w:r w:rsidR="0055599A" w:rsidRPr="00E6515F">
        <w:rPr>
          <w:lang w:val="nl-BE"/>
        </w:rPr>
        <w:t xml:space="preserve"> van elkaar, blijft de vergelijking moeilijk. </w:t>
      </w:r>
      <w:r w:rsidR="002F16DD" w:rsidRPr="00E6515F">
        <w:rPr>
          <w:lang w:val="nl-BE"/>
        </w:rPr>
        <w:t xml:space="preserve">Bepaalde types van zorg vallen niet altijd meer onder dezelfde noemer. </w:t>
      </w:r>
      <w:r w:rsidRPr="00E6515F">
        <w:rPr>
          <w:lang w:val="nl-BE"/>
        </w:rPr>
        <w:t>D</w:t>
      </w:r>
      <w:r>
        <w:rPr>
          <w:lang w:val="nl-BE"/>
        </w:rPr>
        <w:t>a</w:t>
      </w:r>
      <w:r w:rsidRPr="00E6515F">
        <w:rPr>
          <w:lang w:val="nl-BE"/>
        </w:rPr>
        <w:t xml:space="preserve">t </w:t>
      </w:r>
      <w:r w:rsidR="002F16DD" w:rsidRPr="00E6515F">
        <w:rPr>
          <w:lang w:val="nl-BE"/>
        </w:rPr>
        <w:t>zorg</w:t>
      </w:r>
      <w:r w:rsidR="007B134C" w:rsidRPr="00E6515F">
        <w:rPr>
          <w:lang w:val="nl-BE"/>
        </w:rPr>
        <w:t>t</w:t>
      </w:r>
      <w:r w:rsidR="002F16DD" w:rsidRPr="00E6515F">
        <w:rPr>
          <w:lang w:val="nl-BE"/>
        </w:rPr>
        <w:t xml:space="preserve"> ervoor dat verschuivingen niet altijd per </w:t>
      </w:r>
      <w:r w:rsidRPr="00E6515F">
        <w:rPr>
          <w:lang w:val="nl-BE"/>
        </w:rPr>
        <w:t>s</w:t>
      </w:r>
      <w:r>
        <w:rPr>
          <w:lang w:val="nl-BE"/>
        </w:rPr>
        <w:t>e</w:t>
      </w:r>
      <w:r w:rsidRPr="00E6515F">
        <w:rPr>
          <w:lang w:val="nl-BE"/>
        </w:rPr>
        <w:t xml:space="preserve"> </w:t>
      </w:r>
      <w:r w:rsidR="002F16DD" w:rsidRPr="00E6515F">
        <w:rPr>
          <w:lang w:val="nl-BE"/>
        </w:rPr>
        <w:t>betekenisvol zijn.</w:t>
      </w:r>
    </w:p>
    <w:p w:rsidR="009C7126" w:rsidRPr="00E6515F" w:rsidRDefault="009C7126">
      <w:pPr>
        <w:jc w:val="both"/>
        <w:rPr>
          <w:lang w:val="nl-BE"/>
        </w:rPr>
      </w:pPr>
    </w:p>
    <w:p w:rsidR="00CD1B8C" w:rsidRPr="00E6515F" w:rsidRDefault="002859D7">
      <w:pPr>
        <w:jc w:val="both"/>
        <w:rPr>
          <w:lang w:val="nl-BE"/>
        </w:rPr>
      </w:pPr>
      <w:r w:rsidRPr="00E6515F">
        <w:rPr>
          <w:lang w:val="nl-BE"/>
        </w:rPr>
        <w:t xml:space="preserve">In </w:t>
      </w:r>
      <w:r w:rsidR="00914AD8" w:rsidRPr="00E6515F">
        <w:rPr>
          <w:lang w:val="nl-BE"/>
        </w:rPr>
        <w:t xml:space="preserve">2008 en 2013 kon </w:t>
      </w:r>
      <w:r w:rsidR="00DD02E4">
        <w:rPr>
          <w:lang w:val="nl-BE"/>
        </w:rPr>
        <w:t>persoonlijke-assistentiebudget</w:t>
      </w:r>
      <w:r w:rsidR="00914AD8" w:rsidRPr="00E6515F">
        <w:rPr>
          <w:lang w:val="nl-BE"/>
        </w:rPr>
        <w:t xml:space="preserve"> en </w:t>
      </w:r>
      <w:r w:rsidR="00DD02E4">
        <w:rPr>
          <w:lang w:val="nl-BE"/>
        </w:rPr>
        <w:t>persoonlijke-assistentiebudget</w:t>
      </w:r>
      <w:r w:rsidR="00914AD8" w:rsidRPr="00E6515F">
        <w:rPr>
          <w:lang w:val="nl-BE"/>
        </w:rPr>
        <w:t xml:space="preserve"> + </w:t>
      </w:r>
      <w:proofErr w:type="spellStart"/>
      <w:r w:rsidR="00914AD8" w:rsidRPr="00E6515F">
        <w:rPr>
          <w:lang w:val="nl-BE"/>
        </w:rPr>
        <w:t>dagondersteuning</w:t>
      </w:r>
      <w:proofErr w:type="spellEnd"/>
      <w:r w:rsidRPr="00E6515F">
        <w:rPr>
          <w:lang w:val="nl-BE"/>
        </w:rPr>
        <w:t xml:space="preserve"> gebruikt worden door zowel minderjarigen als meerderjarigen. In de transitie </w:t>
      </w:r>
      <w:r w:rsidR="00FA2F50">
        <w:rPr>
          <w:lang w:val="nl-BE"/>
        </w:rPr>
        <w:t>naar persoonsvolgende financiering</w:t>
      </w:r>
      <w:r w:rsidR="00FA2F50" w:rsidRPr="00E6515F">
        <w:rPr>
          <w:lang w:val="nl-BE"/>
        </w:rPr>
        <w:t xml:space="preserve"> </w:t>
      </w:r>
      <w:r w:rsidRPr="00E6515F">
        <w:rPr>
          <w:lang w:val="nl-BE"/>
        </w:rPr>
        <w:t xml:space="preserve">is het </w:t>
      </w:r>
      <w:r w:rsidR="00DD02E4">
        <w:rPr>
          <w:lang w:val="nl-BE"/>
        </w:rPr>
        <w:t>persoonlijke-assistentiebudget</w:t>
      </w:r>
      <w:r w:rsidRPr="00E6515F">
        <w:rPr>
          <w:lang w:val="nl-BE"/>
        </w:rPr>
        <w:t xml:space="preserve"> van meerderjarigen omgezet naar een persoonsvolgend budget. In 2017 zijn de personen die gebruik maken van </w:t>
      </w:r>
      <w:r w:rsidR="00DD02E4">
        <w:rPr>
          <w:lang w:val="nl-BE"/>
        </w:rPr>
        <w:t>persoonlijke-assistentiebudget</w:t>
      </w:r>
      <w:r w:rsidRPr="00E6515F">
        <w:rPr>
          <w:lang w:val="nl-BE"/>
        </w:rPr>
        <w:t xml:space="preserve"> dus allen minderjarigen (-21 j</w:t>
      </w:r>
      <w:r w:rsidR="00FA2F50">
        <w:rPr>
          <w:lang w:val="nl-BE"/>
        </w:rPr>
        <w:t>aar</w:t>
      </w:r>
      <w:r w:rsidRPr="00E6515F">
        <w:rPr>
          <w:lang w:val="nl-BE"/>
        </w:rPr>
        <w:t xml:space="preserve">). Vandaar dat er een daling is in het aantal personen dat van </w:t>
      </w:r>
      <w:r w:rsidR="00FA2F50" w:rsidRPr="00E6515F">
        <w:rPr>
          <w:lang w:val="nl-BE"/>
        </w:rPr>
        <w:t>d</w:t>
      </w:r>
      <w:r w:rsidR="00B356FD">
        <w:rPr>
          <w:lang w:val="nl-BE"/>
        </w:rPr>
        <w:t>i</w:t>
      </w:r>
      <w:r w:rsidR="00FA2F50" w:rsidRPr="00E6515F">
        <w:rPr>
          <w:lang w:val="nl-BE"/>
        </w:rPr>
        <w:t xml:space="preserve">e </w:t>
      </w:r>
      <w:r w:rsidRPr="00E6515F">
        <w:rPr>
          <w:lang w:val="nl-BE"/>
        </w:rPr>
        <w:t xml:space="preserve">functie gebruik maakt in </w:t>
      </w:r>
      <w:r w:rsidR="00627480" w:rsidRPr="00E6515F">
        <w:rPr>
          <w:lang w:val="nl-BE"/>
        </w:rPr>
        <w:t>2017</w:t>
      </w:r>
      <w:r w:rsidRPr="00E6515F">
        <w:rPr>
          <w:lang w:val="nl-BE"/>
        </w:rPr>
        <w:t xml:space="preserve"> </w:t>
      </w:r>
      <w:r w:rsidR="00FA2F50">
        <w:rPr>
          <w:lang w:val="nl-BE"/>
        </w:rPr>
        <w:t>ten opzichte van</w:t>
      </w:r>
      <w:r w:rsidR="004F792E" w:rsidRPr="00E6515F">
        <w:rPr>
          <w:lang w:val="nl-BE"/>
        </w:rPr>
        <w:t xml:space="preserve"> 20</w:t>
      </w:r>
      <w:r w:rsidRPr="00E6515F">
        <w:rPr>
          <w:lang w:val="nl-BE"/>
        </w:rPr>
        <w:t xml:space="preserve">13. Zoals te zien is in </w:t>
      </w:r>
      <w:r w:rsidR="0055599A" w:rsidRPr="00E6515F">
        <w:rPr>
          <w:lang w:val="nl-BE"/>
        </w:rPr>
        <w:fldChar w:fldCharType="begin"/>
      </w:r>
      <w:r w:rsidR="0055599A" w:rsidRPr="00E6515F">
        <w:rPr>
          <w:lang w:val="nl-BE"/>
        </w:rPr>
        <w:instrText xml:space="preserve"> REF _Ref528755893 \h </w:instrText>
      </w:r>
      <w:r w:rsidR="0055599A" w:rsidRPr="00E6515F">
        <w:rPr>
          <w:lang w:val="nl-BE"/>
        </w:rPr>
      </w:r>
      <w:r w:rsidR="0055599A" w:rsidRPr="00E6515F">
        <w:rPr>
          <w:lang w:val="nl-BE"/>
        </w:rPr>
        <w:fldChar w:fldCharType="separate"/>
      </w:r>
      <w:r w:rsidR="0062760A" w:rsidRPr="00E6515F">
        <w:rPr>
          <w:lang w:val="nl-BE"/>
        </w:rPr>
        <w:t xml:space="preserve">Tabel </w:t>
      </w:r>
      <w:r w:rsidR="0062760A">
        <w:rPr>
          <w:noProof/>
          <w:lang w:val="nl-BE"/>
        </w:rPr>
        <w:t>9</w:t>
      </w:r>
      <w:r w:rsidR="0055599A" w:rsidRPr="00E6515F">
        <w:rPr>
          <w:lang w:val="nl-BE"/>
        </w:rPr>
        <w:fldChar w:fldCharType="end"/>
      </w:r>
      <w:r w:rsidR="00FE604B" w:rsidRPr="00E6515F">
        <w:rPr>
          <w:lang w:val="nl-BE"/>
        </w:rPr>
        <w:t xml:space="preserve"> </w:t>
      </w:r>
      <w:r w:rsidR="0055599A" w:rsidRPr="00E6515F">
        <w:rPr>
          <w:lang w:val="nl-BE"/>
        </w:rPr>
        <w:t>z</w:t>
      </w:r>
      <w:r w:rsidRPr="00E6515F">
        <w:rPr>
          <w:lang w:val="nl-BE"/>
        </w:rPr>
        <w:t xml:space="preserve">ijn personen die in </w:t>
      </w:r>
      <w:r w:rsidR="00627480" w:rsidRPr="00E6515F">
        <w:rPr>
          <w:lang w:val="nl-BE"/>
        </w:rPr>
        <w:t>2008</w:t>
      </w:r>
      <w:r w:rsidRPr="00E6515F">
        <w:rPr>
          <w:lang w:val="nl-BE"/>
        </w:rPr>
        <w:t xml:space="preserve"> een </w:t>
      </w:r>
      <w:r w:rsidR="00DD02E4">
        <w:rPr>
          <w:lang w:val="nl-BE"/>
        </w:rPr>
        <w:t>persoonlijke-assistentiebudget</w:t>
      </w:r>
      <w:r w:rsidRPr="00E6515F">
        <w:rPr>
          <w:lang w:val="nl-BE"/>
        </w:rPr>
        <w:t xml:space="preserve"> hadden, en in </w:t>
      </w:r>
      <w:r w:rsidR="00627480" w:rsidRPr="00E6515F">
        <w:rPr>
          <w:lang w:val="nl-BE"/>
        </w:rPr>
        <w:t>2017</w:t>
      </w:r>
      <w:r w:rsidRPr="00E6515F">
        <w:rPr>
          <w:lang w:val="nl-BE"/>
        </w:rPr>
        <w:t xml:space="preserve"> nog steeds gebruik maken van </w:t>
      </w:r>
      <w:r w:rsidR="00627480" w:rsidRPr="00E6515F">
        <w:rPr>
          <w:lang w:val="nl-BE"/>
        </w:rPr>
        <w:t>VAPH</w:t>
      </w:r>
      <w:r w:rsidRPr="00E6515F">
        <w:rPr>
          <w:lang w:val="nl-BE"/>
        </w:rPr>
        <w:t xml:space="preserve">-ondersteuning veelal overgestapt naar een </w:t>
      </w:r>
      <w:r w:rsidR="00DD02E4">
        <w:rPr>
          <w:lang w:val="nl-BE"/>
        </w:rPr>
        <w:t>persoonsvolgend budget</w:t>
      </w:r>
      <w:r w:rsidRPr="00E6515F">
        <w:rPr>
          <w:lang w:val="nl-BE"/>
        </w:rPr>
        <w:t xml:space="preserve"> dat ingezet wordt via cash-overeenkomsten.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Personen worden enkel meegerekend onder de functie ‘cash’ als zij een </w:t>
      </w:r>
      <w:r w:rsidR="00DD02E4">
        <w:rPr>
          <w:lang w:val="nl-BE"/>
        </w:rPr>
        <w:t>persoonsvolgend budget</w:t>
      </w:r>
      <w:r w:rsidRPr="00E6515F">
        <w:rPr>
          <w:lang w:val="nl-BE"/>
        </w:rPr>
        <w:t xml:space="preserve"> hebben en </w:t>
      </w:r>
      <w:r w:rsidR="00FA2F50">
        <w:rPr>
          <w:lang w:val="nl-BE"/>
        </w:rPr>
        <w:t>dat alleen</w:t>
      </w:r>
      <w:r w:rsidRPr="00E6515F">
        <w:rPr>
          <w:lang w:val="nl-BE"/>
        </w:rPr>
        <w:t xml:space="preserve"> inzetten via cash-contracten. Wanneer er een combinatie is met andere ondersteuningsvormen, worden zij meegerekend onder de andere ondersteuningsvormen. Mensen die </w:t>
      </w:r>
      <w:r w:rsidR="00FA2F50">
        <w:rPr>
          <w:lang w:val="nl-BE"/>
        </w:rPr>
        <w:t>alleen</w:t>
      </w:r>
      <w:r w:rsidR="00FA2F50" w:rsidRPr="00E6515F">
        <w:rPr>
          <w:lang w:val="nl-BE"/>
        </w:rPr>
        <w:t xml:space="preserve"> </w:t>
      </w:r>
      <w:r w:rsidRPr="00E6515F">
        <w:rPr>
          <w:lang w:val="nl-BE"/>
        </w:rPr>
        <w:t xml:space="preserve">een vrij besteedbaar deel opgevraagd hebben, en geen andere cash-overeenkomsten hebben, worden ook niet meegerekend bij ‘cash’. </w:t>
      </w:r>
    </w:p>
    <w:p w:rsidR="00FE604B" w:rsidRPr="00E6515F" w:rsidRDefault="00FE604B">
      <w:pPr>
        <w:contextualSpacing/>
        <w:rPr>
          <w:lang w:val="nl-BE"/>
        </w:rPr>
      </w:pPr>
    </w:p>
    <w:p w:rsidR="002F0E5A" w:rsidRDefault="002F0E5A">
      <w:pPr>
        <w:rPr>
          <w:bCs/>
          <w:szCs w:val="18"/>
          <w:u w:val="single"/>
          <w:lang w:val="nl-BE"/>
        </w:rPr>
      </w:pPr>
      <w:r>
        <w:rPr>
          <w:lang w:val="nl-BE"/>
        </w:rPr>
        <w:br w:type="page"/>
      </w:r>
    </w:p>
    <w:p w:rsidR="00A179E6" w:rsidRPr="00E6515F" w:rsidRDefault="00A179E6" w:rsidP="00A179E6">
      <w:pPr>
        <w:pStyle w:val="Bijschrift"/>
        <w:keepNex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4</w:t>
      </w:r>
      <w:r w:rsidRPr="00E6515F">
        <w:rPr>
          <w:lang w:val="nl-BE"/>
        </w:rPr>
        <w:fldChar w:fldCharType="end"/>
      </w:r>
      <w:r w:rsidRPr="00E6515F">
        <w:rPr>
          <w:lang w:val="nl-BE"/>
        </w:rPr>
        <w:t xml:space="preserve">: Overzicht </w:t>
      </w:r>
      <w:r w:rsidR="00FA2F50">
        <w:rPr>
          <w:lang w:val="nl-BE"/>
        </w:rPr>
        <w:t xml:space="preserve">van het </w:t>
      </w:r>
      <w:r w:rsidRPr="00E6515F">
        <w:rPr>
          <w:lang w:val="nl-BE"/>
        </w:rPr>
        <w:t xml:space="preserve">aantal </w:t>
      </w:r>
      <w:r w:rsidR="00FA2F50">
        <w:rPr>
          <w:lang w:val="nl-BE"/>
        </w:rPr>
        <w:t xml:space="preserve">gebruikers van RTH en </w:t>
      </w:r>
      <w:proofErr w:type="spellStart"/>
      <w:r w:rsidR="00FA2F50">
        <w:rPr>
          <w:lang w:val="nl-BE"/>
        </w:rPr>
        <w:t>nRTH</w:t>
      </w:r>
      <w:proofErr w:type="spellEnd"/>
      <w:r w:rsidR="00FA2F50" w:rsidRPr="00E6515F">
        <w:rPr>
          <w:lang w:val="nl-BE"/>
        </w:rPr>
        <w:t xml:space="preserve"> </w:t>
      </w:r>
      <w:r w:rsidRPr="00E6515F">
        <w:rPr>
          <w:lang w:val="nl-BE"/>
        </w:rPr>
        <w:t>per leeftijdscategorie per jaar</w:t>
      </w:r>
    </w:p>
    <w:tbl>
      <w:tblPr>
        <w:tblStyle w:val="aa"/>
        <w:tblW w:w="7596"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154"/>
        <w:gridCol w:w="1814"/>
        <w:gridCol w:w="1814"/>
        <w:gridCol w:w="1814"/>
      </w:tblGrid>
      <w:tr w:rsidR="00CD1B8C" w:rsidRPr="00E6515F">
        <w:tc>
          <w:tcPr>
            <w:tcW w:w="2154"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Leeftijdscategorie</w:t>
            </w:r>
          </w:p>
        </w:tc>
        <w:tc>
          <w:tcPr>
            <w:tcW w:w="181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2008</w:t>
            </w:r>
          </w:p>
        </w:tc>
        <w:tc>
          <w:tcPr>
            <w:tcW w:w="181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2013</w:t>
            </w:r>
          </w:p>
        </w:tc>
        <w:tc>
          <w:tcPr>
            <w:tcW w:w="181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2017</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0 </w:t>
            </w:r>
            <w:r w:rsidR="00380DEB">
              <w:rPr>
                <w:b/>
                <w:sz w:val="20"/>
                <w:szCs w:val="20"/>
                <w:lang w:val="nl-BE"/>
              </w:rPr>
              <w:t xml:space="preserve">t/m </w:t>
            </w:r>
            <w:r w:rsidRPr="00E6515F">
              <w:rPr>
                <w:b/>
                <w:sz w:val="20"/>
                <w:szCs w:val="20"/>
                <w:lang w:val="nl-BE"/>
              </w:rPr>
              <w:t>6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3.968</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4.753</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5.955</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7 </w:t>
            </w:r>
            <w:r w:rsidR="00380DEB">
              <w:rPr>
                <w:b/>
                <w:sz w:val="20"/>
                <w:szCs w:val="20"/>
                <w:lang w:val="nl-BE"/>
              </w:rPr>
              <w:t xml:space="preserve">t/m </w:t>
            </w:r>
            <w:r w:rsidRPr="00E6515F">
              <w:rPr>
                <w:b/>
                <w:sz w:val="20"/>
                <w:szCs w:val="20"/>
                <w:lang w:val="nl-BE"/>
              </w:rPr>
              <w:t>12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5.709</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6.246</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8.063</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13 </w:t>
            </w:r>
            <w:r w:rsidR="00380DEB">
              <w:rPr>
                <w:b/>
                <w:sz w:val="20"/>
                <w:szCs w:val="20"/>
                <w:lang w:val="nl-BE"/>
              </w:rPr>
              <w:t xml:space="preserve">t/m </w:t>
            </w:r>
            <w:r w:rsidRPr="00E6515F">
              <w:rPr>
                <w:b/>
                <w:sz w:val="20"/>
                <w:szCs w:val="20"/>
                <w:lang w:val="nl-BE"/>
              </w:rPr>
              <w:t>17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4.755</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5.447</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6.365</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1.630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2.210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2.903</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2.396</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3.031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4.200</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4.969</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5.560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6.921</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5.790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5.815</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6.648</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5.076</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6.761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7.942</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FA2F50">
              <w:rPr>
                <w:b/>
                <w:sz w:val="20"/>
                <w:szCs w:val="20"/>
                <w:lang w:val="nl-BE"/>
              </w:rPr>
              <w:t xml:space="preserve"> </w:t>
            </w:r>
            <w:r w:rsidRPr="00E6515F">
              <w:rPr>
                <w:b/>
                <w:sz w:val="20"/>
                <w:szCs w:val="20"/>
                <w:lang w:val="nl-BE"/>
              </w:rPr>
              <w:t>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2.530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4.090</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5.936</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+65 j</w:t>
            </w:r>
            <w:r w:rsidR="00FA2F50">
              <w:rPr>
                <w:b/>
                <w:sz w:val="20"/>
                <w:szCs w:val="20"/>
                <w:lang w:val="nl-BE"/>
              </w:rPr>
              <w:t>.</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1.018</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1.558</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2.777</w:t>
            </w:r>
          </w:p>
        </w:tc>
      </w:tr>
      <w:tr w:rsidR="00CD1B8C" w:rsidRPr="00E6515F">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37.841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45.471</w:t>
            </w:r>
          </w:p>
        </w:tc>
        <w:tc>
          <w:tcPr>
            <w:tcW w:w="181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57.710</w:t>
            </w:r>
          </w:p>
        </w:tc>
      </w:tr>
    </w:tbl>
    <w:p w:rsidR="00CD1B8C" w:rsidRPr="00E6515F" w:rsidRDefault="00CD1B8C">
      <w:pPr>
        <w:rPr>
          <w:lang w:val="nl-BE"/>
        </w:rPr>
      </w:pPr>
    </w:p>
    <w:p w:rsidR="00CD1B8C" w:rsidRPr="00E6515F" w:rsidRDefault="002859D7">
      <w:pPr>
        <w:rPr>
          <w:lang w:val="nl-BE"/>
        </w:rPr>
      </w:pPr>
      <w:r w:rsidRPr="00E6515F">
        <w:rPr>
          <w:lang w:val="nl-BE"/>
        </w:rPr>
        <w:t xml:space="preserve">In </w:t>
      </w:r>
      <w:r w:rsidR="0002369D">
        <w:rPr>
          <w:lang w:val="nl-BE"/>
        </w:rPr>
        <w:t xml:space="preserve">de </w:t>
      </w:r>
      <w:r w:rsidRPr="00E6515F">
        <w:rPr>
          <w:lang w:val="nl-BE"/>
        </w:rPr>
        <w:t xml:space="preserve">bovenstaande tabel wordt het aantal personen dat ondersteund wordt door het </w:t>
      </w:r>
      <w:r w:rsidR="00627480" w:rsidRPr="00E6515F">
        <w:rPr>
          <w:lang w:val="nl-BE"/>
        </w:rPr>
        <w:t>VAPH</w:t>
      </w:r>
      <w:r w:rsidRPr="00E6515F">
        <w:rPr>
          <w:lang w:val="nl-BE"/>
        </w:rPr>
        <w:t xml:space="preserve"> per leeftijdscategorie weergegeven voor </w:t>
      </w:r>
      <w:r w:rsidR="00627480" w:rsidRPr="00E6515F">
        <w:rPr>
          <w:lang w:val="nl-BE"/>
        </w:rPr>
        <w:t>2008</w:t>
      </w:r>
      <w:r w:rsidRPr="00E6515F">
        <w:rPr>
          <w:lang w:val="nl-BE"/>
        </w:rPr>
        <w:t xml:space="preserve">, </w:t>
      </w:r>
      <w:r w:rsidR="00A14A44" w:rsidRPr="00E6515F">
        <w:rPr>
          <w:lang w:val="nl-BE"/>
        </w:rPr>
        <w:t>2013</w:t>
      </w:r>
      <w:r w:rsidRPr="00E6515F">
        <w:rPr>
          <w:lang w:val="nl-BE"/>
        </w:rPr>
        <w:t xml:space="preserve"> en </w:t>
      </w:r>
      <w:r w:rsidR="00627480" w:rsidRPr="00E6515F">
        <w:rPr>
          <w:lang w:val="nl-BE"/>
        </w:rPr>
        <w:t>2017</w:t>
      </w:r>
      <w:r w:rsidRPr="00E6515F">
        <w:rPr>
          <w:lang w:val="nl-BE"/>
        </w:rPr>
        <w:t xml:space="preserve">. </w:t>
      </w:r>
    </w:p>
    <w:p w:rsidR="00CD1B8C" w:rsidRPr="00E6515F" w:rsidRDefault="00CD1B8C">
      <w:pPr>
        <w:contextualSpacing/>
        <w:rPr>
          <w:lang w:val="nl-BE"/>
        </w:rPr>
      </w:pPr>
    </w:p>
    <w:p w:rsidR="00A179E6" w:rsidRPr="00E6515F" w:rsidRDefault="00A179E6" w:rsidP="00A179E6">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5</w:t>
      </w:r>
      <w:r w:rsidRPr="00E6515F">
        <w:rPr>
          <w:lang w:val="nl-BE"/>
        </w:rPr>
        <w:fldChar w:fldCharType="end"/>
      </w:r>
      <w:r w:rsidRPr="00E6515F">
        <w:rPr>
          <w:lang w:val="nl-BE"/>
        </w:rPr>
        <w:t>: Overzicht van het aantal instromer</w:t>
      </w:r>
      <w:r w:rsidR="007B134C" w:rsidRPr="00E6515F">
        <w:rPr>
          <w:lang w:val="nl-BE"/>
        </w:rPr>
        <w:t>s</w:t>
      </w:r>
      <w:r w:rsidRPr="00E6515F">
        <w:rPr>
          <w:lang w:val="nl-BE"/>
        </w:rPr>
        <w:t xml:space="preserve">, </w:t>
      </w:r>
      <w:proofErr w:type="spellStart"/>
      <w:r w:rsidRPr="00E6515F">
        <w:rPr>
          <w:lang w:val="nl-BE"/>
        </w:rPr>
        <w:t>uitstromers</w:t>
      </w:r>
      <w:proofErr w:type="spellEnd"/>
      <w:r w:rsidRPr="00E6515F">
        <w:rPr>
          <w:lang w:val="nl-BE"/>
        </w:rPr>
        <w:t xml:space="preserve"> en doorstromers tussen 31</w:t>
      </w:r>
      <w:r w:rsidR="0002369D">
        <w:rPr>
          <w:lang w:val="nl-BE"/>
        </w:rPr>
        <w:t>.</w:t>
      </w:r>
      <w:r w:rsidRPr="00E6515F">
        <w:rPr>
          <w:lang w:val="nl-BE"/>
        </w:rPr>
        <w:t>12</w:t>
      </w:r>
      <w:r w:rsidR="0002369D">
        <w:rPr>
          <w:lang w:val="nl-BE"/>
        </w:rPr>
        <w:t>.</w:t>
      </w:r>
      <w:r w:rsidRPr="00E6515F">
        <w:rPr>
          <w:lang w:val="nl-BE"/>
        </w:rPr>
        <w:t>2008 en 31</w:t>
      </w:r>
      <w:r w:rsidR="0002369D">
        <w:rPr>
          <w:lang w:val="nl-BE"/>
        </w:rPr>
        <w:t>.</w:t>
      </w:r>
      <w:r w:rsidRPr="00E6515F">
        <w:rPr>
          <w:lang w:val="nl-BE"/>
        </w:rPr>
        <w:t>12</w:t>
      </w:r>
      <w:r w:rsidR="0002369D">
        <w:rPr>
          <w:lang w:val="nl-BE"/>
        </w:rPr>
        <w:t>.</w:t>
      </w:r>
      <w:r w:rsidRPr="00E6515F">
        <w:rPr>
          <w:lang w:val="nl-BE"/>
        </w:rPr>
        <w:t>2017 (unieke personen)</w:t>
      </w:r>
    </w:p>
    <w:tbl>
      <w:tblPr>
        <w:tblStyle w:val="ab"/>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75"/>
        <w:gridCol w:w="2475"/>
        <w:gridCol w:w="2565"/>
        <w:gridCol w:w="1020"/>
      </w:tblGrid>
      <w:tr w:rsidR="00CD1B8C" w:rsidRPr="00E6515F">
        <w:trPr>
          <w:trHeight w:val="560"/>
        </w:trPr>
        <w:tc>
          <w:tcPr>
            <w:tcW w:w="277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pBdr>
                <w:top w:val="nil"/>
                <w:left w:val="nil"/>
                <w:bottom w:val="nil"/>
                <w:right w:val="nil"/>
                <w:between w:val="nil"/>
              </w:pBdr>
              <w:rPr>
                <w:b/>
                <w:sz w:val="20"/>
                <w:szCs w:val="20"/>
                <w:lang w:val="nl-BE"/>
              </w:rPr>
            </w:pPr>
            <w:r w:rsidRPr="00E6515F">
              <w:rPr>
                <w:b/>
                <w:sz w:val="20"/>
                <w:szCs w:val="20"/>
                <w:lang w:val="nl-BE"/>
              </w:rPr>
              <w:t xml:space="preserve"> </w:t>
            </w:r>
          </w:p>
        </w:tc>
        <w:tc>
          <w:tcPr>
            <w:tcW w:w="247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8D7D83" w:rsidP="008D7D83">
            <w:pPr>
              <w:jc w:val="center"/>
              <w:rPr>
                <w:b/>
                <w:sz w:val="20"/>
                <w:szCs w:val="20"/>
                <w:lang w:val="nl-BE"/>
              </w:rPr>
            </w:pPr>
            <w:r>
              <w:rPr>
                <w:b/>
                <w:sz w:val="20"/>
                <w:szCs w:val="20"/>
                <w:lang w:val="nl-BE"/>
              </w:rPr>
              <w:t>K</w:t>
            </w:r>
            <w:r w:rsidR="0002369D" w:rsidRPr="00E6515F">
              <w:rPr>
                <w:b/>
                <w:sz w:val="20"/>
                <w:szCs w:val="20"/>
                <w:lang w:val="nl-BE"/>
              </w:rPr>
              <w:t>r</w:t>
            </w:r>
            <w:r w:rsidR="0002369D">
              <w:rPr>
                <w:b/>
                <w:sz w:val="20"/>
                <w:szCs w:val="20"/>
                <w:lang w:val="nl-BE"/>
              </w:rPr>
              <w:t>e</w:t>
            </w:r>
            <w:r w:rsidR="0002369D" w:rsidRPr="00E6515F">
              <w:rPr>
                <w:b/>
                <w:sz w:val="20"/>
                <w:szCs w:val="20"/>
                <w:lang w:val="nl-BE"/>
              </w:rPr>
              <w:t xml:space="preserve">gen </w:t>
            </w:r>
            <w:r w:rsidR="00627480" w:rsidRPr="00E6515F">
              <w:rPr>
                <w:b/>
                <w:sz w:val="20"/>
                <w:szCs w:val="20"/>
                <w:lang w:val="nl-BE"/>
              </w:rPr>
              <w:t>VAPH-</w:t>
            </w:r>
            <w:r w:rsidR="002859D7" w:rsidRPr="00E6515F">
              <w:rPr>
                <w:b/>
                <w:sz w:val="20"/>
                <w:szCs w:val="20"/>
                <w:lang w:val="nl-BE"/>
              </w:rPr>
              <w:t>ondersteuning in 2017</w:t>
            </w:r>
          </w:p>
        </w:tc>
        <w:tc>
          <w:tcPr>
            <w:tcW w:w="256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8D7D83" w:rsidP="008D7D83">
            <w:pPr>
              <w:jc w:val="center"/>
              <w:rPr>
                <w:b/>
                <w:sz w:val="20"/>
                <w:szCs w:val="20"/>
                <w:lang w:val="nl-BE"/>
              </w:rPr>
            </w:pPr>
            <w:r>
              <w:rPr>
                <w:b/>
                <w:sz w:val="20"/>
                <w:szCs w:val="20"/>
                <w:lang w:val="nl-BE"/>
              </w:rPr>
              <w:t>K</w:t>
            </w:r>
            <w:r w:rsidR="0002369D">
              <w:rPr>
                <w:b/>
                <w:sz w:val="20"/>
                <w:szCs w:val="20"/>
                <w:lang w:val="nl-BE"/>
              </w:rPr>
              <w:t>re</w:t>
            </w:r>
            <w:r w:rsidR="0002369D" w:rsidRPr="00E6515F">
              <w:rPr>
                <w:b/>
                <w:sz w:val="20"/>
                <w:szCs w:val="20"/>
                <w:lang w:val="nl-BE"/>
              </w:rPr>
              <w:t xml:space="preserve">gen </w:t>
            </w:r>
            <w:r w:rsidR="002859D7" w:rsidRPr="00E6515F">
              <w:rPr>
                <w:b/>
                <w:sz w:val="20"/>
                <w:szCs w:val="20"/>
                <w:lang w:val="nl-BE"/>
              </w:rPr>
              <w:t xml:space="preserve">geen </w:t>
            </w:r>
            <w:r w:rsidR="00627480" w:rsidRPr="00E6515F">
              <w:rPr>
                <w:b/>
                <w:sz w:val="20"/>
                <w:szCs w:val="20"/>
                <w:lang w:val="nl-BE"/>
              </w:rPr>
              <w:t>VAPH-</w:t>
            </w:r>
            <w:r w:rsidR="002859D7" w:rsidRPr="00E6515F">
              <w:rPr>
                <w:b/>
                <w:sz w:val="20"/>
                <w:szCs w:val="20"/>
                <w:lang w:val="nl-BE"/>
              </w:rPr>
              <w:t>ondersteuning in 2017</w:t>
            </w:r>
          </w:p>
        </w:tc>
        <w:tc>
          <w:tcPr>
            <w:tcW w:w="1020"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jc w:val="center"/>
              <w:rPr>
                <w:b/>
                <w:i/>
                <w:sz w:val="20"/>
                <w:szCs w:val="20"/>
                <w:lang w:val="nl-BE"/>
              </w:rPr>
            </w:pPr>
            <w:r w:rsidRPr="00E6515F">
              <w:rPr>
                <w:b/>
                <w:i/>
                <w:sz w:val="20"/>
                <w:szCs w:val="20"/>
                <w:lang w:val="nl-BE"/>
              </w:rPr>
              <w:t>Totaal</w:t>
            </w:r>
          </w:p>
        </w:tc>
      </w:tr>
      <w:tr w:rsidR="00CD1B8C" w:rsidRPr="00E6515F">
        <w:trPr>
          <w:trHeight w:val="860"/>
        </w:trPr>
        <w:tc>
          <w:tcPr>
            <w:tcW w:w="277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8D7D83" w:rsidP="008D7D83">
            <w:pPr>
              <w:rPr>
                <w:b/>
                <w:sz w:val="20"/>
                <w:szCs w:val="20"/>
                <w:lang w:val="nl-BE"/>
              </w:rPr>
            </w:pPr>
            <w:r>
              <w:rPr>
                <w:b/>
                <w:sz w:val="20"/>
                <w:szCs w:val="20"/>
                <w:lang w:val="nl-BE"/>
              </w:rPr>
              <w:t>K</w:t>
            </w:r>
            <w:r w:rsidR="0002369D" w:rsidRPr="00E6515F">
              <w:rPr>
                <w:b/>
                <w:sz w:val="20"/>
                <w:szCs w:val="20"/>
                <w:lang w:val="nl-BE"/>
              </w:rPr>
              <w:t>r</w:t>
            </w:r>
            <w:r w:rsidR="0002369D">
              <w:rPr>
                <w:b/>
                <w:sz w:val="20"/>
                <w:szCs w:val="20"/>
                <w:lang w:val="nl-BE"/>
              </w:rPr>
              <w:t>e</w:t>
            </w:r>
            <w:r w:rsidR="0002369D" w:rsidRPr="00E6515F">
              <w:rPr>
                <w:b/>
                <w:sz w:val="20"/>
                <w:szCs w:val="20"/>
                <w:lang w:val="nl-BE"/>
              </w:rPr>
              <w:t xml:space="preserve">gen </w:t>
            </w:r>
            <w:r w:rsidR="00627480" w:rsidRPr="00E6515F">
              <w:rPr>
                <w:b/>
                <w:sz w:val="20"/>
                <w:szCs w:val="20"/>
                <w:lang w:val="nl-BE"/>
              </w:rPr>
              <w:t>VAPH-</w:t>
            </w:r>
            <w:r w:rsidR="002859D7" w:rsidRPr="00E6515F">
              <w:rPr>
                <w:b/>
                <w:sz w:val="20"/>
                <w:szCs w:val="20"/>
                <w:lang w:val="nl-BE"/>
              </w:rPr>
              <w:t>ondersteuning in 2008</w:t>
            </w:r>
          </w:p>
        </w:tc>
        <w:tc>
          <w:tcPr>
            <w:tcW w:w="247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imes New Roman" w:eastAsia="Times New Roman" w:hAnsi="Times New Roman" w:cs="Times New Roman"/>
                <w:sz w:val="24"/>
                <w:szCs w:val="24"/>
                <w:lang w:val="nl-BE"/>
              </w:rPr>
            </w:pPr>
            <w:r w:rsidRPr="00E6515F">
              <w:rPr>
                <w:rFonts w:ascii="Times New Roman" w:eastAsia="Times New Roman" w:hAnsi="Times New Roman" w:cs="Times New Roman"/>
                <w:sz w:val="24"/>
                <w:szCs w:val="24"/>
                <w:lang w:val="nl-BE"/>
              </w:rPr>
              <w:t xml:space="preserve"> </w:t>
            </w:r>
          </w:p>
          <w:p w:rsidR="00CD1B8C" w:rsidRPr="00E6515F" w:rsidRDefault="002859D7">
            <w:pPr>
              <w:jc w:val="center"/>
              <w:rPr>
                <w:sz w:val="20"/>
                <w:szCs w:val="20"/>
                <w:lang w:val="nl-BE"/>
              </w:rPr>
            </w:pPr>
            <w:r w:rsidRPr="00E6515F">
              <w:rPr>
                <w:sz w:val="20"/>
                <w:szCs w:val="20"/>
                <w:lang w:val="nl-BE"/>
              </w:rPr>
              <w:t>24.755</w:t>
            </w:r>
            <w:r w:rsidR="00E25D5F" w:rsidRPr="00E6515F">
              <w:rPr>
                <w:sz w:val="20"/>
                <w:szCs w:val="20"/>
                <w:lang w:val="nl-BE"/>
              </w:rPr>
              <w:t xml:space="preserve"> doorstromers</w:t>
            </w:r>
          </w:p>
        </w:tc>
        <w:tc>
          <w:tcPr>
            <w:tcW w:w="256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imes New Roman" w:eastAsia="Times New Roman" w:hAnsi="Times New Roman" w:cs="Times New Roman"/>
                <w:sz w:val="24"/>
                <w:szCs w:val="24"/>
                <w:lang w:val="nl-BE"/>
              </w:rPr>
            </w:pPr>
            <w:r w:rsidRPr="00E6515F">
              <w:rPr>
                <w:rFonts w:ascii="Times New Roman" w:eastAsia="Times New Roman" w:hAnsi="Times New Roman" w:cs="Times New Roman"/>
                <w:sz w:val="24"/>
                <w:szCs w:val="24"/>
                <w:lang w:val="nl-BE"/>
              </w:rPr>
              <w:t xml:space="preserve"> </w:t>
            </w:r>
          </w:p>
          <w:p w:rsidR="00CD1B8C" w:rsidRPr="00E6515F" w:rsidRDefault="002859D7">
            <w:pPr>
              <w:jc w:val="center"/>
              <w:rPr>
                <w:sz w:val="20"/>
                <w:szCs w:val="20"/>
                <w:lang w:val="nl-BE"/>
              </w:rPr>
            </w:pPr>
            <w:r w:rsidRPr="00E6515F">
              <w:rPr>
                <w:sz w:val="20"/>
                <w:szCs w:val="20"/>
                <w:lang w:val="nl-BE"/>
              </w:rPr>
              <w:t>13.086</w:t>
            </w:r>
            <w:r w:rsidR="00E25D5F" w:rsidRPr="00E6515F">
              <w:rPr>
                <w:sz w:val="20"/>
                <w:szCs w:val="20"/>
                <w:lang w:val="nl-BE"/>
              </w:rPr>
              <w:t xml:space="preserve"> </w:t>
            </w:r>
            <w:proofErr w:type="spellStart"/>
            <w:r w:rsidR="00E25D5F" w:rsidRPr="00E6515F">
              <w:rPr>
                <w:sz w:val="20"/>
                <w:szCs w:val="20"/>
                <w:lang w:val="nl-BE"/>
              </w:rPr>
              <w:t>uitstromers</w:t>
            </w:r>
            <w:proofErr w:type="spellEnd"/>
          </w:p>
        </w:tc>
        <w:tc>
          <w:tcPr>
            <w:tcW w:w="10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imes New Roman" w:eastAsia="Times New Roman" w:hAnsi="Times New Roman" w:cs="Times New Roman"/>
                <w:i/>
                <w:sz w:val="24"/>
                <w:szCs w:val="24"/>
                <w:lang w:val="nl-BE"/>
              </w:rPr>
            </w:pPr>
            <w:r w:rsidRPr="00E6515F">
              <w:rPr>
                <w:rFonts w:ascii="Times New Roman" w:eastAsia="Times New Roman" w:hAnsi="Times New Roman" w:cs="Times New Roman"/>
                <w:i/>
                <w:sz w:val="24"/>
                <w:szCs w:val="24"/>
                <w:lang w:val="nl-BE"/>
              </w:rPr>
              <w:t xml:space="preserve"> </w:t>
            </w:r>
          </w:p>
          <w:p w:rsidR="00CD1B8C" w:rsidRPr="00E6515F" w:rsidRDefault="002859D7">
            <w:pPr>
              <w:jc w:val="center"/>
              <w:rPr>
                <w:b/>
                <w:i/>
                <w:sz w:val="20"/>
                <w:szCs w:val="20"/>
                <w:lang w:val="nl-BE"/>
              </w:rPr>
            </w:pPr>
            <w:r w:rsidRPr="00E6515F">
              <w:rPr>
                <w:b/>
                <w:i/>
                <w:sz w:val="20"/>
                <w:szCs w:val="20"/>
                <w:lang w:val="nl-BE"/>
              </w:rPr>
              <w:t>37.841</w:t>
            </w:r>
          </w:p>
        </w:tc>
      </w:tr>
      <w:tr w:rsidR="00CD1B8C" w:rsidRPr="00E6515F">
        <w:trPr>
          <w:trHeight w:val="860"/>
        </w:trPr>
        <w:tc>
          <w:tcPr>
            <w:tcW w:w="277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8D7D83" w:rsidP="008D7D83">
            <w:pPr>
              <w:rPr>
                <w:b/>
                <w:sz w:val="20"/>
                <w:szCs w:val="20"/>
                <w:lang w:val="nl-BE"/>
              </w:rPr>
            </w:pPr>
            <w:r>
              <w:rPr>
                <w:b/>
                <w:sz w:val="20"/>
                <w:szCs w:val="20"/>
                <w:lang w:val="nl-BE"/>
              </w:rPr>
              <w:t>K</w:t>
            </w:r>
            <w:r w:rsidR="0002369D" w:rsidRPr="00E6515F">
              <w:rPr>
                <w:b/>
                <w:sz w:val="20"/>
                <w:szCs w:val="20"/>
                <w:lang w:val="nl-BE"/>
              </w:rPr>
              <w:t>r</w:t>
            </w:r>
            <w:r w:rsidR="0002369D">
              <w:rPr>
                <w:b/>
                <w:sz w:val="20"/>
                <w:szCs w:val="20"/>
                <w:lang w:val="nl-BE"/>
              </w:rPr>
              <w:t>e</w:t>
            </w:r>
            <w:r w:rsidR="0002369D" w:rsidRPr="00E6515F">
              <w:rPr>
                <w:b/>
                <w:sz w:val="20"/>
                <w:szCs w:val="20"/>
                <w:lang w:val="nl-BE"/>
              </w:rPr>
              <w:t xml:space="preserve">gen </w:t>
            </w:r>
            <w:r w:rsidR="002859D7" w:rsidRPr="00E6515F">
              <w:rPr>
                <w:b/>
                <w:sz w:val="20"/>
                <w:szCs w:val="20"/>
                <w:lang w:val="nl-BE"/>
              </w:rPr>
              <w:t xml:space="preserve">geen </w:t>
            </w:r>
            <w:r w:rsidR="00627480" w:rsidRPr="00E6515F">
              <w:rPr>
                <w:b/>
                <w:sz w:val="20"/>
                <w:szCs w:val="20"/>
                <w:lang w:val="nl-BE"/>
              </w:rPr>
              <w:t>VAPH-</w:t>
            </w:r>
            <w:r w:rsidR="002859D7" w:rsidRPr="00E6515F">
              <w:rPr>
                <w:b/>
                <w:sz w:val="20"/>
                <w:szCs w:val="20"/>
                <w:lang w:val="nl-BE"/>
              </w:rPr>
              <w:t>ondersteuning in 2008</w:t>
            </w:r>
          </w:p>
        </w:tc>
        <w:tc>
          <w:tcPr>
            <w:tcW w:w="247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imes New Roman" w:eastAsia="Times New Roman" w:hAnsi="Times New Roman" w:cs="Times New Roman"/>
                <w:sz w:val="24"/>
                <w:szCs w:val="24"/>
                <w:lang w:val="nl-BE"/>
              </w:rPr>
            </w:pPr>
            <w:r w:rsidRPr="00E6515F">
              <w:rPr>
                <w:rFonts w:ascii="Times New Roman" w:eastAsia="Times New Roman" w:hAnsi="Times New Roman" w:cs="Times New Roman"/>
                <w:sz w:val="24"/>
                <w:szCs w:val="24"/>
                <w:lang w:val="nl-BE"/>
              </w:rPr>
              <w:t xml:space="preserve"> </w:t>
            </w:r>
          </w:p>
          <w:p w:rsidR="00CD1B8C" w:rsidRPr="00E6515F" w:rsidRDefault="002859D7">
            <w:pPr>
              <w:jc w:val="center"/>
              <w:rPr>
                <w:sz w:val="20"/>
                <w:szCs w:val="20"/>
                <w:lang w:val="nl-BE"/>
              </w:rPr>
            </w:pPr>
            <w:r w:rsidRPr="00E6515F">
              <w:rPr>
                <w:sz w:val="20"/>
                <w:szCs w:val="20"/>
                <w:lang w:val="nl-BE"/>
              </w:rPr>
              <w:t>32.955</w:t>
            </w:r>
            <w:r w:rsidR="00E25D5F" w:rsidRPr="00E6515F">
              <w:rPr>
                <w:sz w:val="20"/>
                <w:szCs w:val="20"/>
                <w:lang w:val="nl-BE"/>
              </w:rPr>
              <w:t xml:space="preserve"> instromers</w:t>
            </w:r>
          </w:p>
        </w:tc>
        <w:tc>
          <w:tcPr>
            <w:tcW w:w="2565" w:type="dxa"/>
            <w:tcBorders>
              <w:top w:val="nil"/>
              <w:left w:val="nil"/>
              <w:bottom w:val="single" w:sz="8" w:space="0" w:color="414141"/>
              <w:right w:val="single" w:sz="8" w:space="0" w:color="414141"/>
            </w:tcBorders>
            <w:shd w:val="clear" w:color="auto" w:fill="BFBFBF"/>
            <w:tcMar>
              <w:top w:w="60" w:type="dxa"/>
              <w:left w:w="100" w:type="dxa"/>
              <w:bottom w:w="60" w:type="dxa"/>
              <w:right w:w="100" w:type="dxa"/>
            </w:tcMar>
          </w:tcPr>
          <w:p w:rsidR="00CD1B8C" w:rsidRPr="00E6515F" w:rsidRDefault="002859D7">
            <w:pPr>
              <w:jc w:val="center"/>
              <w:rPr>
                <w:sz w:val="20"/>
                <w:szCs w:val="20"/>
                <w:lang w:val="nl-BE"/>
              </w:rPr>
            </w:pPr>
            <w:r w:rsidRPr="00E6515F">
              <w:rPr>
                <w:sz w:val="20"/>
                <w:szCs w:val="20"/>
                <w:lang w:val="nl-BE"/>
              </w:rPr>
              <w:t xml:space="preserve"> </w:t>
            </w:r>
          </w:p>
        </w:tc>
        <w:tc>
          <w:tcPr>
            <w:tcW w:w="1020" w:type="dxa"/>
            <w:tcBorders>
              <w:top w:val="nil"/>
              <w:left w:val="nil"/>
              <w:bottom w:val="single" w:sz="8" w:space="0" w:color="414141"/>
              <w:right w:val="single" w:sz="8" w:space="0" w:color="414141"/>
            </w:tcBorders>
            <w:shd w:val="clear" w:color="auto" w:fill="BFBFBF"/>
            <w:tcMar>
              <w:top w:w="60" w:type="dxa"/>
              <w:left w:w="100" w:type="dxa"/>
              <w:bottom w:w="60" w:type="dxa"/>
              <w:right w:w="100" w:type="dxa"/>
            </w:tcMar>
          </w:tcPr>
          <w:p w:rsidR="00CD1B8C" w:rsidRPr="00E6515F" w:rsidRDefault="002859D7">
            <w:pPr>
              <w:jc w:val="center"/>
              <w:rPr>
                <w:i/>
                <w:sz w:val="20"/>
                <w:szCs w:val="20"/>
                <w:lang w:val="nl-BE"/>
              </w:rPr>
            </w:pPr>
            <w:r w:rsidRPr="00E6515F">
              <w:rPr>
                <w:i/>
                <w:sz w:val="20"/>
                <w:szCs w:val="20"/>
                <w:lang w:val="nl-BE"/>
              </w:rPr>
              <w:t xml:space="preserve"> </w:t>
            </w:r>
          </w:p>
        </w:tc>
      </w:tr>
      <w:tr w:rsidR="00CD1B8C" w:rsidRPr="00E6515F">
        <w:trPr>
          <w:trHeight w:val="400"/>
        </w:trPr>
        <w:tc>
          <w:tcPr>
            <w:tcW w:w="277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i/>
                <w:sz w:val="20"/>
                <w:szCs w:val="20"/>
                <w:lang w:val="nl-BE"/>
              </w:rPr>
            </w:pPr>
            <w:r w:rsidRPr="00E6515F">
              <w:rPr>
                <w:b/>
                <w:i/>
                <w:sz w:val="20"/>
                <w:szCs w:val="20"/>
                <w:lang w:val="nl-BE"/>
              </w:rPr>
              <w:t>Totaal</w:t>
            </w:r>
          </w:p>
        </w:tc>
        <w:tc>
          <w:tcPr>
            <w:tcW w:w="247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b/>
                <w:i/>
                <w:sz w:val="20"/>
                <w:szCs w:val="20"/>
                <w:lang w:val="nl-BE"/>
              </w:rPr>
            </w:pPr>
            <w:r w:rsidRPr="00E6515F">
              <w:rPr>
                <w:b/>
                <w:i/>
                <w:sz w:val="20"/>
                <w:szCs w:val="20"/>
                <w:lang w:val="nl-BE"/>
              </w:rPr>
              <w:t>57.710</w:t>
            </w:r>
          </w:p>
        </w:tc>
        <w:tc>
          <w:tcPr>
            <w:tcW w:w="2565" w:type="dxa"/>
            <w:tcBorders>
              <w:top w:val="nil"/>
              <w:left w:val="nil"/>
              <w:bottom w:val="single" w:sz="8" w:space="0" w:color="414141"/>
              <w:right w:val="single" w:sz="8" w:space="0" w:color="414141"/>
            </w:tcBorders>
            <w:shd w:val="clear" w:color="auto" w:fill="BFBFBF"/>
            <w:tcMar>
              <w:top w:w="60" w:type="dxa"/>
              <w:left w:w="100" w:type="dxa"/>
              <w:bottom w:w="60" w:type="dxa"/>
              <w:right w:w="100" w:type="dxa"/>
            </w:tcMar>
          </w:tcPr>
          <w:p w:rsidR="00CD1B8C" w:rsidRPr="00E6515F" w:rsidRDefault="002859D7">
            <w:pPr>
              <w:jc w:val="center"/>
              <w:rPr>
                <w:b/>
                <w:i/>
                <w:lang w:val="nl-BE"/>
              </w:rPr>
            </w:pPr>
            <w:r w:rsidRPr="00E6515F">
              <w:rPr>
                <w:b/>
                <w:i/>
                <w:lang w:val="nl-BE"/>
              </w:rPr>
              <w:t xml:space="preserve"> </w:t>
            </w:r>
          </w:p>
        </w:tc>
        <w:tc>
          <w:tcPr>
            <w:tcW w:w="1020" w:type="dxa"/>
            <w:tcBorders>
              <w:top w:val="nil"/>
              <w:left w:val="nil"/>
              <w:bottom w:val="single" w:sz="8" w:space="0" w:color="414141"/>
              <w:right w:val="single" w:sz="8" w:space="0" w:color="414141"/>
            </w:tcBorders>
            <w:shd w:val="clear" w:color="auto" w:fill="BFBFBF"/>
            <w:tcMar>
              <w:top w:w="60" w:type="dxa"/>
              <w:left w:w="100" w:type="dxa"/>
              <w:bottom w:w="60" w:type="dxa"/>
              <w:right w:w="100" w:type="dxa"/>
            </w:tcMar>
          </w:tcPr>
          <w:p w:rsidR="00CD1B8C" w:rsidRPr="00E6515F" w:rsidRDefault="002859D7">
            <w:pPr>
              <w:jc w:val="center"/>
              <w:rPr>
                <w:b/>
                <w:i/>
                <w:lang w:val="nl-BE"/>
              </w:rPr>
            </w:pPr>
            <w:r w:rsidRPr="00E6515F">
              <w:rPr>
                <w:b/>
                <w:i/>
                <w:lang w:val="nl-BE"/>
              </w:rPr>
              <w:t xml:space="preserve"> </w:t>
            </w:r>
          </w:p>
        </w:tc>
      </w:tr>
    </w:tbl>
    <w:p w:rsidR="00CD1B8C" w:rsidRPr="00E6515F" w:rsidRDefault="00CD1B8C">
      <w:pPr>
        <w:rPr>
          <w:lang w:val="nl-BE"/>
        </w:rPr>
      </w:pPr>
    </w:p>
    <w:p w:rsidR="00CD1B8C" w:rsidRPr="00E6515F" w:rsidRDefault="002859D7">
      <w:pPr>
        <w:jc w:val="both"/>
        <w:rPr>
          <w:lang w:val="nl-BE"/>
        </w:rPr>
      </w:pPr>
      <w:r w:rsidRPr="00E6515F">
        <w:rPr>
          <w:lang w:val="nl-BE"/>
        </w:rPr>
        <w:t xml:space="preserve">In deze tabel wordt de evolutie van </w:t>
      </w:r>
      <w:r w:rsidR="0002369D">
        <w:rPr>
          <w:lang w:val="nl-BE"/>
        </w:rPr>
        <w:t xml:space="preserve">het aantal unieke </w:t>
      </w:r>
      <w:r w:rsidRPr="00E6515F">
        <w:rPr>
          <w:lang w:val="nl-BE"/>
        </w:rPr>
        <w:t xml:space="preserve">personen </w:t>
      </w:r>
      <w:r w:rsidR="0002369D">
        <w:rPr>
          <w:lang w:val="nl-BE"/>
        </w:rPr>
        <w:t>dat gebruik maakte van rechtstreeks toegankelijke hulp (RTH) en niet-rechtstreeks toegankelijke hulp (</w:t>
      </w:r>
      <w:proofErr w:type="spellStart"/>
      <w:r w:rsidR="0002369D">
        <w:rPr>
          <w:lang w:val="nl-BE"/>
        </w:rPr>
        <w:t>nRTH</w:t>
      </w:r>
      <w:proofErr w:type="spellEnd"/>
      <w:r w:rsidR="0002369D">
        <w:rPr>
          <w:lang w:val="nl-BE"/>
        </w:rPr>
        <w:t xml:space="preserve">) </w:t>
      </w:r>
      <w:r w:rsidRPr="00E6515F">
        <w:rPr>
          <w:lang w:val="nl-BE"/>
        </w:rPr>
        <w:t>doorheen de jaren nader bekeken. Er wordt nageg</w:t>
      </w:r>
      <w:r w:rsidR="00627480" w:rsidRPr="00E6515F">
        <w:rPr>
          <w:lang w:val="nl-BE"/>
        </w:rPr>
        <w:t>aan wie van de personen die in 20</w:t>
      </w:r>
      <w:r w:rsidRPr="00E6515F">
        <w:rPr>
          <w:lang w:val="nl-BE"/>
        </w:rPr>
        <w:t xml:space="preserve">08 ondersteund werd door het </w:t>
      </w:r>
      <w:r w:rsidR="00627480" w:rsidRPr="00E6515F">
        <w:rPr>
          <w:lang w:val="nl-BE"/>
        </w:rPr>
        <w:t>VAPH</w:t>
      </w:r>
      <w:r w:rsidRPr="00E6515F">
        <w:rPr>
          <w:lang w:val="nl-BE"/>
        </w:rPr>
        <w:t xml:space="preserve"> nog steeds </w:t>
      </w:r>
      <w:r w:rsidR="00627480" w:rsidRPr="00E6515F">
        <w:rPr>
          <w:lang w:val="nl-BE"/>
        </w:rPr>
        <w:t>VAPH</w:t>
      </w:r>
      <w:r w:rsidRPr="00E6515F">
        <w:rPr>
          <w:lang w:val="nl-BE"/>
        </w:rPr>
        <w:t>-ondersteuning krijgt in</w:t>
      </w:r>
      <w:r w:rsidR="00627480" w:rsidRPr="00E6515F">
        <w:rPr>
          <w:lang w:val="nl-BE"/>
        </w:rPr>
        <w:t xml:space="preserve"> 20</w:t>
      </w:r>
      <w:r w:rsidRPr="00E6515F">
        <w:rPr>
          <w:lang w:val="nl-BE"/>
        </w:rPr>
        <w:t xml:space="preserve">17. </w:t>
      </w:r>
      <w:r w:rsidR="0002369D">
        <w:rPr>
          <w:lang w:val="nl-BE"/>
        </w:rPr>
        <w:t>Het gaat om</w:t>
      </w:r>
      <w:r w:rsidRPr="00E6515F">
        <w:rPr>
          <w:lang w:val="nl-BE"/>
        </w:rPr>
        <w:t xml:space="preserve"> zowel meerderjarigen als minderjarigen, RTH-gebruikers als </w:t>
      </w:r>
      <w:proofErr w:type="spellStart"/>
      <w:r w:rsidRPr="00E6515F">
        <w:rPr>
          <w:lang w:val="nl-BE"/>
        </w:rPr>
        <w:t>nRTH</w:t>
      </w:r>
      <w:proofErr w:type="spellEnd"/>
      <w:r w:rsidRPr="00E6515F">
        <w:rPr>
          <w:lang w:val="nl-BE"/>
        </w:rPr>
        <w:t xml:space="preserve">-gebruikers. We zien dat een groot deel van de personen die </w:t>
      </w:r>
      <w:r w:rsidR="00627480" w:rsidRPr="00E6515F">
        <w:rPr>
          <w:lang w:val="nl-BE"/>
        </w:rPr>
        <w:t>VAPH-ondersteuning kregen in 2008 ook in 20</w:t>
      </w:r>
      <w:r w:rsidRPr="00E6515F">
        <w:rPr>
          <w:lang w:val="nl-BE"/>
        </w:rPr>
        <w:t xml:space="preserve">17 nog steeds </w:t>
      </w:r>
      <w:r w:rsidR="00627480" w:rsidRPr="00E6515F">
        <w:rPr>
          <w:lang w:val="nl-BE"/>
        </w:rPr>
        <w:t>VAPH</w:t>
      </w:r>
      <w:r w:rsidRPr="00E6515F">
        <w:rPr>
          <w:lang w:val="nl-BE"/>
        </w:rPr>
        <w:t xml:space="preserve">-ondersteuning </w:t>
      </w:r>
      <w:r w:rsidR="0002369D" w:rsidRPr="00E6515F">
        <w:rPr>
          <w:lang w:val="nl-BE"/>
        </w:rPr>
        <w:t>kr</w:t>
      </w:r>
      <w:r w:rsidR="0002369D">
        <w:rPr>
          <w:lang w:val="nl-BE"/>
        </w:rPr>
        <w:t>eeg</w:t>
      </w:r>
      <w:r w:rsidRPr="00E6515F">
        <w:rPr>
          <w:lang w:val="nl-BE"/>
        </w:rPr>
        <w:t xml:space="preserve">, namelijk 24.755 van de 37.841 mensen. Dit is 65%. Daarnaast zien we </w:t>
      </w:r>
      <w:r w:rsidR="00627480" w:rsidRPr="00E6515F">
        <w:rPr>
          <w:lang w:val="nl-BE"/>
        </w:rPr>
        <w:t>dat er in tussen 2008 en 20</w:t>
      </w:r>
      <w:r w:rsidRPr="00E6515F">
        <w:rPr>
          <w:lang w:val="nl-BE"/>
        </w:rPr>
        <w:t xml:space="preserve">17 een groot aantal nieuwe mensen is bijgekomen dat ondersteund wordt door het </w:t>
      </w:r>
      <w:r w:rsidR="00627480" w:rsidRPr="00E6515F">
        <w:rPr>
          <w:lang w:val="nl-BE"/>
        </w:rPr>
        <w:t>VAPH</w:t>
      </w:r>
      <w:r w:rsidRPr="00E6515F">
        <w:rPr>
          <w:lang w:val="nl-BE"/>
        </w:rPr>
        <w:t xml:space="preserve">. In </w:t>
      </w:r>
      <w:r w:rsidRPr="00E6515F">
        <w:rPr>
          <w:lang w:val="nl-BE"/>
        </w:rPr>
        <w:lastRenderedPageBreak/>
        <w:t xml:space="preserve">onderstaande tabellen gaan we dieper in op de instromers, </w:t>
      </w:r>
      <w:proofErr w:type="spellStart"/>
      <w:r w:rsidRPr="00E6515F">
        <w:rPr>
          <w:lang w:val="nl-BE"/>
        </w:rPr>
        <w:t>uitstromers</w:t>
      </w:r>
      <w:proofErr w:type="spellEnd"/>
      <w:r w:rsidRPr="00E6515F">
        <w:rPr>
          <w:lang w:val="nl-BE"/>
        </w:rPr>
        <w:t xml:space="preserve"> en personen die op beide momenten </w:t>
      </w:r>
      <w:r w:rsidR="00627480" w:rsidRPr="00E6515F">
        <w:rPr>
          <w:lang w:val="nl-BE"/>
        </w:rPr>
        <w:t>VAPH</w:t>
      </w:r>
      <w:r w:rsidRPr="00E6515F">
        <w:rPr>
          <w:lang w:val="nl-BE"/>
        </w:rPr>
        <w:t xml:space="preserve">-ondersteuning kregen. </w:t>
      </w:r>
    </w:p>
    <w:p w:rsidR="00CD1B8C" w:rsidRPr="00E6515F" w:rsidRDefault="00CD1B8C" w:rsidP="00A179E6">
      <w:pPr>
        <w:contextualSpacing/>
        <w:rPr>
          <w:lang w:val="nl-BE"/>
        </w:rPr>
      </w:pPr>
    </w:p>
    <w:p w:rsidR="00A179E6" w:rsidRPr="00E6515F" w:rsidRDefault="00A179E6" w:rsidP="00A179E6">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6</w:t>
      </w:r>
      <w:r w:rsidRPr="00E6515F">
        <w:rPr>
          <w:lang w:val="nl-BE"/>
        </w:rPr>
        <w:fldChar w:fldCharType="end"/>
      </w:r>
      <w:r w:rsidRPr="00E6515F">
        <w:rPr>
          <w:lang w:val="nl-BE"/>
        </w:rPr>
        <w:t>: Ondersteuningsfunctie van</w:t>
      </w:r>
      <w:r w:rsidR="00E25D5F" w:rsidRPr="00E6515F">
        <w:rPr>
          <w:lang w:val="nl-BE"/>
        </w:rPr>
        <w:t xml:space="preserve"> </w:t>
      </w:r>
      <w:r w:rsidR="00FA51E2" w:rsidRPr="00E6515F">
        <w:rPr>
          <w:lang w:val="nl-BE"/>
        </w:rPr>
        <w:t>instromers</w:t>
      </w:r>
      <w:r w:rsidR="00E25D5F" w:rsidRPr="00E6515F">
        <w:rPr>
          <w:lang w:val="nl-BE"/>
        </w:rPr>
        <w:t>:</w:t>
      </w:r>
      <w:r w:rsidRPr="00E6515F">
        <w:rPr>
          <w:lang w:val="nl-BE"/>
        </w:rPr>
        <w:t xml:space="preserve"> nieuwe gebruikers in 2017 </w:t>
      </w:r>
      <w:r w:rsidR="00A14A44" w:rsidRPr="00E6515F">
        <w:rPr>
          <w:lang w:val="nl-BE"/>
        </w:rPr>
        <w:t>t.o.v.</w:t>
      </w:r>
      <w:r w:rsidRPr="00E6515F">
        <w:rPr>
          <w:lang w:val="nl-BE"/>
        </w:rPr>
        <w:t xml:space="preserve"> 2008</w:t>
      </w:r>
      <w:r w:rsidR="00803BE4" w:rsidRPr="00E6515F">
        <w:rPr>
          <w:lang w:val="nl-BE"/>
        </w:rPr>
        <w:t xml:space="preserve"> per leeftijdscategorie, per ondersteuningsfunctie</w:t>
      </w:r>
    </w:p>
    <w:tbl>
      <w:tblPr>
        <w:tblW w:w="10065"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275"/>
        <w:gridCol w:w="1276"/>
        <w:gridCol w:w="1276"/>
        <w:gridCol w:w="567"/>
        <w:gridCol w:w="992"/>
        <w:gridCol w:w="567"/>
        <w:gridCol w:w="709"/>
        <w:gridCol w:w="709"/>
        <w:gridCol w:w="708"/>
        <w:gridCol w:w="993"/>
      </w:tblGrid>
      <w:tr w:rsidR="00803BE4" w:rsidRPr="00E6515F" w:rsidTr="0014736F">
        <w:trPr>
          <w:trHeight w:val="340"/>
        </w:trPr>
        <w:tc>
          <w:tcPr>
            <w:tcW w:w="993" w:type="dxa"/>
            <w:shd w:val="clear" w:color="auto" w:fill="BFBFBF" w:themeFill="background1" w:themeFillShade="BF"/>
            <w:noWrap/>
            <w:vAlign w:val="bottom"/>
            <w:hideMark/>
          </w:tcPr>
          <w:p w:rsidR="00803BE4" w:rsidRPr="00E6515F" w:rsidRDefault="00803BE4" w:rsidP="00803BE4">
            <w:pPr>
              <w:rPr>
                <w:b/>
                <w:color w:val="000000"/>
                <w:sz w:val="20"/>
                <w:szCs w:val="20"/>
                <w:lang w:val="nl-BE"/>
              </w:rPr>
            </w:pPr>
            <w:r w:rsidRPr="00E6515F">
              <w:rPr>
                <w:b/>
                <w:color w:val="000000"/>
                <w:sz w:val="20"/>
                <w:szCs w:val="20"/>
                <w:lang w:val="nl-BE"/>
              </w:rPr>
              <w:t>Leeftijds-</w:t>
            </w:r>
          </w:p>
          <w:p w:rsidR="00803BE4" w:rsidRPr="00E6515F" w:rsidRDefault="00FF60A4" w:rsidP="00351F04">
            <w:pPr>
              <w:rPr>
                <w:b/>
                <w:color w:val="000000"/>
                <w:sz w:val="20"/>
                <w:szCs w:val="20"/>
                <w:lang w:val="nl-BE"/>
              </w:rPr>
            </w:pPr>
            <w:r>
              <w:rPr>
                <w:b/>
                <w:color w:val="000000"/>
                <w:sz w:val="20"/>
                <w:szCs w:val="20"/>
                <w:lang w:val="nl-BE"/>
              </w:rPr>
              <w:t>c</w:t>
            </w:r>
            <w:r w:rsidR="00803BE4" w:rsidRPr="00E6515F">
              <w:rPr>
                <w:b/>
                <w:color w:val="000000"/>
                <w:sz w:val="20"/>
                <w:szCs w:val="20"/>
                <w:lang w:val="nl-BE"/>
              </w:rPr>
              <w:t>ategorie</w:t>
            </w:r>
          </w:p>
        </w:tc>
        <w:tc>
          <w:tcPr>
            <w:tcW w:w="1275"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Individuele ondersteuning</w:t>
            </w:r>
          </w:p>
        </w:tc>
        <w:tc>
          <w:tcPr>
            <w:tcW w:w="1276"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Dag-ondersteuning</w:t>
            </w:r>
          </w:p>
        </w:tc>
        <w:tc>
          <w:tcPr>
            <w:tcW w:w="1276"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Woon-ondersteuning</w:t>
            </w:r>
          </w:p>
        </w:tc>
        <w:tc>
          <w:tcPr>
            <w:tcW w:w="567"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PAB</w:t>
            </w:r>
          </w:p>
        </w:tc>
        <w:tc>
          <w:tcPr>
            <w:tcW w:w="992"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PAB + DO*</w:t>
            </w:r>
          </w:p>
        </w:tc>
        <w:tc>
          <w:tcPr>
            <w:tcW w:w="567" w:type="dxa"/>
            <w:shd w:val="clear" w:color="auto" w:fill="BFBFBF" w:themeFill="background1" w:themeFillShade="BF"/>
            <w:noWrap/>
            <w:vAlign w:val="bottom"/>
            <w:hideMark/>
          </w:tcPr>
          <w:p w:rsidR="00803BE4" w:rsidRPr="00E6515F" w:rsidRDefault="00095420" w:rsidP="00351F04">
            <w:pPr>
              <w:jc w:val="center"/>
              <w:rPr>
                <w:b/>
                <w:color w:val="000000"/>
                <w:sz w:val="20"/>
                <w:szCs w:val="20"/>
                <w:lang w:val="nl-BE"/>
              </w:rPr>
            </w:pPr>
            <w:r>
              <w:rPr>
                <w:b/>
                <w:color w:val="000000"/>
                <w:sz w:val="20"/>
                <w:szCs w:val="20"/>
                <w:lang w:val="nl-BE"/>
              </w:rPr>
              <w:t>C</w:t>
            </w:r>
            <w:r w:rsidR="00803BE4" w:rsidRPr="00E6515F">
              <w:rPr>
                <w:b/>
                <w:color w:val="000000"/>
                <w:sz w:val="20"/>
                <w:szCs w:val="20"/>
                <w:lang w:val="nl-BE"/>
              </w:rPr>
              <w:t>ash</w:t>
            </w:r>
          </w:p>
        </w:tc>
        <w:tc>
          <w:tcPr>
            <w:tcW w:w="709" w:type="dxa"/>
            <w:shd w:val="clear" w:color="auto" w:fill="BFBFBF" w:themeFill="background1" w:themeFillShade="BF"/>
            <w:noWrap/>
            <w:vAlign w:val="bottom"/>
            <w:hideMark/>
          </w:tcPr>
          <w:p w:rsidR="00803BE4" w:rsidRPr="00E6515F" w:rsidRDefault="00803BE4" w:rsidP="00351F04">
            <w:pPr>
              <w:jc w:val="center"/>
              <w:rPr>
                <w:b/>
                <w:color w:val="000000"/>
                <w:sz w:val="20"/>
                <w:szCs w:val="20"/>
                <w:lang w:val="nl-BE"/>
              </w:rPr>
            </w:pPr>
            <w:r w:rsidRPr="00E6515F">
              <w:rPr>
                <w:b/>
                <w:color w:val="000000"/>
                <w:sz w:val="20"/>
                <w:szCs w:val="20"/>
                <w:lang w:val="nl-BE"/>
              </w:rPr>
              <w:t>RTH</w:t>
            </w:r>
          </w:p>
        </w:tc>
        <w:tc>
          <w:tcPr>
            <w:tcW w:w="709" w:type="dxa"/>
            <w:shd w:val="clear" w:color="auto" w:fill="BFBFBF" w:themeFill="background1" w:themeFillShade="BF"/>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Totaal</w:t>
            </w:r>
          </w:p>
        </w:tc>
        <w:tc>
          <w:tcPr>
            <w:tcW w:w="708" w:type="dxa"/>
            <w:shd w:val="clear" w:color="auto" w:fill="BFBFBF" w:themeFill="background1" w:themeFillShade="BF"/>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Totaal in %</w:t>
            </w:r>
          </w:p>
        </w:tc>
        <w:tc>
          <w:tcPr>
            <w:tcW w:w="993" w:type="dxa"/>
            <w:shd w:val="clear" w:color="auto" w:fill="BFBFBF" w:themeFill="background1" w:themeFillShade="BF"/>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Cumulatief in %</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0 </w:t>
            </w:r>
            <w:r w:rsidR="00380DEB">
              <w:rPr>
                <w:b/>
                <w:color w:val="000000"/>
                <w:sz w:val="20"/>
                <w:szCs w:val="20"/>
                <w:lang w:val="nl-BE"/>
              </w:rPr>
              <w:t xml:space="preserve">t/m </w:t>
            </w:r>
            <w:r w:rsidRPr="00E6515F">
              <w:rPr>
                <w:b/>
                <w:color w:val="000000"/>
                <w:sz w:val="20"/>
                <w:szCs w:val="20"/>
                <w:lang w:val="nl-BE"/>
              </w:rPr>
              <w:t>6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141</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822</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402</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54</w:t>
            </w: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32</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w:t>
            </w:r>
            <w:r w:rsidR="00BC2325" w:rsidRPr="00E6515F">
              <w:rPr>
                <w:color w:val="000000"/>
                <w:sz w:val="20"/>
                <w:szCs w:val="20"/>
                <w:lang w:val="nl-BE"/>
              </w:rPr>
              <w:t>.</w:t>
            </w:r>
            <w:r w:rsidRPr="00E6515F">
              <w:rPr>
                <w:color w:val="000000"/>
                <w:sz w:val="20"/>
                <w:szCs w:val="20"/>
                <w:lang w:val="nl-BE"/>
              </w:rPr>
              <w:t>504</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5</w:t>
            </w:r>
            <w:r w:rsidR="00BC2325" w:rsidRPr="00E6515F">
              <w:rPr>
                <w:i/>
                <w:color w:val="000000"/>
                <w:sz w:val="20"/>
                <w:szCs w:val="20"/>
                <w:lang w:val="nl-BE"/>
              </w:rPr>
              <w:t>.</w:t>
            </w:r>
            <w:r w:rsidRPr="00E6515F">
              <w:rPr>
                <w:i/>
                <w:color w:val="000000"/>
                <w:sz w:val="20"/>
                <w:szCs w:val="20"/>
                <w:lang w:val="nl-BE"/>
              </w:rPr>
              <w:t>955</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18%</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18%</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7 </w:t>
            </w:r>
            <w:r w:rsidR="00380DEB">
              <w:rPr>
                <w:b/>
                <w:color w:val="000000"/>
                <w:sz w:val="20"/>
                <w:szCs w:val="20"/>
                <w:lang w:val="nl-BE"/>
              </w:rPr>
              <w:t xml:space="preserve">t/m </w:t>
            </w:r>
            <w:r w:rsidRPr="00E6515F">
              <w:rPr>
                <w:b/>
                <w:color w:val="000000"/>
                <w:sz w:val="20"/>
                <w:szCs w:val="20"/>
                <w:lang w:val="nl-BE"/>
              </w:rPr>
              <w:t>12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314</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270</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600</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125</w:t>
            </w: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36</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w:t>
            </w:r>
            <w:r w:rsidR="00BC2325" w:rsidRPr="00E6515F">
              <w:rPr>
                <w:color w:val="000000"/>
                <w:sz w:val="20"/>
                <w:szCs w:val="20"/>
                <w:lang w:val="nl-BE"/>
              </w:rPr>
              <w:t>.</w:t>
            </w:r>
            <w:r w:rsidRPr="00E6515F">
              <w:rPr>
                <w:color w:val="000000"/>
                <w:sz w:val="20"/>
                <w:szCs w:val="20"/>
                <w:lang w:val="nl-BE"/>
              </w:rPr>
              <w:t>733</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7</w:t>
            </w:r>
            <w:r w:rsidR="00BC2325" w:rsidRPr="00E6515F">
              <w:rPr>
                <w:i/>
                <w:color w:val="000000"/>
                <w:sz w:val="20"/>
                <w:szCs w:val="20"/>
                <w:lang w:val="nl-BE"/>
              </w:rPr>
              <w:t>.</w:t>
            </w:r>
            <w:r w:rsidRPr="00E6515F">
              <w:rPr>
                <w:i/>
                <w:color w:val="000000"/>
                <w:sz w:val="20"/>
                <w:szCs w:val="20"/>
                <w:lang w:val="nl-BE"/>
              </w:rPr>
              <w:t>078</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21%</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40%</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13 </w:t>
            </w:r>
            <w:r w:rsidR="00380DEB">
              <w:rPr>
                <w:b/>
                <w:color w:val="000000"/>
                <w:sz w:val="20"/>
                <w:szCs w:val="20"/>
                <w:lang w:val="nl-BE"/>
              </w:rPr>
              <w:t xml:space="preserve">t/m </w:t>
            </w:r>
            <w:r w:rsidRPr="00E6515F">
              <w:rPr>
                <w:b/>
                <w:color w:val="000000"/>
                <w:sz w:val="20"/>
                <w:szCs w:val="20"/>
                <w:lang w:val="nl-BE"/>
              </w:rPr>
              <w:t>17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296</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425</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692</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96</w:t>
            </w: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15</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892</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4</w:t>
            </w:r>
            <w:r w:rsidR="00BC2325" w:rsidRPr="00E6515F">
              <w:rPr>
                <w:i/>
                <w:color w:val="000000"/>
                <w:sz w:val="20"/>
                <w:szCs w:val="20"/>
                <w:lang w:val="nl-BE"/>
              </w:rPr>
              <w:t>.</w:t>
            </w:r>
            <w:r w:rsidRPr="00E6515F">
              <w:rPr>
                <w:i/>
                <w:color w:val="000000"/>
                <w:sz w:val="20"/>
                <w:szCs w:val="20"/>
                <w:lang w:val="nl-BE"/>
              </w:rPr>
              <w:t>417</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13%</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53%</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18 </w:t>
            </w:r>
            <w:r w:rsidR="00380DEB">
              <w:rPr>
                <w:b/>
                <w:color w:val="000000"/>
                <w:sz w:val="20"/>
                <w:szCs w:val="20"/>
                <w:lang w:val="nl-BE"/>
              </w:rPr>
              <w:t xml:space="preserve">t/m </w:t>
            </w:r>
            <w:r w:rsidRPr="00E6515F">
              <w:rPr>
                <w:b/>
                <w:color w:val="000000"/>
                <w:sz w:val="20"/>
                <w:szCs w:val="20"/>
                <w:lang w:val="nl-BE"/>
              </w:rPr>
              <w:t>20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143</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155</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342</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12</w:t>
            </w: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34</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964</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1</w:t>
            </w:r>
            <w:r w:rsidR="00BC2325" w:rsidRPr="00E6515F">
              <w:rPr>
                <w:i/>
                <w:color w:val="000000"/>
                <w:sz w:val="20"/>
                <w:szCs w:val="20"/>
                <w:lang w:val="nl-BE"/>
              </w:rPr>
              <w:t>.</w:t>
            </w:r>
            <w:r w:rsidRPr="00E6515F">
              <w:rPr>
                <w:i/>
                <w:color w:val="000000"/>
                <w:sz w:val="20"/>
                <w:szCs w:val="20"/>
                <w:lang w:val="nl-BE"/>
              </w:rPr>
              <w:t>651</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5%</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58%</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21 </w:t>
            </w:r>
            <w:r w:rsidR="00380DEB">
              <w:rPr>
                <w:b/>
                <w:color w:val="000000"/>
                <w:sz w:val="20"/>
                <w:szCs w:val="20"/>
                <w:lang w:val="nl-BE"/>
              </w:rPr>
              <w:t xml:space="preserve">t/m </w:t>
            </w:r>
            <w:r w:rsidRPr="00E6515F">
              <w:rPr>
                <w:b/>
                <w:color w:val="000000"/>
                <w:sz w:val="20"/>
                <w:szCs w:val="20"/>
                <w:lang w:val="nl-BE"/>
              </w:rPr>
              <w:t>25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181</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293</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278</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71</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419</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2</w:t>
            </w:r>
            <w:r w:rsidR="00BC2325" w:rsidRPr="00E6515F">
              <w:rPr>
                <w:i/>
                <w:color w:val="000000"/>
                <w:sz w:val="20"/>
                <w:szCs w:val="20"/>
                <w:lang w:val="nl-BE"/>
              </w:rPr>
              <w:t>.</w:t>
            </w:r>
            <w:r w:rsidRPr="00E6515F">
              <w:rPr>
                <w:i/>
                <w:color w:val="000000"/>
                <w:sz w:val="20"/>
                <w:szCs w:val="20"/>
                <w:lang w:val="nl-BE"/>
              </w:rPr>
              <w:t>243</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7%</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65%</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26 </w:t>
            </w:r>
            <w:r w:rsidR="00380DEB">
              <w:rPr>
                <w:b/>
                <w:color w:val="000000"/>
                <w:sz w:val="20"/>
                <w:szCs w:val="20"/>
                <w:lang w:val="nl-BE"/>
              </w:rPr>
              <w:t xml:space="preserve">t/m </w:t>
            </w:r>
            <w:r w:rsidRPr="00E6515F">
              <w:rPr>
                <w:b/>
                <w:color w:val="000000"/>
                <w:sz w:val="20"/>
                <w:szCs w:val="20"/>
                <w:lang w:val="nl-BE"/>
              </w:rPr>
              <w:t>35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326</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410</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489</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87</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738</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3</w:t>
            </w:r>
            <w:r w:rsidR="00BC2325" w:rsidRPr="00E6515F">
              <w:rPr>
                <w:i/>
                <w:color w:val="000000"/>
                <w:sz w:val="20"/>
                <w:szCs w:val="20"/>
                <w:lang w:val="nl-BE"/>
              </w:rPr>
              <w:t>.</w:t>
            </w:r>
            <w:r w:rsidRPr="00E6515F">
              <w:rPr>
                <w:i/>
                <w:color w:val="000000"/>
                <w:sz w:val="20"/>
                <w:szCs w:val="20"/>
                <w:lang w:val="nl-BE"/>
              </w:rPr>
              <w:t>050</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9%</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74%</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36 </w:t>
            </w:r>
            <w:r w:rsidR="00380DEB">
              <w:rPr>
                <w:b/>
                <w:color w:val="000000"/>
                <w:sz w:val="20"/>
                <w:szCs w:val="20"/>
                <w:lang w:val="nl-BE"/>
              </w:rPr>
              <w:t xml:space="preserve">t/m </w:t>
            </w:r>
            <w:r w:rsidRPr="00E6515F">
              <w:rPr>
                <w:b/>
                <w:color w:val="000000"/>
                <w:sz w:val="20"/>
                <w:szCs w:val="20"/>
                <w:lang w:val="nl-BE"/>
              </w:rPr>
              <w:t>45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306</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119</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265</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156</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511</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2</w:t>
            </w:r>
            <w:r w:rsidR="00BC2325" w:rsidRPr="00E6515F">
              <w:rPr>
                <w:i/>
                <w:color w:val="000000"/>
                <w:sz w:val="20"/>
                <w:szCs w:val="20"/>
                <w:lang w:val="nl-BE"/>
              </w:rPr>
              <w:t>.</w:t>
            </w:r>
            <w:r w:rsidRPr="00E6515F">
              <w:rPr>
                <w:i/>
                <w:color w:val="000000"/>
                <w:sz w:val="20"/>
                <w:szCs w:val="20"/>
                <w:lang w:val="nl-BE"/>
              </w:rPr>
              <w:t>357</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7%</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81%</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46 </w:t>
            </w:r>
            <w:r w:rsidR="00380DEB">
              <w:rPr>
                <w:b/>
                <w:color w:val="000000"/>
                <w:sz w:val="20"/>
                <w:szCs w:val="20"/>
                <w:lang w:val="nl-BE"/>
              </w:rPr>
              <w:t xml:space="preserve">t/m </w:t>
            </w:r>
            <w:r w:rsidRPr="00E6515F">
              <w:rPr>
                <w:b/>
                <w:color w:val="000000"/>
                <w:sz w:val="20"/>
                <w:szCs w:val="20"/>
                <w:lang w:val="nl-BE"/>
              </w:rPr>
              <w:t>55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326</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151</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439</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290</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724</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2</w:t>
            </w:r>
            <w:r w:rsidR="00BC2325" w:rsidRPr="00E6515F">
              <w:rPr>
                <w:i/>
                <w:color w:val="000000"/>
                <w:sz w:val="20"/>
                <w:szCs w:val="20"/>
                <w:lang w:val="nl-BE"/>
              </w:rPr>
              <w:t>.</w:t>
            </w:r>
            <w:r w:rsidRPr="00E6515F">
              <w:rPr>
                <w:i/>
                <w:color w:val="000000"/>
                <w:sz w:val="20"/>
                <w:szCs w:val="20"/>
                <w:lang w:val="nl-BE"/>
              </w:rPr>
              <w:t>930</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9%</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90%</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 xml:space="preserve">56 </w:t>
            </w:r>
            <w:r w:rsidR="00380DEB">
              <w:rPr>
                <w:b/>
                <w:color w:val="000000"/>
                <w:sz w:val="20"/>
                <w:szCs w:val="20"/>
                <w:lang w:val="nl-BE"/>
              </w:rPr>
              <w:t xml:space="preserve">t/m </w:t>
            </w:r>
            <w:r w:rsidRPr="00E6515F">
              <w:rPr>
                <w:b/>
                <w:color w:val="000000"/>
                <w:sz w:val="20"/>
                <w:szCs w:val="20"/>
                <w:lang w:val="nl-BE"/>
              </w:rPr>
              <w:t>65</w:t>
            </w:r>
            <w:r w:rsidR="0002369D">
              <w:rPr>
                <w:b/>
                <w:color w:val="000000"/>
                <w:sz w:val="20"/>
                <w:szCs w:val="20"/>
                <w:lang w:val="nl-BE"/>
              </w:rPr>
              <w:t xml:space="preserve"> </w:t>
            </w:r>
            <w:r w:rsidRPr="00E6515F">
              <w:rPr>
                <w:b/>
                <w:color w:val="000000"/>
                <w:sz w:val="20"/>
                <w:szCs w:val="20"/>
                <w:lang w:val="nl-BE"/>
              </w:rPr>
              <w:t>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216</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110</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435</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353</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w:t>
            </w:r>
            <w:r w:rsidR="00BC2325" w:rsidRPr="00E6515F">
              <w:rPr>
                <w:color w:val="000000"/>
                <w:sz w:val="20"/>
                <w:szCs w:val="20"/>
                <w:lang w:val="nl-BE"/>
              </w:rPr>
              <w:t>.</w:t>
            </w:r>
            <w:r w:rsidRPr="00E6515F">
              <w:rPr>
                <w:color w:val="000000"/>
                <w:sz w:val="20"/>
                <w:szCs w:val="20"/>
                <w:lang w:val="nl-BE"/>
              </w:rPr>
              <w:t>167</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2</w:t>
            </w:r>
            <w:r w:rsidR="00BC2325" w:rsidRPr="00E6515F">
              <w:rPr>
                <w:i/>
                <w:color w:val="000000"/>
                <w:sz w:val="20"/>
                <w:szCs w:val="20"/>
                <w:lang w:val="nl-BE"/>
              </w:rPr>
              <w:t>.</w:t>
            </w:r>
            <w:r w:rsidRPr="00E6515F">
              <w:rPr>
                <w:i/>
                <w:color w:val="000000"/>
                <w:sz w:val="20"/>
                <w:szCs w:val="20"/>
                <w:lang w:val="nl-BE"/>
              </w:rPr>
              <w:t>281</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7%</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97%</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color w:val="000000"/>
                <w:sz w:val="20"/>
                <w:szCs w:val="20"/>
                <w:lang w:val="nl-BE"/>
              </w:rPr>
            </w:pPr>
            <w:r w:rsidRPr="00E6515F">
              <w:rPr>
                <w:b/>
                <w:color w:val="000000"/>
                <w:sz w:val="20"/>
                <w:szCs w:val="20"/>
                <w:lang w:val="nl-BE"/>
              </w:rPr>
              <w:t>+65 j</w:t>
            </w:r>
            <w:r w:rsidR="0002369D">
              <w:rPr>
                <w:b/>
                <w:color w:val="000000"/>
                <w:sz w:val="20"/>
                <w:szCs w:val="20"/>
                <w:lang w:val="nl-BE"/>
              </w:rPr>
              <w:t>.</w:t>
            </w:r>
          </w:p>
        </w:tc>
        <w:tc>
          <w:tcPr>
            <w:tcW w:w="1275"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42</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21</w:t>
            </w:r>
          </w:p>
        </w:tc>
        <w:tc>
          <w:tcPr>
            <w:tcW w:w="1276"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78</w:t>
            </w: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p>
        </w:tc>
        <w:tc>
          <w:tcPr>
            <w:tcW w:w="992" w:type="dxa"/>
            <w:shd w:val="clear" w:color="auto" w:fill="auto"/>
            <w:noWrap/>
            <w:vAlign w:val="bottom"/>
            <w:hideMark/>
          </w:tcPr>
          <w:p w:rsidR="00803BE4" w:rsidRPr="00E6515F" w:rsidRDefault="00803BE4" w:rsidP="00351F04">
            <w:pPr>
              <w:jc w:val="center"/>
              <w:rPr>
                <w:color w:val="000000"/>
                <w:sz w:val="20"/>
                <w:szCs w:val="20"/>
                <w:lang w:val="nl-BE"/>
              </w:rPr>
            </w:pPr>
          </w:p>
        </w:tc>
        <w:tc>
          <w:tcPr>
            <w:tcW w:w="567"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120</w:t>
            </w:r>
          </w:p>
        </w:tc>
        <w:tc>
          <w:tcPr>
            <w:tcW w:w="709" w:type="dxa"/>
            <w:shd w:val="clear" w:color="auto" w:fill="auto"/>
            <w:noWrap/>
            <w:vAlign w:val="bottom"/>
            <w:hideMark/>
          </w:tcPr>
          <w:p w:rsidR="00803BE4" w:rsidRPr="00E6515F" w:rsidRDefault="00803BE4" w:rsidP="00351F04">
            <w:pPr>
              <w:jc w:val="center"/>
              <w:rPr>
                <w:color w:val="000000"/>
                <w:sz w:val="20"/>
                <w:szCs w:val="20"/>
                <w:lang w:val="nl-BE"/>
              </w:rPr>
            </w:pPr>
            <w:r w:rsidRPr="00E6515F">
              <w:rPr>
                <w:color w:val="000000"/>
                <w:sz w:val="20"/>
                <w:szCs w:val="20"/>
                <w:lang w:val="nl-BE"/>
              </w:rPr>
              <w:t>732</w:t>
            </w:r>
          </w:p>
        </w:tc>
        <w:tc>
          <w:tcPr>
            <w:tcW w:w="709"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993</w:t>
            </w:r>
          </w:p>
        </w:tc>
        <w:tc>
          <w:tcPr>
            <w:tcW w:w="708"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3%</w:t>
            </w:r>
          </w:p>
        </w:tc>
        <w:tc>
          <w:tcPr>
            <w:tcW w:w="993" w:type="dxa"/>
            <w:shd w:val="clear" w:color="auto" w:fill="auto"/>
            <w:noWrap/>
            <w:vAlign w:val="bottom"/>
            <w:hideMark/>
          </w:tcPr>
          <w:p w:rsidR="00803BE4" w:rsidRPr="00E6515F" w:rsidRDefault="00803BE4" w:rsidP="00351F04">
            <w:pPr>
              <w:jc w:val="center"/>
              <w:rPr>
                <w:i/>
                <w:color w:val="000000"/>
                <w:sz w:val="20"/>
                <w:szCs w:val="20"/>
                <w:lang w:val="nl-BE"/>
              </w:rPr>
            </w:pPr>
            <w:r w:rsidRPr="00E6515F">
              <w:rPr>
                <w:i/>
                <w:color w:val="000000"/>
                <w:sz w:val="20"/>
                <w:szCs w:val="20"/>
                <w:lang w:val="nl-BE"/>
              </w:rPr>
              <w:t>100%</w:t>
            </w:r>
          </w:p>
        </w:tc>
      </w:tr>
      <w:tr w:rsidR="00803BE4" w:rsidRPr="00E6515F" w:rsidTr="0014736F">
        <w:trPr>
          <w:trHeight w:val="340"/>
        </w:trPr>
        <w:tc>
          <w:tcPr>
            <w:tcW w:w="993" w:type="dxa"/>
            <w:shd w:val="clear" w:color="auto" w:fill="auto"/>
            <w:noWrap/>
            <w:vAlign w:val="bottom"/>
            <w:hideMark/>
          </w:tcPr>
          <w:p w:rsidR="00803BE4" w:rsidRPr="00E6515F" w:rsidRDefault="00803BE4" w:rsidP="00351F04">
            <w:pPr>
              <w:rPr>
                <w:b/>
                <w:i/>
                <w:color w:val="000000"/>
                <w:sz w:val="20"/>
                <w:szCs w:val="20"/>
                <w:lang w:val="nl-BE"/>
              </w:rPr>
            </w:pPr>
            <w:r w:rsidRPr="00E6515F">
              <w:rPr>
                <w:b/>
                <w:i/>
                <w:color w:val="000000"/>
                <w:sz w:val="20"/>
                <w:szCs w:val="20"/>
                <w:lang w:val="nl-BE"/>
              </w:rPr>
              <w:t>Totaal</w:t>
            </w:r>
          </w:p>
        </w:tc>
        <w:tc>
          <w:tcPr>
            <w:tcW w:w="1275"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2</w:t>
            </w:r>
            <w:r w:rsidR="00BC2325" w:rsidRPr="00E6515F">
              <w:rPr>
                <w:b/>
                <w:i/>
                <w:color w:val="000000"/>
                <w:sz w:val="20"/>
                <w:szCs w:val="20"/>
                <w:lang w:val="nl-BE"/>
              </w:rPr>
              <w:t>.</w:t>
            </w:r>
            <w:r w:rsidRPr="00E6515F">
              <w:rPr>
                <w:b/>
                <w:i/>
                <w:color w:val="000000"/>
                <w:sz w:val="20"/>
                <w:szCs w:val="20"/>
                <w:lang w:val="nl-BE"/>
              </w:rPr>
              <w:t>291</w:t>
            </w:r>
          </w:p>
        </w:tc>
        <w:tc>
          <w:tcPr>
            <w:tcW w:w="1276"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3</w:t>
            </w:r>
            <w:r w:rsidR="00BC2325" w:rsidRPr="00E6515F">
              <w:rPr>
                <w:b/>
                <w:i/>
                <w:color w:val="000000"/>
                <w:sz w:val="20"/>
                <w:szCs w:val="20"/>
                <w:lang w:val="nl-BE"/>
              </w:rPr>
              <w:t>.</w:t>
            </w:r>
            <w:r w:rsidRPr="00E6515F">
              <w:rPr>
                <w:b/>
                <w:i/>
                <w:color w:val="000000"/>
                <w:sz w:val="20"/>
                <w:szCs w:val="20"/>
                <w:lang w:val="nl-BE"/>
              </w:rPr>
              <w:t>776</w:t>
            </w:r>
          </w:p>
        </w:tc>
        <w:tc>
          <w:tcPr>
            <w:tcW w:w="1276"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6</w:t>
            </w:r>
            <w:r w:rsidR="00BC2325" w:rsidRPr="00E6515F">
              <w:rPr>
                <w:b/>
                <w:i/>
                <w:color w:val="000000"/>
                <w:sz w:val="20"/>
                <w:szCs w:val="20"/>
                <w:lang w:val="nl-BE"/>
              </w:rPr>
              <w:t>.</w:t>
            </w:r>
            <w:r w:rsidRPr="00E6515F">
              <w:rPr>
                <w:b/>
                <w:i/>
                <w:color w:val="000000"/>
                <w:sz w:val="20"/>
                <w:szCs w:val="20"/>
                <w:lang w:val="nl-BE"/>
              </w:rPr>
              <w:t>020</w:t>
            </w:r>
          </w:p>
        </w:tc>
        <w:tc>
          <w:tcPr>
            <w:tcW w:w="567"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288</w:t>
            </w:r>
          </w:p>
        </w:tc>
        <w:tc>
          <w:tcPr>
            <w:tcW w:w="992"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84</w:t>
            </w:r>
          </w:p>
        </w:tc>
        <w:tc>
          <w:tcPr>
            <w:tcW w:w="567"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1</w:t>
            </w:r>
            <w:r w:rsidR="00BC2325" w:rsidRPr="00E6515F">
              <w:rPr>
                <w:b/>
                <w:i/>
                <w:color w:val="000000"/>
                <w:sz w:val="20"/>
                <w:szCs w:val="20"/>
                <w:lang w:val="nl-BE"/>
              </w:rPr>
              <w:t>.</w:t>
            </w:r>
            <w:r w:rsidRPr="00E6515F">
              <w:rPr>
                <w:b/>
                <w:i/>
                <w:color w:val="000000"/>
                <w:sz w:val="20"/>
                <w:szCs w:val="20"/>
                <w:lang w:val="nl-BE"/>
              </w:rPr>
              <w:t>112</w:t>
            </w:r>
          </w:p>
        </w:tc>
        <w:tc>
          <w:tcPr>
            <w:tcW w:w="709"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19</w:t>
            </w:r>
            <w:r w:rsidR="00BC2325" w:rsidRPr="00E6515F">
              <w:rPr>
                <w:b/>
                <w:i/>
                <w:color w:val="000000"/>
                <w:sz w:val="20"/>
                <w:szCs w:val="20"/>
                <w:lang w:val="nl-BE"/>
              </w:rPr>
              <w:t>.</w:t>
            </w:r>
            <w:r w:rsidRPr="00E6515F">
              <w:rPr>
                <w:b/>
                <w:i/>
                <w:color w:val="000000"/>
                <w:sz w:val="20"/>
                <w:szCs w:val="20"/>
                <w:lang w:val="nl-BE"/>
              </w:rPr>
              <w:t>384</w:t>
            </w:r>
          </w:p>
        </w:tc>
        <w:tc>
          <w:tcPr>
            <w:tcW w:w="709"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32</w:t>
            </w:r>
            <w:r w:rsidR="00BC2325" w:rsidRPr="00E6515F">
              <w:rPr>
                <w:b/>
                <w:i/>
                <w:color w:val="000000"/>
                <w:sz w:val="20"/>
                <w:szCs w:val="20"/>
                <w:lang w:val="nl-BE"/>
              </w:rPr>
              <w:t>.</w:t>
            </w:r>
            <w:r w:rsidRPr="00E6515F">
              <w:rPr>
                <w:b/>
                <w:i/>
                <w:color w:val="000000"/>
                <w:sz w:val="20"/>
                <w:szCs w:val="20"/>
                <w:lang w:val="nl-BE"/>
              </w:rPr>
              <w:t>955</w:t>
            </w:r>
          </w:p>
        </w:tc>
        <w:tc>
          <w:tcPr>
            <w:tcW w:w="708" w:type="dxa"/>
            <w:shd w:val="clear" w:color="auto" w:fill="auto"/>
            <w:noWrap/>
            <w:vAlign w:val="bottom"/>
            <w:hideMark/>
          </w:tcPr>
          <w:p w:rsidR="00803BE4" w:rsidRPr="00E6515F" w:rsidRDefault="00803BE4" w:rsidP="00351F04">
            <w:pPr>
              <w:jc w:val="center"/>
              <w:rPr>
                <w:b/>
                <w:i/>
                <w:color w:val="000000"/>
                <w:sz w:val="20"/>
                <w:szCs w:val="20"/>
                <w:lang w:val="nl-BE"/>
              </w:rPr>
            </w:pPr>
            <w:r w:rsidRPr="00E6515F">
              <w:rPr>
                <w:b/>
                <w:i/>
                <w:color w:val="000000"/>
                <w:sz w:val="20"/>
                <w:szCs w:val="20"/>
                <w:lang w:val="nl-BE"/>
              </w:rPr>
              <w:t>100%</w:t>
            </w:r>
          </w:p>
        </w:tc>
        <w:tc>
          <w:tcPr>
            <w:tcW w:w="993" w:type="dxa"/>
            <w:shd w:val="clear" w:color="auto" w:fill="auto"/>
            <w:noWrap/>
            <w:vAlign w:val="bottom"/>
            <w:hideMark/>
          </w:tcPr>
          <w:p w:rsidR="00803BE4" w:rsidRPr="00E6515F" w:rsidRDefault="00803BE4" w:rsidP="00351F04">
            <w:pPr>
              <w:jc w:val="center"/>
              <w:rPr>
                <w:b/>
                <w:i/>
                <w:color w:val="000000"/>
                <w:sz w:val="20"/>
                <w:szCs w:val="20"/>
                <w:lang w:val="nl-BE"/>
              </w:rPr>
            </w:pPr>
          </w:p>
        </w:tc>
      </w:tr>
    </w:tbl>
    <w:p w:rsidR="00CD1B8C" w:rsidRPr="00E6515F" w:rsidRDefault="007F519A">
      <w:pPr>
        <w:rPr>
          <w:sz w:val="18"/>
          <w:szCs w:val="18"/>
          <w:lang w:val="nl-BE"/>
        </w:rPr>
      </w:pPr>
      <w:r w:rsidRPr="00E6515F">
        <w:rPr>
          <w:sz w:val="18"/>
          <w:szCs w:val="18"/>
          <w:lang w:val="nl-BE"/>
        </w:rPr>
        <w:t xml:space="preserve"> </w:t>
      </w:r>
      <w:r w:rsidR="00914AD8" w:rsidRPr="00E6515F">
        <w:rPr>
          <w:sz w:val="18"/>
          <w:szCs w:val="18"/>
          <w:lang w:val="nl-BE"/>
        </w:rPr>
        <w:t>*</w:t>
      </w:r>
      <w:r w:rsidR="00095420">
        <w:rPr>
          <w:sz w:val="18"/>
          <w:szCs w:val="18"/>
          <w:lang w:val="nl-BE"/>
        </w:rPr>
        <w:t xml:space="preserve"> </w:t>
      </w:r>
      <w:r w:rsidR="00627480" w:rsidRPr="00E6515F">
        <w:rPr>
          <w:sz w:val="18"/>
          <w:szCs w:val="18"/>
          <w:lang w:val="nl-BE"/>
        </w:rPr>
        <w:t>=</w:t>
      </w:r>
      <w:r w:rsidR="0002369D">
        <w:rPr>
          <w:sz w:val="18"/>
          <w:szCs w:val="18"/>
          <w:lang w:val="nl-BE"/>
        </w:rPr>
        <w:t xml:space="preserve"> </w:t>
      </w:r>
      <w:r w:rsidR="00914AD8" w:rsidRPr="00E6515F">
        <w:rPr>
          <w:sz w:val="18"/>
          <w:szCs w:val="18"/>
          <w:lang w:val="nl-BE"/>
        </w:rPr>
        <w:t>persoonlijk</w:t>
      </w:r>
      <w:r w:rsidR="006857B0" w:rsidRPr="00E6515F">
        <w:rPr>
          <w:sz w:val="18"/>
          <w:szCs w:val="18"/>
          <w:lang w:val="nl-BE"/>
        </w:rPr>
        <w:t>e</w:t>
      </w:r>
      <w:r w:rsidR="00095420">
        <w:rPr>
          <w:sz w:val="18"/>
          <w:szCs w:val="18"/>
          <w:lang w:val="nl-BE"/>
        </w:rPr>
        <w:t>-</w:t>
      </w:r>
      <w:r w:rsidR="00914AD8" w:rsidRPr="00E6515F">
        <w:rPr>
          <w:sz w:val="18"/>
          <w:szCs w:val="18"/>
          <w:lang w:val="nl-BE"/>
        </w:rPr>
        <w:t xml:space="preserve">assistentiebudget + </w:t>
      </w:r>
      <w:proofErr w:type="spellStart"/>
      <w:r w:rsidR="00914AD8" w:rsidRPr="00E6515F">
        <w:rPr>
          <w:sz w:val="18"/>
          <w:szCs w:val="18"/>
          <w:lang w:val="nl-BE"/>
        </w:rPr>
        <w:t>dagonderst</w:t>
      </w:r>
      <w:r w:rsidR="00F04D35" w:rsidRPr="00E6515F">
        <w:rPr>
          <w:sz w:val="18"/>
          <w:szCs w:val="18"/>
          <w:lang w:val="nl-BE"/>
        </w:rPr>
        <w:t>eu</w:t>
      </w:r>
      <w:r w:rsidR="00914AD8" w:rsidRPr="00E6515F">
        <w:rPr>
          <w:sz w:val="18"/>
          <w:szCs w:val="18"/>
          <w:lang w:val="nl-BE"/>
        </w:rPr>
        <w:t>ning</w:t>
      </w:r>
      <w:proofErr w:type="spellEnd"/>
    </w:p>
    <w:p w:rsidR="00914AD8" w:rsidRPr="00E6515F" w:rsidRDefault="00914AD8">
      <w:pPr>
        <w:rPr>
          <w:sz w:val="18"/>
          <w:szCs w:val="18"/>
          <w:lang w:val="nl-BE"/>
        </w:rPr>
      </w:pPr>
    </w:p>
    <w:p w:rsidR="00CD1B8C" w:rsidRPr="00E6515F" w:rsidRDefault="002859D7">
      <w:pPr>
        <w:rPr>
          <w:lang w:val="nl-BE"/>
        </w:rPr>
      </w:pPr>
      <w:r w:rsidRPr="00E6515F">
        <w:rPr>
          <w:lang w:val="nl-BE"/>
        </w:rPr>
        <w:t xml:space="preserve">We zien </w:t>
      </w:r>
      <w:r w:rsidR="00627480" w:rsidRPr="00E6515F">
        <w:rPr>
          <w:lang w:val="nl-BE"/>
        </w:rPr>
        <w:t xml:space="preserve">dat </w:t>
      </w:r>
      <w:r w:rsidRPr="00E6515F">
        <w:rPr>
          <w:lang w:val="nl-BE"/>
        </w:rPr>
        <w:t>mensen die no</w:t>
      </w:r>
      <w:r w:rsidR="00627480" w:rsidRPr="00E6515F">
        <w:rPr>
          <w:lang w:val="nl-BE"/>
        </w:rPr>
        <w:t>g geen ondersteuning hadden in 2008, maar wel in 20</w:t>
      </w:r>
      <w:r w:rsidRPr="00E6515F">
        <w:rPr>
          <w:lang w:val="nl-BE"/>
        </w:rPr>
        <w:t xml:space="preserve">17, voornamelijk gebruik maken van </w:t>
      </w:r>
      <w:r w:rsidR="00DD02E4">
        <w:rPr>
          <w:lang w:val="nl-BE"/>
        </w:rPr>
        <w:t>rechtstreeks toegankelijke hulp</w:t>
      </w:r>
      <w:r w:rsidRPr="00E6515F">
        <w:rPr>
          <w:lang w:val="nl-BE"/>
        </w:rPr>
        <w:t xml:space="preserve"> en woonondersteuning. </w:t>
      </w:r>
      <w:r w:rsidR="00627480" w:rsidRPr="00E6515F">
        <w:rPr>
          <w:lang w:val="nl-BE"/>
        </w:rPr>
        <w:t>Daarop volgt het gebruik van</w:t>
      </w:r>
      <w:r w:rsidRPr="00E6515F">
        <w:rPr>
          <w:lang w:val="nl-BE"/>
        </w:rPr>
        <w:t xml:space="preserve"> </w:t>
      </w:r>
      <w:proofErr w:type="spellStart"/>
      <w:r w:rsidRPr="00E6515F">
        <w:rPr>
          <w:lang w:val="nl-BE"/>
        </w:rPr>
        <w:t>dagondersteuning</w:t>
      </w:r>
      <w:proofErr w:type="spellEnd"/>
      <w:r w:rsidRPr="00E6515F">
        <w:rPr>
          <w:lang w:val="nl-BE"/>
        </w:rPr>
        <w:t xml:space="preserve"> en </w:t>
      </w:r>
      <w:r w:rsidR="00627480" w:rsidRPr="00E6515F">
        <w:rPr>
          <w:lang w:val="nl-BE"/>
        </w:rPr>
        <w:t xml:space="preserve">van </w:t>
      </w:r>
      <w:r w:rsidRPr="00E6515F">
        <w:rPr>
          <w:lang w:val="nl-BE"/>
        </w:rPr>
        <w:t xml:space="preserve">individuele ondersteuning. </w:t>
      </w:r>
      <w:r w:rsidR="00803BE4" w:rsidRPr="00E6515F">
        <w:rPr>
          <w:lang w:val="nl-BE"/>
        </w:rPr>
        <w:t xml:space="preserve">Daarnaast zien we ook dat meer dan de helft van de instromers minderjarig </w:t>
      </w:r>
      <w:r w:rsidR="0002369D">
        <w:rPr>
          <w:lang w:val="nl-BE"/>
        </w:rPr>
        <w:t>is</w:t>
      </w:r>
      <w:r w:rsidR="0002369D" w:rsidRPr="00E6515F">
        <w:rPr>
          <w:lang w:val="nl-BE"/>
        </w:rPr>
        <w:t xml:space="preserve"> </w:t>
      </w:r>
      <w:r w:rsidR="00803BE4" w:rsidRPr="00E6515F">
        <w:rPr>
          <w:lang w:val="nl-BE"/>
        </w:rPr>
        <w:t xml:space="preserve">in 2017. </w:t>
      </w:r>
    </w:p>
    <w:p w:rsidR="00CD1B8C" w:rsidRPr="00E6515F" w:rsidRDefault="00CD1B8C" w:rsidP="00A179E6">
      <w:pPr>
        <w:contextualSpacing/>
        <w:rPr>
          <w:lang w:val="nl-BE"/>
        </w:rPr>
      </w:pPr>
    </w:p>
    <w:p w:rsidR="0014736F" w:rsidRDefault="0014736F">
      <w:pPr>
        <w:rPr>
          <w:bCs/>
          <w:szCs w:val="18"/>
          <w:u w:val="single"/>
          <w:lang w:val="nl-BE"/>
        </w:rPr>
      </w:pPr>
      <w:r>
        <w:rPr>
          <w:lang w:val="nl-BE"/>
        </w:rPr>
        <w:br w:type="page"/>
      </w:r>
    </w:p>
    <w:p w:rsidR="00A179E6" w:rsidRPr="00E6515F" w:rsidRDefault="00A179E6" w:rsidP="00A179E6">
      <w:pPr>
        <w:pStyle w:val="Bijschrift"/>
        <w:keepNex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7</w:t>
      </w:r>
      <w:r w:rsidRPr="00E6515F">
        <w:rPr>
          <w:lang w:val="nl-BE"/>
        </w:rPr>
        <w:fldChar w:fldCharType="end"/>
      </w:r>
      <w:r w:rsidRPr="00E6515F">
        <w:rPr>
          <w:lang w:val="nl-BE"/>
        </w:rPr>
        <w:t>: Aantal per reden uitstroom per leeftijdscategorie</w:t>
      </w:r>
    </w:p>
    <w:tbl>
      <w:tblPr>
        <w:tblStyle w:val="ad"/>
        <w:tblW w:w="7405"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1715"/>
        <w:gridCol w:w="1520"/>
        <w:gridCol w:w="1235"/>
        <w:gridCol w:w="1700"/>
        <w:gridCol w:w="1235"/>
      </w:tblGrid>
      <w:tr w:rsidR="00CD1B8C" w:rsidRPr="00E6515F">
        <w:tc>
          <w:tcPr>
            <w:tcW w:w="171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Leeftijdscategorie 2008</w:t>
            </w:r>
          </w:p>
        </w:tc>
        <w:tc>
          <w:tcPr>
            <w:tcW w:w="1520"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F04D35">
            <w:pPr>
              <w:widowControl w:val="0"/>
              <w:jc w:val="center"/>
              <w:rPr>
                <w:b/>
                <w:sz w:val="20"/>
                <w:szCs w:val="20"/>
                <w:lang w:val="nl-BE"/>
              </w:rPr>
            </w:pPr>
            <w:r w:rsidRPr="00E6515F">
              <w:rPr>
                <w:b/>
                <w:sz w:val="20"/>
                <w:szCs w:val="20"/>
                <w:lang w:val="nl-BE"/>
              </w:rPr>
              <w:t>Meerderjarig geworden</w:t>
            </w:r>
            <w:r w:rsidR="002859D7" w:rsidRPr="00E6515F">
              <w:rPr>
                <w:b/>
                <w:sz w:val="20"/>
                <w:szCs w:val="20"/>
                <w:lang w:val="nl-BE"/>
              </w:rPr>
              <w:t>*</w:t>
            </w:r>
          </w:p>
        </w:tc>
        <w:tc>
          <w:tcPr>
            <w:tcW w:w="123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Overleden*</w:t>
            </w:r>
          </w:p>
        </w:tc>
        <w:tc>
          <w:tcPr>
            <w:tcW w:w="1700"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Andere</w:t>
            </w:r>
          </w:p>
        </w:tc>
        <w:tc>
          <w:tcPr>
            <w:tcW w:w="123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Totaal</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0 </w:t>
            </w:r>
            <w:r w:rsidR="00380DEB">
              <w:rPr>
                <w:b/>
                <w:sz w:val="20"/>
                <w:szCs w:val="20"/>
                <w:lang w:val="nl-BE"/>
              </w:rPr>
              <w:t xml:space="preserve">t/m </w:t>
            </w:r>
            <w:r w:rsidRPr="00E6515F">
              <w:rPr>
                <w:b/>
                <w:sz w:val="20"/>
                <w:szCs w:val="20"/>
                <w:lang w:val="nl-BE"/>
              </w:rPr>
              <w:t>6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106</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1.796</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1.902</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7 </w:t>
            </w:r>
            <w:r w:rsidR="00380DEB">
              <w:rPr>
                <w:b/>
                <w:sz w:val="20"/>
                <w:szCs w:val="20"/>
                <w:lang w:val="nl-BE"/>
              </w:rPr>
              <w:t xml:space="preserve">t/m </w:t>
            </w:r>
            <w:r w:rsidRPr="00E6515F">
              <w:rPr>
                <w:b/>
                <w:sz w:val="20"/>
                <w:szCs w:val="20"/>
                <w:lang w:val="nl-BE"/>
              </w:rPr>
              <w:t>12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2.310</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81</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804</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3.195</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13 </w:t>
            </w:r>
            <w:r w:rsidR="00380DEB">
              <w:rPr>
                <w:b/>
                <w:sz w:val="20"/>
                <w:szCs w:val="20"/>
                <w:lang w:val="nl-BE"/>
              </w:rPr>
              <w:t xml:space="preserve">t/m </w:t>
            </w:r>
            <w:r w:rsidRPr="00E6515F">
              <w:rPr>
                <w:b/>
                <w:sz w:val="20"/>
                <w:szCs w:val="20"/>
                <w:lang w:val="nl-BE"/>
              </w:rPr>
              <w:t>17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2.676</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115</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2.791</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71</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501</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572</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99</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333</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432</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261</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407</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668</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472</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358</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830</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870</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306</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1.176</w:t>
            </w:r>
          </w:p>
        </w:tc>
      </w:tr>
      <w:tr w:rsidR="00CD1B8C" w:rsidRPr="00E6515F">
        <w:tc>
          <w:tcPr>
            <w:tcW w:w="171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02369D">
              <w:rPr>
                <w:b/>
                <w:sz w:val="20"/>
                <w:szCs w:val="20"/>
                <w:lang w:val="nl-BE"/>
              </w:rPr>
              <w:t xml:space="preserve"> </w:t>
            </w:r>
            <w:r w:rsidRPr="00E6515F">
              <w:rPr>
                <w:b/>
                <w:sz w:val="20"/>
                <w:szCs w:val="20"/>
                <w:lang w:val="nl-BE"/>
              </w:rPr>
              <w:t>j</w:t>
            </w:r>
            <w:r w:rsidR="0002369D">
              <w:rPr>
                <w:b/>
                <w:sz w:val="20"/>
                <w:szCs w:val="20"/>
                <w:lang w:val="nl-BE"/>
              </w:rPr>
              <w:t>.</w:t>
            </w:r>
          </w:p>
        </w:tc>
        <w:tc>
          <w:tcPr>
            <w:tcW w:w="152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793</w:t>
            </w:r>
          </w:p>
        </w:tc>
        <w:tc>
          <w:tcPr>
            <w:tcW w:w="1700"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185</w:t>
            </w:r>
          </w:p>
        </w:tc>
        <w:tc>
          <w:tcPr>
            <w:tcW w:w="123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978</w:t>
            </w:r>
          </w:p>
        </w:tc>
      </w:tr>
      <w:tr w:rsidR="00CD1B8C" w:rsidRPr="00E6515F" w:rsidTr="00FA51E2">
        <w:tc>
          <w:tcPr>
            <w:tcW w:w="1715" w:type="dxa"/>
            <w:tcBorders>
              <w:top w:val="nil"/>
              <w:left w:val="single" w:sz="8" w:space="0" w:color="414141"/>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+65 j</w:t>
            </w:r>
            <w:r w:rsidR="0002369D">
              <w:rPr>
                <w:b/>
                <w:sz w:val="20"/>
                <w:szCs w:val="20"/>
                <w:lang w:val="nl-BE"/>
              </w:rPr>
              <w:t>.</w:t>
            </w:r>
          </w:p>
        </w:tc>
        <w:tc>
          <w:tcPr>
            <w:tcW w:w="1520"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235"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456</w:t>
            </w:r>
          </w:p>
        </w:tc>
        <w:tc>
          <w:tcPr>
            <w:tcW w:w="1700"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86</w:t>
            </w:r>
          </w:p>
        </w:tc>
        <w:tc>
          <w:tcPr>
            <w:tcW w:w="1235" w:type="dxa"/>
            <w:tcBorders>
              <w:top w:val="nil"/>
              <w:left w:val="nil"/>
              <w:bottom w:val="single" w:sz="4" w:space="0" w:color="auto"/>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542</w:t>
            </w:r>
          </w:p>
        </w:tc>
      </w:tr>
      <w:tr w:rsidR="00CD1B8C" w:rsidRPr="00E6515F" w:rsidTr="00FA51E2">
        <w:tc>
          <w:tcPr>
            <w:tcW w:w="171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152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4.986</w:t>
            </w:r>
          </w:p>
        </w:tc>
        <w:tc>
          <w:tcPr>
            <w:tcW w:w="123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3.324</w:t>
            </w:r>
          </w:p>
        </w:tc>
        <w:tc>
          <w:tcPr>
            <w:tcW w:w="170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4.776</w:t>
            </w:r>
          </w:p>
        </w:tc>
        <w:tc>
          <w:tcPr>
            <w:tcW w:w="123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13.086</w:t>
            </w:r>
          </w:p>
        </w:tc>
      </w:tr>
      <w:tr w:rsidR="00351F04" w:rsidRPr="00E6515F" w:rsidTr="00FA51E2">
        <w:tc>
          <w:tcPr>
            <w:tcW w:w="171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351F04" w:rsidRPr="00E6515F" w:rsidRDefault="00351F04">
            <w:pPr>
              <w:widowControl w:val="0"/>
              <w:rPr>
                <w:b/>
                <w:i/>
                <w:sz w:val="20"/>
                <w:szCs w:val="20"/>
                <w:lang w:val="nl-BE"/>
              </w:rPr>
            </w:pPr>
            <w:r w:rsidRPr="00E6515F">
              <w:rPr>
                <w:b/>
                <w:i/>
                <w:sz w:val="20"/>
                <w:szCs w:val="20"/>
                <w:lang w:val="nl-BE"/>
              </w:rPr>
              <w:t>Totaal in %</w:t>
            </w:r>
          </w:p>
        </w:tc>
        <w:tc>
          <w:tcPr>
            <w:tcW w:w="152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38%</w:t>
            </w:r>
          </w:p>
        </w:tc>
        <w:tc>
          <w:tcPr>
            <w:tcW w:w="123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25%</w:t>
            </w:r>
          </w:p>
        </w:tc>
        <w:tc>
          <w:tcPr>
            <w:tcW w:w="170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36%</w:t>
            </w:r>
          </w:p>
        </w:tc>
        <w:tc>
          <w:tcPr>
            <w:tcW w:w="1235"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351F04" w:rsidRPr="00E6515F" w:rsidRDefault="00351F04">
            <w:pPr>
              <w:widowControl w:val="0"/>
              <w:jc w:val="center"/>
              <w:rPr>
                <w:b/>
                <w:i/>
                <w:sz w:val="20"/>
                <w:szCs w:val="20"/>
                <w:lang w:val="nl-BE"/>
              </w:rPr>
            </w:pPr>
            <w:r w:rsidRPr="00E6515F">
              <w:rPr>
                <w:b/>
                <w:i/>
                <w:color w:val="000000"/>
                <w:lang w:val="nl-BE"/>
              </w:rPr>
              <w:t>100%</w:t>
            </w:r>
          </w:p>
        </w:tc>
      </w:tr>
    </w:tbl>
    <w:p w:rsidR="00CD1B8C" w:rsidRPr="00E6515F" w:rsidRDefault="00627480">
      <w:pPr>
        <w:rPr>
          <w:sz w:val="18"/>
          <w:szCs w:val="18"/>
          <w:lang w:val="nl-BE"/>
        </w:rPr>
      </w:pPr>
      <w:r w:rsidRPr="00E6515F">
        <w:rPr>
          <w:sz w:val="18"/>
          <w:szCs w:val="18"/>
          <w:lang w:val="nl-BE"/>
        </w:rPr>
        <w:t>*</w:t>
      </w:r>
      <w:r w:rsidR="0002369D">
        <w:rPr>
          <w:sz w:val="18"/>
          <w:szCs w:val="18"/>
          <w:lang w:val="nl-BE"/>
        </w:rPr>
        <w:t xml:space="preserve"> </w:t>
      </w:r>
      <w:r w:rsidRPr="00E6515F">
        <w:rPr>
          <w:sz w:val="18"/>
          <w:szCs w:val="18"/>
          <w:lang w:val="nl-BE"/>
        </w:rPr>
        <w:t>De persoon is tussen 01</w:t>
      </w:r>
      <w:r w:rsidR="0002369D">
        <w:rPr>
          <w:sz w:val="18"/>
          <w:szCs w:val="18"/>
          <w:lang w:val="nl-BE"/>
        </w:rPr>
        <w:t>.</w:t>
      </w:r>
      <w:r w:rsidRPr="00E6515F">
        <w:rPr>
          <w:sz w:val="18"/>
          <w:szCs w:val="18"/>
          <w:lang w:val="nl-BE"/>
        </w:rPr>
        <w:t>01</w:t>
      </w:r>
      <w:r w:rsidR="0002369D">
        <w:rPr>
          <w:sz w:val="18"/>
          <w:szCs w:val="18"/>
          <w:lang w:val="nl-BE"/>
        </w:rPr>
        <w:t>.</w:t>
      </w:r>
      <w:r w:rsidRPr="00E6515F">
        <w:rPr>
          <w:sz w:val="18"/>
          <w:szCs w:val="18"/>
          <w:lang w:val="nl-BE"/>
        </w:rPr>
        <w:t>2008 en 31</w:t>
      </w:r>
      <w:r w:rsidR="0002369D">
        <w:rPr>
          <w:sz w:val="18"/>
          <w:szCs w:val="18"/>
          <w:lang w:val="nl-BE"/>
        </w:rPr>
        <w:t>.</w:t>
      </w:r>
      <w:r w:rsidRPr="00E6515F">
        <w:rPr>
          <w:sz w:val="18"/>
          <w:szCs w:val="18"/>
          <w:lang w:val="nl-BE"/>
        </w:rPr>
        <w:t>12</w:t>
      </w:r>
      <w:r w:rsidR="0002369D">
        <w:rPr>
          <w:sz w:val="18"/>
          <w:szCs w:val="18"/>
          <w:lang w:val="nl-BE"/>
        </w:rPr>
        <w:t>.</w:t>
      </w:r>
      <w:r w:rsidRPr="00E6515F">
        <w:rPr>
          <w:sz w:val="18"/>
          <w:szCs w:val="18"/>
          <w:lang w:val="nl-BE"/>
        </w:rPr>
        <w:t>20</w:t>
      </w:r>
      <w:r w:rsidR="002859D7" w:rsidRPr="00E6515F">
        <w:rPr>
          <w:sz w:val="18"/>
          <w:szCs w:val="18"/>
          <w:lang w:val="nl-BE"/>
        </w:rPr>
        <w:t>17 overleden</w:t>
      </w:r>
      <w:r w:rsidR="0002369D">
        <w:rPr>
          <w:sz w:val="18"/>
          <w:szCs w:val="18"/>
          <w:lang w:val="nl-BE"/>
        </w:rPr>
        <w:t xml:space="preserve"> of </w:t>
      </w:r>
      <w:r w:rsidR="002859D7" w:rsidRPr="00E6515F">
        <w:rPr>
          <w:sz w:val="18"/>
          <w:szCs w:val="18"/>
          <w:lang w:val="nl-BE"/>
        </w:rPr>
        <w:t>meerderjarig geworden. Mogelijk stroomde de persoon al uit voor de overlijdensdatum of de 18de verjaardag.</w:t>
      </w:r>
    </w:p>
    <w:p w:rsidR="00CD1B8C" w:rsidRPr="00E6515F" w:rsidRDefault="00CD1B8C">
      <w:pPr>
        <w:rPr>
          <w:lang w:val="nl-BE"/>
        </w:rPr>
      </w:pPr>
    </w:p>
    <w:p w:rsidR="00A14A44" w:rsidRPr="00E6515F" w:rsidRDefault="002859D7">
      <w:pPr>
        <w:jc w:val="both"/>
        <w:rPr>
          <w:lang w:val="nl-BE"/>
        </w:rPr>
      </w:pPr>
      <w:r w:rsidRPr="00E6515F">
        <w:rPr>
          <w:lang w:val="nl-BE"/>
        </w:rPr>
        <w:t xml:space="preserve">We delen de personen die uitstromen tussen 2008 en 2017 op in drie groepen. </w:t>
      </w:r>
    </w:p>
    <w:p w:rsidR="00243CFF" w:rsidRPr="00E6515F" w:rsidRDefault="002859D7" w:rsidP="006857B0">
      <w:pPr>
        <w:ind w:left="720"/>
        <w:jc w:val="both"/>
        <w:rPr>
          <w:lang w:val="nl-BE"/>
        </w:rPr>
      </w:pPr>
      <w:r w:rsidRPr="00E6515F">
        <w:rPr>
          <w:lang w:val="nl-BE"/>
        </w:rPr>
        <w:t>(1) Meerderjarig geworden:</w:t>
      </w:r>
      <w:r w:rsidR="00627480" w:rsidRPr="00E6515F">
        <w:rPr>
          <w:lang w:val="nl-BE"/>
        </w:rPr>
        <w:t xml:space="preserve"> de persoon was minderjarig in 20</w:t>
      </w:r>
      <w:r w:rsidRPr="00E6515F">
        <w:rPr>
          <w:lang w:val="nl-BE"/>
        </w:rPr>
        <w:t>08, i</w:t>
      </w:r>
      <w:r w:rsidR="00627480" w:rsidRPr="00E6515F">
        <w:rPr>
          <w:lang w:val="nl-BE"/>
        </w:rPr>
        <w:t>s meerderjarig geworden tussen 2008 en 20</w:t>
      </w:r>
      <w:r w:rsidRPr="00E6515F">
        <w:rPr>
          <w:lang w:val="nl-BE"/>
        </w:rPr>
        <w:t xml:space="preserve">17 en </w:t>
      </w:r>
      <w:r w:rsidR="0002369D">
        <w:rPr>
          <w:lang w:val="nl-BE"/>
        </w:rPr>
        <w:t>deed</w:t>
      </w:r>
      <w:r w:rsidR="0002369D" w:rsidRPr="00E6515F">
        <w:rPr>
          <w:lang w:val="nl-BE"/>
        </w:rPr>
        <w:t xml:space="preserve"> </w:t>
      </w:r>
      <w:r w:rsidRPr="00E6515F">
        <w:rPr>
          <w:lang w:val="nl-BE"/>
        </w:rPr>
        <w:t>geen beroe</w:t>
      </w:r>
      <w:r w:rsidR="00627480" w:rsidRPr="00E6515F">
        <w:rPr>
          <w:lang w:val="nl-BE"/>
        </w:rPr>
        <w:t>p op volwassenondersteuning in 20</w:t>
      </w:r>
      <w:r w:rsidRPr="00E6515F">
        <w:rPr>
          <w:lang w:val="nl-BE"/>
        </w:rPr>
        <w:t>17.</w:t>
      </w:r>
    </w:p>
    <w:p w:rsidR="00243CFF" w:rsidRPr="00E6515F" w:rsidRDefault="002859D7" w:rsidP="006857B0">
      <w:pPr>
        <w:ind w:left="720"/>
        <w:jc w:val="both"/>
        <w:rPr>
          <w:lang w:val="nl-BE"/>
        </w:rPr>
      </w:pPr>
      <w:r w:rsidRPr="00E6515F">
        <w:rPr>
          <w:lang w:val="nl-BE"/>
        </w:rPr>
        <w:t xml:space="preserve">(2) </w:t>
      </w:r>
      <w:r w:rsidR="0002369D">
        <w:rPr>
          <w:lang w:val="nl-BE"/>
        </w:rPr>
        <w:t>O</w:t>
      </w:r>
      <w:r w:rsidR="0002369D" w:rsidRPr="00E6515F">
        <w:rPr>
          <w:lang w:val="nl-BE"/>
        </w:rPr>
        <w:t xml:space="preserve">verleden </w:t>
      </w:r>
    </w:p>
    <w:p w:rsidR="00CD1B8C" w:rsidRPr="00E6515F" w:rsidRDefault="002859D7" w:rsidP="006857B0">
      <w:pPr>
        <w:ind w:left="720"/>
        <w:jc w:val="both"/>
        <w:rPr>
          <w:lang w:val="nl-BE"/>
        </w:rPr>
      </w:pPr>
      <w:r w:rsidRPr="00E6515F">
        <w:rPr>
          <w:lang w:val="nl-BE"/>
        </w:rPr>
        <w:t xml:space="preserve">(3) </w:t>
      </w:r>
      <w:r w:rsidR="0002369D">
        <w:rPr>
          <w:lang w:val="nl-BE"/>
        </w:rPr>
        <w:t>A</w:t>
      </w:r>
      <w:r w:rsidR="0002369D" w:rsidRPr="00E6515F">
        <w:rPr>
          <w:lang w:val="nl-BE"/>
        </w:rPr>
        <w:t>ndere</w:t>
      </w:r>
      <w:r w:rsidRPr="00E6515F">
        <w:rPr>
          <w:lang w:val="nl-BE"/>
        </w:rPr>
        <w:t>: dit zijn alle mensen die uitgestroomd zijn en niet overleden zijn, of mee</w:t>
      </w:r>
      <w:r w:rsidR="00627480" w:rsidRPr="00E6515F">
        <w:rPr>
          <w:lang w:val="nl-BE"/>
        </w:rPr>
        <w:t>rderjarig geworden zijn tussen 2008 en 20</w:t>
      </w:r>
      <w:r w:rsidRPr="00E6515F">
        <w:rPr>
          <w:lang w:val="nl-BE"/>
        </w:rPr>
        <w:t xml:space="preserve">17.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Opvallend is hier dat 4.986 van de 13.086 </w:t>
      </w:r>
      <w:proofErr w:type="spellStart"/>
      <w:r w:rsidRPr="00E6515F">
        <w:rPr>
          <w:lang w:val="nl-BE"/>
        </w:rPr>
        <w:t>uitstromers</w:t>
      </w:r>
      <w:proofErr w:type="spellEnd"/>
      <w:r w:rsidRPr="00E6515F">
        <w:rPr>
          <w:lang w:val="nl-BE"/>
        </w:rPr>
        <w:t xml:space="preserve"> minderjarigen zijn die</w:t>
      </w:r>
      <w:r w:rsidR="00627480" w:rsidRPr="00E6515F">
        <w:rPr>
          <w:lang w:val="nl-BE"/>
        </w:rPr>
        <w:t xml:space="preserve"> tussen 20</w:t>
      </w:r>
      <w:r w:rsidRPr="00E6515F">
        <w:rPr>
          <w:lang w:val="nl-BE"/>
        </w:rPr>
        <w:t xml:space="preserve">08 en </w:t>
      </w:r>
      <w:r w:rsidR="00627480" w:rsidRPr="00E6515F">
        <w:rPr>
          <w:lang w:val="nl-BE"/>
        </w:rPr>
        <w:t>20</w:t>
      </w:r>
      <w:r w:rsidRPr="00E6515F">
        <w:rPr>
          <w:lang w:val="nl-BE"/>
        </w:rPr>
        <w:t xml:space="preserve">17 meerderjarig geworden zijn. Dit is 38%. </w:t>
      </w:r>
      <w:r w:rsidR="00232076" w:rsidRPr="00E6515F">
        <w:rPr>
          <w:lang w:val="nl-BE"/>
        </w:rPr>
        <w:t>Enerzijds blijkt hieruit</w:t>
      </w:r>
      <w:r w:rsidRPr="00E6515F">
        <w:rPr>
          <w:lang w:val="nl-BE"/>
        </w:rPr>
        <w:t xml:space="preserve"> dat niet alle jongeren die gebruik maken van </w:t>
      </w:r>
      <w:r w:rsidR="00627480" w:rsidRPr="00E6515F">
        <w:rPr>
          <w:lang w:val="nl-BE"/>
        </w:rPr>
        <w:t>VAPH</w:t>
      </w:r>
      <w:r w:rsidRPr="00E6515F">
        <w:rPr>
          <w:lang w:val="nl-BE"/>
        </w:rPr>
        <w:t>-ondersteuning ook nood hebben aan of</w:t>
      </w:r>
      <w:r w:rsidR="00627480" w:rsidRPr="00E6515F">
        <w:rPr>
          <w:lang w:val="nl-BE"/>
        </w:rPr>
        <w:t xml:space="preserve"> een</w:t>
      </w:r>
      <w:r w:rsidRPr="00E6515F">
        <w:rPr>
          <w:lang w:val="nl-BE"/>
        </w:rPr>
        <w:t xml:space="preserve"> vraag hebben naar </w:t>
      </w:r>
      <w:r w:rsidR="00627480" w:rsidRPr="00E6515F">
        <w:rPr>
          <w:lang w:val="nl-BE"/>
        </w:rPr>
        <w:t>VAPH</w:t>
      </w:r>
      <w:r w:rsidRPr="00E6515F">
        <w:rPr>
          <w:lang w:val="nl-BE"/>
        </w:rPr>
        <w:t xml:space="preserve">-ondersteuning voor meerderjarigen. </w:t>
      </w:r>
      <w:r w:rsidR="00232076" w:rsidRPr="00E6515F">
        <w:rPr>
          <w:lang w:val="nl-BE"/>
        </w:rPr>
        <w:t>Anderzijds kan het ook dat een deel van hen wel in aanmerking komt voor minderjarigenondersteuning, maar niet voor volwassen</w:t>
      </w:r>
      <w:r w:rsidR="0002369D">
        <w:rPr>
          <w:lang w:val="nl-BE"/>
        </w:rPr>
        <w:t>en</w:t>
      </w:r>
      <w:r w:rsidR="00232076" w:rsidRPr="00E6515F">
        <w:rPr>
          <w:lang w:val="nl-BE"/>
        </w:rPr>
        <w:t xml:space="preserve">ondersteuning. </w:t>
      </w:r>
      <w:r w:rsidRPr="00E6515F">
        <w:rPr>
          <w:lang w:val="nl-BE"/>
        </w:rPr>
        <w:t xml:space="preserve">Ongeveer </w:t>
      </w:r>
      <w:r w:rsidR="0002369D">
        <w:rPr>
          <w:lang w:val="nl-BE"/>
        </w:rPr>
        <w:t>een</w:t>
      </w:r>
      <w:r w:rsidR="0002369D" w:rsidRPr="00E6515F">
        <w:rPr>
          <w:lang w:val="nl-BE"/>
        </w:rPr>
        <w:t xml:space="preserve"> </w:t>
      </w:r>
      <w:r w:rsidRPr="00E6515F">
        <w:rPr>
          <w:lang w:val="nl-BE"/>
        </w:rPr>
        <w:t xml:space="preserve">vierde stroomt uit door overlijden. </w:t>
      </w:r>
      <w:r w:rsidR="0002369D" w:rsidRPr="00E6515F">
        <w:rPr>
          <w:lang w:val="nl-BE"/>
        </w:rPr>
        <w:t>D</w:t>
      </w:r>
      <w:r w:rsidR="0002369D">
        <w:rPr>
          <w:lang w:val="nl-BE"/>
        </w:rPr>
        <w:t>a</w:t>
      </w:r>
      <w:r w:rsidR="0002369D" w:rsidRPr="00E6515F">
        <w:rPr>
          <w:lang w:val="nl-BE"/>
        </w:rPr>
        <w:t xml:space="preserve">t </w:t>
      </w:r>
      <w:r w:rsidRPr="00E6515F">
        <w:rPr>
          <w:lang w:val="nl-BE"/>
        </w:rPr>
        <w:t>is de kleinste groep onder de mogelijke redenen.</w:t>
      </w:r>
      <w:r w:rsidR="004A35A5" w:rsidRPr="00E6515F">
        <w:rPr>
          <w:lang w:val="nl-BE"/>
        </w:rPr>
        <w:t xml:space="preserve"> </w:t>
      </w:r>
      <w:r w:rsidR="0002369D" w:rsidRPr="00E6515F">
        <w:rPr>
          <w:lang w:val="nl-BE"/>
        </w:rPr>
        <w:t>D</w:t>
      </w:r>
      <w:r w:rsidR="0002369D">
        <w:rPr>
          <w:lang w:val="nl-BE"/>
        </w:rPr>
        <w:t>a</w:t>
      </w:r>
      <w:r w:rsidR="0002369D" w:rsidRPr="00E6515F">
        <w:rPr>
          <w:lang w:val="nl-BE"/>
        </w:rPr>
        <w:t xml:space="preserve">t </w:t>
      </w:r>
      <w:r w:rsidR="004A35A5" w:rsidRPr="00E6515F">
        <w:rPr>
          <w:lang w:val="nl-BE"/>
        </w:rPr>
        <w:t xml:space="preserve">betekent dat in 10 jaar tijd 8,78% van de 37.841 personen die in 2008 gebruik maakten van VAPH-ondersteuning overleden is.  </w:t>
      </w:r>
    </w:p>
    <w:p w:rsidR="00CD1B8C" w:rsidRPr="00E6515F" w:rsidRDefault="00CD1B8C" w:rsidP="00A179E6">
      <w:pPr>
        <w:contextualSpacing/>
        <w:rPr>
          <w:lang w:val="nl-BE"/>
        </w:rPr>
      </w:pPr>
    </w:p>
    <w:p w:rsidR="00EC561E" w:rsidRPr="00E6515F" w:rsidRDefault="00EC561E" w:rsidP="00EC561E">
      <w:pPr>
        <w:pStyle w:val="Bijschrift"/>
        <w:keepNext/>
        <w:rPr>
          <w:lang w:val="nl-BE"/>
        </w:rPr>
      </w:pPr>
      <w:bookmarkStart w:id="29" w:name="_Ref528756204"/>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8</w:t>
      </w:r>
      <w:r w:rsidRPr="00E6515F">
        <w:rPr>
          <w:lang w:val="nl-BE"/>
        </w:rPr>
        <w:fldChar w:fldCharType="end"/>
      </w:r>
      <w:bookmarkEnd w:id="29"/>
      <w:r w:rsidRPr="00E6515F">
        <w:rPr>
          <w:lang w:val="nl-BE"/>
        </w:rPr>
        <w:t>: Overzicht van het aantal personen d</w:t>
      </w:r>
      <w:r w:rsidR="0014736F">
        <w:rPr>
          <w:lang w:val="nl-BE"/>
        </w:rPr>
        <w:t xml:space="preserve">ie </w:t>
      </w:r>
      <w:r w:rsidRPr="00E6515F">
        <w:rPr>
          <w:lang w:val="nl-BE"/>
        </w:rPr>
        <w:t xml:space="preserve"> VAPH</w:t>
      </w:r>
      <w:r w:rsidR="0014736F">
        <w:rPr>
          <w:lang w:val="nl-BE"/>
        </w:rPr>
        <w:t xml:space="preserve">-ondersteuning kregen zowel in </w:t>
      </w:r>
      <w:r w:rsidRPr="00E6515F">
        <w:rPr>
          <w:lang w:val="nl-BE"/>
        </w:rPr>
        <w:t>2008</w:t>
      </w:r>
      <w:r w:rsidR="0014736F">
        <w:rPr>
          <w:lang w:val="nl-BE"/>
        </w:rPr>
        <w:t xml:space="preserve"> als in </w:t>
      </w:r>
      <w:r w:rsidRPr="00E6515F">
        <w:rPr>
          <w:lang w:val="nl-BE"/>
        </w:rPr>
        <w:t>2017 per ondersteuningsfunctie</w:t>
      </w:r>
    </w:p>
    <w:tbl>
      <w:tblPr>
        <w:tblStyle w:val="ae"/>
        <w:tblW w:w="7230"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523"/>
        <w:gridCol w:w="879"/>
        <w:gridCol w:w="851"/>
        <w:gridCol w:w="992"/>
        <w:gridCol w:w="992"/>
        <w:gridCol w:w="993"/>
      </w:tblGrid>
      <w:tr w:rsidR="00CD1B8C" w:rsidRPr="00490F75" w:rsidTr="00F04D35">
        <w:trPr>
          <w:cantSplit/>
          <w:trHeight w:val="2969"/>
        </w:trPr>
        <w:tc>
          <w:tcPr>
            <w:tcW w:w="2523"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vAlign w:val="bottom"/>
          </w:tcPr>
          <w:p w:rsidR="00CD1B8C" w:rsidRPr="00E6515F" w:rsidRDefault="00CD1B8C" w:rsidP="00F04D35">
            <w:pPr>
              <w:widowControl w:val="0"/>
              <w:jc w:val="center"/>
              <w:rPr>
                <w:lang w:val="nl-BE"/>
              </w:rPr>
            </w:pPr>
          </w:p>
        </w:tc>
        <w:tc>
          <w:tcPr>
            <w:tcW w:w="879"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627480">
            <w:pPr>
              <w:widowControl w:val="0"/>
              <w:ind w:left="113" w:right="113"/>
              <w:rPr>
                <w:b/>
                <w:sz w:val="20"/>
                <w:szCs w:val="20"/>
                <w:lang w:val="nl-BE"/>
              </w:rPr>
            </w:pPr>
            <w:r w:rsidRPr="00E6515F">
              <w:rPr>
                <w:b/>
                <w:sz w:val="20"/>
                <w:szCs w:val="20"/>
                <w:lang w:val="nl-BE"/>
              </w:rPr>
              <w:t>Totaal met deze ondersteu</w:t>
            </w:r>
            <w:r w:rsidR="00627480" w:rsidRPr="00E6515F">
              <w:rPr>
                <w:b/>
                <w:sz w:val="20"/>
                <w:szCs w:val="20"/>
                <w:lang w:val="nl-BE"/>
              </w:rPr>
              <w:t>ningsfunctie in 20</w:t>
            </w:r>
            <w:r w:rsidRPr="00E6515F">
              <w:rPr>
                <w:b/>
                <w:sz w:val="20"/>
                <w:szCs w:val="20"/>
                <w:lang w:val="nl-BE"/>
              </w:rPr>
              <w:t>08</w:t>
            </w:r>
          </w:p>
        </w:tc>
        <w:tc>
          <w:tcPr>
            <w:tcW w:w="851"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A50E64">
            <w:pPr>
              <w:widowControl w:val="0"/>
              <w:ind w:left="113" w:right="113"/>
              <w:rPr>
                <w:b/>
                <w:sz w:val="20"/>
                <w:szCs w:val="20"/>
                <w:lang w:val="nl-BE"/>
              </w:rPr>
            </w:pPr>
            <w:r w:rsidRPr="00E6515F">
              <w:rPr>
                <w:b/>
                <w:sz w:val="20"/>
                <w:szCs w:val="20"/>
                <w:lang w:val="nl-BE"/>
              </w:rPr>
              <w:t xml:space="preserve">Aantal met gelijke </w:t>
            </w:r>
            <w:proofErr w:type="spellStart"/>
            <w:r w:rsidRPr="00E6515F">
              <w:rPr>
                <w:b/>
                <w:sz w:val="20"/>
                <w:szCs w:val="20"/>
                <w:lang w:val="nl-BE"/>
              </w:rPr>
              <w:t>ondersteu</w:t>
            </w:r>
            <w:proofErr w:type="spellEnd"/>
            <w:r w:rsidRPr="00E6515F">
              <w:rPr>
                <w:b/>
                <w:sz w:val="20"/>
                <w:szCs w:val="20"/>
                <w:lang w:val="nl-BE"/>
              </w:rPr>
              <w:t>-</w:t>
            </w:r>
          </w:p>
          <w:p w:rsidR="00CD1B8C" w:rsidRPr="00E6515F" w:rsidRDefault="00627480" w:rsidP="00A50E64">
            <w:pPr>
              <w:widowControl w:val="0"/>
              <w:ind w:left="113" w:right="113"/>
              <w:rPr>
                <w:b/>
                <w:sz w:val="20"/>
                <w:szCs w:val="20"/>
                <w:lang w:val="nl-BE"/>
              </w:rPr>
            </w:pPr>
            <w:proofErr w:type="spellStart"/>
            <w:r w:rsidRPr="00E6515F">
              <w:rPr>
                <w:b/>
                <w:sz w:val="20"/>
                <w:szCs w:val="20"/>
                <w:lang w:val="nl-BE"/>
              </w:rPr>
              <w:t>ningsfuncties</w:t>
            </w:r>
            <w:proofErr w:type="spellEnd"/>
            <w:r w:rsidRPr="00E6515F">
              <w:rPr>
                <w:b/>
                <w:sz w:val="20"/>
                <w:szCs w:val="20"/>
                <w:lang w:val="nl-BE"/>
              </w:rPr>
              <w:t xml:space="preserve"> in 2008 en in 20</w:t>
            </w:r>
            <w:r w:rsidR="002859D7" w:rsidRPr="00E6515F">
              <w:rPr>
                <w:b/>
                <w:sz w:val="20"/>
                <w:szCs w:val="20"/>
                <w:lang w:val="nl-BE"/>
              </w:rPr>
              <w:t>17</w:t>
            </w:r>
          </w:p>
        </w:tc>
        <w:tc>
          <w:tcPr>
            <w:tcW w:w="992"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A50E64">
            <w:pPr>
              <w:widowControl w:val="0"/>
              <w:ind w:left="113" w:right="113"/>
              <w:rPr>
                <w:b/>
                <w:sz w:val="20"/>
                <w:szCs w:val="20"/>
                <w:lang w:val="nl-BE"/>
              </w:rPr>
            </w:pPr>
            <w:r w:rsidRPr="00E6515F">
              <w:rPr>
                <w:b/>
                <w:sz w:val="20"/>
                <w:szCs w:val="20"/>
                <w:lang w:val="nl-BE"/>
              </w:rPr>
              <w:t>Aantal met verschill</w:t>
            </w:r>
            <w:r w:rsidR="00627480" w:rsidRPr="00E6515F">
              <w:rPr>
                <w:b/>
                <w:sz w:val="20"/>
                <w:szCs w:val="20"/>
                <w:lang w:val="nl-BE"/>
              </w:rPr>
              <w:t>ende ondersteuningsfuncties in 2008 en in 20</w:t>
            </w:r>
            <w:r w:rsidRPr="00E6515F">
              <w:rPr>
                <w:b/>
                <w:sz w:val="20"/>
                <w:szCs w:val="20"/>
                <w:lang w:val="nl-BE"/>
              </w:rPr>
              <w:t>17</w:t>
            </w:r>
          </w:p>
        </w:tc>
        <w:tc>
          <w:tcPr>
            <w:tcW w:w="992"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A50E64" w:rsidP="00A50E64">
            <w:pPr>
              <w:widowControl w:val="0"/>
              <w:ind w:left="113" w:right="113"/>
              <w:rPr>
                <w:b/>
                <w:sz w:val="20"/>
                <w:szCs w:val="20"/>
                <w:lang w:val="nl-BE"/>
              </w:rPr>
            </w:pPr>
            <w:r w:rsidRPr="00E6515F">
              <w:rPr>
                <w:b/>
                <w:sz w:val="20"/>
                <w:szCs w:val="20"/>
                <w:lang w:val="nl-BE"/>
              </w:rPr>
              <w:t>%  met gelijke ondersteu</w:t>
            </w:r>
            <w:r w:rsidR="00627480" w:rsidRPr="00E6515F">
              <w:rPr>
                <w:b/>
                <w:sz w:val="20"/>
                <w:szCs w:val="20"/>
                <w:lang w:val="nl-BE"/>
              </w:rPr>
              <w:t>ningsfuncties in 2008 en in 20</w:t>
            </w:r>
            <w:r w:rsidR="002859D7" w:rsidRPr="00E6515F">
              <w:rPr>
                <w:b/>
                <w:sz w:val="20"/>
                <w:szCs w:val="20"/>
                <w:lang w:val="nl-BE"/>
              </w:rPr>
              <w:t>17</w:t>
            </w:r>
          </w:p>
        </w:tc>
        <w:tc>
          <w:tcPr>
            <w:tcW w:w="993"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A50E64">
            <w:pPr>
              <w:widowControl w:val="0"/>
              <w:ind w:left="113" w:right="113"/>
              <w:rPr>
                <w:b/>
                <w:sz w:val="20"/>
                <w:szCs w:val="20"/>
                <w:lang w:val="nl-BE"/>
              </w:rPr>
            </w:pPr>
            <w:r w:rsidRPr="00E6515F">
              <w:rPr>
                <w:b/>
                <w:sz w:val="20"/>
                <w:szCs w:val="20"/>
                <w:lang w:val="nl-BE"/>
              </w:rPr>
              <w:t>% met verschillende onder</w:t>
            </w:r>
            <w:r w:rsidR="00627480" w:rsidRPr="00E6515F">
              <w:rPr>
                <w:b/>
                <w:sz w:val="20"/>
                <w:szCs w:val="20"/>
                <w:lang w:val="nl-BE"/>
              </w:rPr>
              <w:t>steuningsfuncties in  2008 en in 20</w:t>
            </w:r>
            <w:r w:rsidRPr="00E6515F">
              <w:rPr>
                <w:b/>
                <w:sz w:val="20"/>
                <w:szCs w:val="20"/>
                <w:lang w:val="nl-BE"/>
              </w:rPr>
              <w:t>17</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2859D7" w:rsidP="00803BE4">
            <w:pPr>
              <w:widowControl w:val="0"/>
              <w:rPr>
                <w:b/>
                <w:sz w:val="20"/>
                <w:szCs w:val="20"/>
                <w:lang w:val="nl-BE"/>
              </w:rPr>
            </w:pPr>
            <w:r w:rsidRPr="00E6515F">
              <w:rPr>
                <w:b/>
                <w:sz w:val="20"/>
                <w:szCs w:val="20"/>
                <w:lang w:val="nl-BE"/>
              </w:rPr>
              <w:t>Individuele ondersteuning</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2.327</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1.116</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1.211</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48%</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52%</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627480" w:rsidP="00803BE4">
            <w:pPr>
              <w:widowControl w:val="0"/>
              <w:rPr>
                <w:b/>
                <w:sz w:val="20"/>
                <w:szCs w:val="20"/>
                <w:lang w:val="nl-BE"/>
              </w:rPr>
            </w:pPr>
            <w:proofErr w:type="spellStart"/>
            <w:r w:rsidRPr="00E6515F">
              <w:rPr>
                <w:b/>
                <w:sz w:val="20"/>
                <w:szCs w:val="20"/>
                <w:lang w:val="nl-BE"/>
              </w:rPr>
              <w:t>Dag</w:t>
            </w:r>
            <w:r w:rsidR="002859D7" w:rsidRPr="00E6515F">
              <w:rPr>
                <w:b/>
                <w:sz w:val="20"/>
                <w:szCs w:val="20"/>
                <w:lang w:val="nl-BE"/>
              </w:rPr>
              <w:t>ondersteuning</w:t>
            </w:r>
            <w:proofErr w:type="spellEnd"/>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6.249</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2.986</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3.263</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48%</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52%</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627480" w:rsidP="00803BE4">
            <w:pPr>
              <w:widowControl w:val="0"/>
              <w:rPr>
                <w:b/>
                <w:sz w:val="20"/>
                <w:szCs w:val="20"/>
                <w:lang w:val="nl-BE"/>
              </w:rPr>
            </w:pPr>
            <w:r w:rsidRPr="00E6515F">
              <w:rPr>
                <w:b/>
                <w:sz w:val="20"/>
                <w:szCs w:val="20"/>
                <w:lang w:val="nl-BE"/>
              </w:rPr>
              <w:t>Woon</w:t>
            </w:r>
            <w:r w:rsidR="002859D7" w:rsidRPr="00E6515F">
              <w:rPr>
                <w:b/>
                <w:sz w:val="20"/>
                <w:szCs w:val="20"/>
                <w:lang w:val="nl-BE"/>
              </w:rPr>
              <w:t>ondersteuning</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12.860</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11.172</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1.688</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87%</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13%</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2859D7" w:rsidP="00803BE4">
            <w:pPr>
              <w:widowControl w:val="0"/>
              <w:rPr>
                <w:b/>
                <w:sz w:val="20"/>
                <w:szCs w:val="20"/>
                <w:lang w:val="nl-BE"/>
              </w:rPr>
            </w:pPr>
            <w:r w:rsidRPr="00E6515F">
              <w:rPr>
                <w:b/>
                <w:sz w:val="20"/>
                <w:szCs w:val="20"/>
                <w:lang w:val="nl-BE"/>
              </w:rPr>
              <w:t>PAB*</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899</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56</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843</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94%</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2859D7" w:rsidP="00803BE4">
            <w:pPr>
              <w:widowControl w:val="0"/>
              <w:rPr>
                <w:b/>
                <w:sz w:val="20"/>
                <w:szCs w:val="20"/>
                <w:lang w:val="nl-BE"/>
              </w:rPr>
            </w:pPr>
            <w:r w:rsidRPr="00E6515F">
              <w:rPr>
                <w:b/>
                <w:sz w:val="20"/>
                <w:szCs w:val="20"/>
                <w:lang w:val="nl-BE"/>
              </w:rPr>
              <w:t>PAB + DO</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253</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237</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94%</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2859D7" w:rsidP="00803BE4">
            <w:pPr>
              <w:widowControl w:val="0"/>
              <w:rPr>
                <w:b/>
                <w:sz w:val="20"/>
                <w:szCs w:val="20"/>
                <w:lang w:val="nl-BE"/>
              </w:rPr>
            </w:pPr>
            <w:r w:rsidRPr="00E6515F">
              <w:rPr>
                <w:b/>
                <w:sz w:val="20"/>
                <w:szCs w:val="20"/>
                <w:lang w:val="nl-BE"/>
              </w:rPr>
              <w:t>RTH</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2.167</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1.017</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1.150</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47%</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53%</w:t>
            </w:r>
          </w:p>
        </w:tc>
      </w:tr>
      <w:tr w:rsidR="00CD1B8C" w:rsidRPr="00E6515F" w:rsidTr="00F04D35">
        <w:tc>
          <w:tcPr>
            <w:tcW w:w="2523"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bottom"/>
          </w:tcPr>
          <w:p w:rsidR="00CD1B8C" w:rsidRPr="00E6515F" w:rsidRDefault="002859D7" w:rsidP="00803BE4">
            <w:pPr>
              <w:widowControl w:val="0"/>
              <w:rPr>
                <w:b/>
                <w:i/>
                <w:sz w:val="20"/>
                <w:szCs w:val="20"/>
                <w:lang w:val="nl-BE"/>
              </w:rPr>
            </w:pPr>
            <w:r w:rsidRPr="00E6515F">
              <w:rPr>
                <w:b/>
                <w:i/>
                <w:sz w:val="20"/>
                <w:szCs w:val="20"/>
                <w:lang w:val="nl-BE"/>
              </w:rPr>
              <w:t>Totaal</w:t>
            </w:r>
          </w:p>
        </w:tc>
        <w:tc>
          <w:tcPr>
            <w:tcW w:w="879"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24.755</w:t>
            </w:r>
          </w:p>
        </w:tc>
        <w:tc>
          <w:tcPr>
            <w:tcW w:w="851"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16.363</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8.392</w:t>
            </w:r>
          </w:p>
        </w:tc>
        <w:tc>
          <w:tcPr>
            <w:tcW w:w="992"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66%</w:t>
            </w:r>
          </w:p>
        </w:tc>
        <w:tc>
          <w:tcPr>
            <w:tcW w:w="99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34%</w:t>
            </w:r>
          </w:p>
        </w:tc>
      </w:tr>
    </w:tbl>
    <w:p w:rsidR="00CD1B8C" w:rsidRPr="00E6515F" w:rsidRDefault="00D716A9">
      <w:pPr>
        <w:rPr>
          <w:sz w:val="18"/>
          <w:szCs w:val="18"/>
          <w:lang w:val="nl-BE"/>
        </w:rPr>
      </w:pPr>
      <w:r w:rsidRPr="00E6515F">
        <w:rPr>
          <w:sz w:val="18"/>
          <w:szCs w:val="18"/>
          <w:lang w:val="nl-BE"/>
        </w:rPr>
        <w:t xml:space="preserve">* </w:t>
      </w:r>
      <w:proofErr w:type="spellStart"/>
      <w:r w:rsidRPr="00E6515F">
        <w:rPr>
          <w:sz w:val="18"/>
          <w:szCs w:val="18"/>
          <w:lang w:val="nl-BE"/>
        </w:rPr>
        <w:t>PAB</w:t>
      </w:r>
      <w:r w:rsidR="0002369D">
        <w:rPr>
          <w:sz w:val="18"/>
          <w:szCs w:val="18"/>
          <w:lang w:val="nl-BE"/>
        </w:rPr>
        <w:t>’</w:t>
      </w:r>
      <w:r w:rsidR="002859D7" w:rsidRPr="00E6515F">
        <w:rPr>
          <w:sz w:val="18"/>
          <w:szCs w:val="18"/>
          <w:lang w:val="nl-BE"/>
        </w:rPr>
        <w:t>ers</w:t>
      </w:r>
      <w:proofErr w:type="spellEnd"/>
      <w:r w:rsidR="002859D7" w:rsidRPr="00E6515F">
        <w:rPr>
          <w:sz w:val="18"/>
          <w:szCs w:val="18"/>
          <w:lang w:val="nl-BE"/>
        </w:rPr>
        <w:t xml:space="preserve"> meerderjarigen zijn tussen </w:t>
      </w:r>
      <w:r w:rsidR="00627480" w:rsidRPr="00E6515F">
        <w:rPr>
          <w:sz w:val="18"/>
          <w:szCs w:val="18"/>
          <w:lang w:val="nl-BE"/>
        </w:rPr>
        <w:t>2008</w:t>
      </w:r>
      <w:r w:rsidR="002859D7" w:rsidRPr="00E6515F">
        <w:rPr>
          <w:sz w:val="18"/>
          <w:szCs w:val="18"/>
          <w:lang w:val="nl-BE"/>
        </w:rPr>
        <w:t xml:space="preserve"> en </w:t>
      </w:r>
      <w:r w:rsidR="00627480" w:rsidRPr="00E6515F">
        <w:rPr>
          <w:sz w:val="18"/>
          <w:szCs w:val="18"/>
          <w:lang w:val="nl-BE"/>
        </w:rPr>
        <w:t>2017</w:t>
      </w:r>
      <w:r w:rsidR="002859D7" w:rsidRPr="00E6515F">
        <w:rPr>
          <w:sz w:val="18"/>
          <w:szCs w:val="18"/>
          <w:lang w:val="nl-BE"/>
        </w:rPr>
        <w:t xml:space="preserve"> in de transitie </w:t>
      </w:r>
      <w:r w:rsidR="0002369D">
        <w:rPr>
          <w:sz w:val="18"/>
          <w:szCs w:val="18"/>
          <w:lang w:val="nl-BE"/>
        </w:rPr>
        <w:t xml:space="preserve">naar </w:t>
      </w:r>
      <w:r w:rsidR="002859D7" w:rsidRPr="00E6515F">
        <w:rPr>
          <w:sz w:val="18"/>
          <w:szCs w:val="18"/>
          <w:lang w:val="nl-BE"/>
        </w:rPr>
        <w:t xml:space="preserve">PVF omgezet naar een </w:t>
      </w:r>
      <w:r w:rsidR="00627480" w:rsidRPr="00E6515F">
        <w:rPr>
          <w:sz w:val="18"/>
          <w:szCs w:val="18"/>
          <w:lang w:val="nl-BE"/>
        </w:rPr>
        <w:t>PVB</w:t>
      </w:r>
      <w:r w:rsidR="002859D7" w:rsidRPr="00E6515F">
        <w:rPr>
          <w:sz w:val="18"/>
          <w:szCs w:val="18"/>
          <w:lang w:val="nl-BE"/>
        </w:rPr>
        <w:t xml:space="preserve">, 82% van de </w:t>
      </w:r>
      <w:proofErr w:type="spellStart"/>
      <w:r w:rsidR="002859D7" w:rsidRPr="00E6515F">
        <w:rPr>
          <w:sz w:val="18"/>
          <w:szCs w:val="18"/>
          <w:lang w:val="nl-BE"/>
        </w:rPr>
        <w:t>PAB’ers</w:t>
      </w:r>
      <w:proofErr w:type="spellEnd"/>
      <w:r w:rsidR="002859D7" w:rsidRPr="00E6515F">
        <w:rPr>
          <w:sz w:val="18"/>
          <w:szCs w:val="18"/>
          <w:lang w:val="nl-BE"/>
        </w:rPr>
        <w:t xml:space="preserve"> in </w:t>
      </w:r>
      <w:r w:rsidR="00627480" w:rsidRPr="00E6515F">
        <w:rPr>
          <w:sz w:val="18"/>
          <w:szCs w:val="18"/>
          <w:lang w:val="nl-BE"/>
        </w:rPr>
        <w:t>2008</w:t>
      </w:r>
      <w:r w:rsidR="002859D7" w:rsidRPr="00E6515F">
        <w:rPr>
          <w:sz w:val="18"/>
          <w:szCs w:val="18"/>
          <w:lang w:val="nl-BE"/>
        </w:rPr>
        <w:t xml:space="preserve"> </w:t>
      </w:r>
      <w:r w:rsidR="0002369D" w:rsidRPr="00E6515F">
        <w:rPr>
          <w:sz w:val="18"/>
          <w:szCs w:val="18"/>
          <w:lang w:val="nl-BE"/>
        </w:rPr>
        <w:t>h</w:t>
      </w:r>
      <w:r w:rsidR="0002369D">
        <w:rPr>
          <w:sz w:val="18"/>
          <w:szCs w:val="18"/>
          <w:lang w:val="nl-BE"/>
        </w:rPr>
        <w:t>add</w:t>
      </w:r>
      <w:r w:rsidR="0002369D" w:rsidRPr="00E6515F">
        <w:rPr>
          <w:sz w:val="18"/>
          <w:szCs w:val="18"/>
          <w:lang w:val="nl-BE"/>
        </w:rPr>
        <w:t xml:space="preserve">en </w:t>
      </w:r>
      <w:r w:rsidR="002859D7" w:rsidRPr="00E6515F">
        <w:rPr>
          <w:sz w:val="18"/>
          <w:szCs w:val="18"/>
          <w:lang w:val="nl-BE"/>
        </w:rPr>
        <w:t xml:space="preserve">in </w:t>
      </w:r>
      <w:r w:rsidR="00627480" w:rsidRPr="00E6515F">
        <w:rPr>
          <w:sz w:val="18"/>
          <w:szCs w:val="18"/>
          <w:lang w:val="nl-BE"/>
        </w:rPr>
        <w:t>2017</w:t>
      </w:r>
      <w:r w:rsidR="002859D7" w:rsidRPr="00E6515F">
        <w:rPr>
          <w:sz w:val="18"/>
          <w:szCs w:val="18"/>
          <w:lang w:val="nl-BE"/>
        </w:rPr>
        <w:t xml:space="preserve"> een PAB of een </w:t>
      </w:r>
      <w:r w:rsidR="00627480" w:rsidRPr="00E6515F">
        <w:rPr>
          <w:sz w:val="18"/>
          <w:szCs w:val="18"/>
          <w:lang w:val="nl-BE"/>
        </w:rPr>
        <w:t>PVB</w:t>
      </w:r>
      <w:r w:rsidR="002859D7" w:rsidRPr="00E6515F">
        <w:rPr>
          <w:sz w:val="18"/>
          <w:szCs w:val="18"/>
          <w:lang w:val="nl-BE"/>
        </w:rPr>
        <w:t xml:space="preserve"> dat ingezet wordt in cash</w:t>
      </w:r>
      <w:r w:rsidR="0002369D">
        <w:rPr>
          <w:sz w:val="18"/>
          <w:szCs w:val="18"/>
          <w:lang w:val="nl-BE"/>
        </w:rPr>
        <w:t>.</w:t>
      </w:r>
    </w:p>
    <w:p w:rsidR="00CD1B8C" w:rsidRPr="00E6515F" w:rsidRDefault="00CD1B8C">
      <w:pPr>
        <w:rPr>
          <w:lang w:val="nl-BE"/>
        </w:rPr>
      </w:pPr>
    </w:p>
    <w:p w:rsidR="00CD1B8C" w:rsidRPr="00E6515F" w:rsidRDefault="002859D7">
      <w:pPr>
        <w:jc w:val="both"/>
        <w:rPr>
          <w:lang w:val="nl-BE"/>
        </w:rPr>
      </w:pPr>
      <w:r w:rsidRPr="00E6515F">
        <w:rPr>
          <w:lang w:val="nl-BE"/>
        </w:rPr>
        <w:t xml:space="preserve">In deze tabel wordt weergegeven in welke mate de personen die zowel </w:t>
      </w:r>
      <w:r w:rsidR="00627480" w:rsidRPr="00E6515F">
        <w:rPr>
          <w:lang w:val="nl-BE"/>
        </w:rPr>
        <w:t>VAPH</w:t>
      </w:r>
      <w:r w:rsidRPr="00E6515F">
        <w:rPr>
          <w:lang w:val="nl-BE"/>
        </w:rPr>
        <w:t xml:space="preserve">-ondersteuning hadden in </w:t>
      </w:r>
      <w:r w:rsidR="00627480" w:rsidRPr="00E6515F">
        <w:rPr>
          <w:lang w:val="nl-BE"/>
        </w:rPr>
        <w:t>2008</w:t>
      </w:r>
      <w:r w:rsidRPr="00E6515F">
        <w:rPr>
          <w:lang w:val="nl-BE"/>
        </w:rPr>
        <w:t xml:space="preserve"> als in </w:t>
      </w:r>
      <w:r w:rsidR="00627480" w:rsidRPr="00E6515F">
        <w:rPr>
          <w:lang w:val="nl-BE"/>
        </w:rPr>
        <w:t>2017</w:t>
      </w:r>
      <w:r w:rsidRPr="00E6515F">
        <w:rPr>
          <w:lang w:val="nl-BE"/>
        </w:rPr>
        <w:t xml:space="preserve"> dezelfde ondersteuningsfuncties gebruik</w:t>
      </w:r>
      <w:r w:rsidR="0002369D">
        <w:rPr>
          <w:lang w:val="nl-BE"/>
        </w:rPr>
        <w:t>t</w:t>
      </w:r>
      <w:r w:rsidRPr="00E6515F">
        <w:rPr>
          <w:lang w:val="nl-BE"/>
        </w:rPr>
        <w:t>en, of veranderd zijn van ondersteuningsfunctie. Een meerderheid, namelijk 66%, gebruikt</w:t>
      </w:r>
      <w:r w:rsidR="0002369D">
        <w:rPr>
          <w:lang w:val="nl-BE"/>
        </w:rPr>
        <w:t>e</w:t>
      </w:r>
      <w:r w:rsidRPr="00E6515F">
        <w:rPr>
          <w:lang w:val="nl-BE"/>
        </w:rPr>
        <w:t xml:space="preserve"> in beide meetjaren dezelfde ondersteuningsfuncties. Vooral mensen die gebruik ma</w:t>
      </w:r>
      <w:r w:rsidR="0002369D">
        <w:rPr>
          <w:lang w:val="nl-BE"/>
        </w:rPr>
        <w:t>a</w:t>
      </w:r>
      <w:r w:rsidRPr="00E6515F">
        <w:rPr>
          <w:lang w:val="nl-BE"/>
        </w:rPr>
        <w:t>k</w:t>
      </w:r>
      <w:r w:rsidR="0002369D">
        <w:rPr>
          <w:lang w:val="nl-BE"/>
        </w:rPr>
        <w:t>t</w:t>
      </w:r>
      <w:r w:rsidRPr="00E6515F">
        <w:rPr>
          <w:lang w:val="nl-BE"/>
        </w:rPr>
        <w:t xml:space="preserve">en van woonondersteuning in </w:t>
      </w:r>
      <w:r w:rsidR="00627480" w:rsidRPr="00E6515F">
        <w:rPr>
          <w:lang w:val="nl-BE"/>
        </w:rPr>
        <w:t>2008</w:t>
      </w:r>
      <w:r w:rsidRPr="00E6515F">
        <w:rPr>
          <w:lang w:val="nl-BE"/>
        </w:rPr>
        <w:t>, ma</w:t>
      </w:r>
      <w:r w:rsidR="0002369D">
        <w:rPr>
          <w:lang w:val="nl-BE"/>
        </w:rPr>
        <w:t>a</w:t>
      </w:r>
      <w:r w:rsidRPr="00E6515F">
        <w:rPr>
          <w:lang w:val="nl-BE"/>
        </w:rPr>
        <w:t>k</w:t>
      </w:r>
      <w:r w:rsidR="0002369D">
        <w:rPr>
          <w:lang w:val="nl-BE"/>
        </w:rPr>
        <w:t>t</w:t>
      </w:r>
      <w:r w:rsidRPr="00E6515F">
        <w:rPr>
          <w:lang w:val="nl-BE"/>
        </w:rPr>
        <w:t xml:space="preserve">en in de meeste gevallen nog steeds gebruik van woonondersteuning in </w:t>
      </w:r>
      <w:r w:rsidR="00627480" w:rsidRPr="00E6515F">
        <w:rPr>
          <w:lang w:val="nl-BE"/>
        </w:rPr>
        <w:t>2017</w:t>
      </w:r>
      <w:r w:rsidRPr="00E6515F">
        <w:rPr>
          <w:lang w:val="nl-BE"/>
        </w:rPr>
        <w:t xml:space="preserve">, namelijk 87%.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Tot slot dient opgemerkt </w:t>
      </w:r>
      <w:r w:rsidR="0002369D">
        <w:rPr>
          <w:lang w:val="nl-BE"/>
        </w:rPr>
        <w:t xml:space="preserve">te worden </w:t>
      </w:r>
      <w:r w:rsidRPr="00E6515F">
        <w:rPr>
          <w:lang w:val="nl-BE"/>
        </w:rPr>
        <w:t xml:space="preserve">dat het percentage dat gelijke ondersteuningsfuncties </w:t>
      </w:r>
      <w:r w:rsidR="0002369D">
        <w:rPr>
          <w:lang w:val="nl-BE"/>
        </w:rPr>
        <w:t>had</w:t>
      </w:r>
      <w:r w:rsidR="0002369D" w:rsidRPr="00E6515F">
        <w:rPr>
          <w:lang w:val="nl-BE"/>
        </w:rPr>
        <w:t xml:space="preserve"> </w:t>
      </w:r>
      <w:r w:rsidRPr="00E6515F">
        <w:rPr>
          <w:lang w:val="nl-BE"/>
        </w:rPr>
        <w:t xml:space="preserve">in </w:t>
      </w:r>
      <w:r w:rsidR="00627480" w:rsidRPr="00E6515F">
        <w:rPr>
          <w:lang w:val="nl-BE"/>
        </w:rPr>
        <w:t>2008</w:t>
      </w:r>
      <w:r w:rsidR="00914AD8" w:rsidRPr="00E6515F">
        <w:rPr>
          <w:lang w:val="nl-BE"/>
        </w:rPr>
        <w:t xml:space="preserve"> en in </w:t>
      </w:r>
      <w:r w:rsidR="00627480" w:rsidRPr="00E6515F">
        <w:rPr>
          <w:lang w:val="nl-BE"/>
        </w:rPr>
        <w:t>2017</w:t>
      </w:r>
      <w:r w:rsidR="00914AD8" w:rsidRPr="00E6515F">
        <w:rPr>
          <w:lang w:val="nl-BE"/>
        </w:rPr>
        <w:t xml:space="preserve"> voor </w:t>
      </w:r>
      <w:r w:rsidR="00DD02E4">
        <w:rPr>
          <w:lang w:val="nl-BE"/>
        </w:rPr>
        <w:t>persoonlijke-assistentiebudget</w:t>
      </w:r>
      <w:r w:rsidR="00914AD8" w:rsidRPr="00E6515F">
        <w:rPr>
          <w:lang w:val="nl-BE"/>
        </w:rPr>
        <w:t xml:space="preserve"> en </w:t>
      </w:r>
      <w:r w:rsidR="00DD02E4">
        <w:rPr>
          <w:lang w:val="nl-BE"/>
        </w:rPr>
        <w:t>persoonlijke-assistentiebudget</w:t>
      </w:r>
      <w:r w:rsidR="00914AD8" w:rsidRPr="00E6515F">
        <w:rPr>
          <w:lang w:val="nl-BE"/>
        </w:rPr>
        <w:t xml:space="preserve"> + </w:t>
      </w:r>
      <w:proofErr w:type="spellStart"/>
      <w:r w:rsidR="00914AD8" w:rsidRPr="00E6515F">
        <w:rPr>
          <w:lang w:val="nl-BE"/>
        </w:rPr>
        <w:t>dagondersteuning</w:t>
      </w:r>
      <w:proofErr w:type="spellEnd"/>
      <w:r w:rsidRPr="00E6515F">
        <w:rPr>
          <w:lang w:val="nl-BE"/>
        </w:rPr>
        <w:t xml:space="preserve"> erg laag is, namelijk 6%, omdat</w:t>
      </w:r>
      <w:r w:rsidR="0002369D">
        <w:rPr>
          <w:lang w:val="nl-BE"/>
        </w:rPr>
        <w:t xml:space="preserve"> het</w:t>
      </w:r>
      <w:r w:rsidRPr="00E6515F">
        <w:rPr>
          <w:lang w:val="nl-BE"/>
        </w:rPr>
        <w:t xml:space="preserve"> </w:t>
      </w:r>
      <w:r w:rsidR="00DD02E4">
        <w:rPr>
          <w:lang w:val="nl-BE"/>
        </w:rPr>
        <w:t>persoonlijke-assistentiebudget</w:t>
      </w:r>
      <w:r w:rsidRPr="00E6515F">
        <w:rPr>
          <w:lang w:val="nl-BE"/>
        </w:rPr>
        <w:t xml:space="preserve"> niet meer </w:t>
      </w:r>
      <w:r w:rsidR="0002369D">
        <w:rPr>
          <w:lang w:val="nl-BE"/>
        </w:rPr>
        <w:t>bestond</w:t>
      </w:r>
      <w:r w:rsidR="0002369D" w:rsidRPr="00E6515F">
        <w:rPr>
          <w:lang w:val="nl-BE"/>
        </w:rPr>
        <w:t xml:space="preserve"> </w:t>
      </w:r>
      <w:r w:rsidRPr="00E6515F">
        <w:rPr>
          <w:lang w:val="nl-BE"/>
        </w:rPr>
        <w:t xml:space="preserve">voor meerderjarigen in </w:t>
      </w:r>
      <w:r w:rsidR="00627480" w:rsidRPr="00E6515F">
        <w:rPr>
          <w:lang w:val="nl-BE"/>
        </w:rPr>
        <w:t>2017</w:t>
      </w:r>
      <w:r w:rsidRPr="00E6515F">
        <w:rPr>
          <w:lang w:val="nl-BE"/>
        </w:rPr>
        <w:t xml:space="preserve">. In de transitie </w:t>
      </w:r>
      <w:r w:rsidR="0002369D">
        <w:rPr>
          <w:lang w:val="nl-BE"/>
        </w:rPr>
        <w:t xml:space="preserve">naar </w:t>
      </w:r>
      <w:r w:rsidR="009F5B77">
        <w:rPr>
          <w:lang w:val="nl-BE"/>
        </w:rPr>
        <w:t>persoonsvolgende financiering</w:t>
      </w:r>
      <w:r w:rsidRPr="00E6515F">
        <w:rPr>
          <w:lang w:val="nl-BE"/>
        </w:rPr>
        <w:t xml:space="preserve"> zijn alle meerderjarigen met een </w:t>
      </w:r>
      <w:r w:rsidR="00DD02E4">
        <w:rPr>
          <w:lang w:val="nl-BE"/>
        </w:rPr>
        <w:t>persoonlijke-assistentiebudget</w:t>
      </w:r>
      <w:r w:rsidRPr="00E6515F">
        <w:rPr>
          <w:lang w:val="nl-BE"/>
        </w:rPr>
        <w:t xml:space="preserve"> </w:t>
      </w:r>
      <w:r w:rsidR="0014736F">
        <w:rPr>
          <w:lang w:val="nl-BE"/>
        </w:rPr>
        <w:t>overgestapt</w:t>
      </w:r>
      <w:r w:rsidR="0014736F" w:rsidRPr="00E6515F">
        <w:rPr>
          <w:lang w:val="nl-BE"/>
        </w:rPr>
        <w:t xml:space="preserve"> </w:t>
      </w:r>
      <w:r w:rsidRPr="00E6515F">
        <w:rPr>
          <w:lang w:val="nl-BE"/>
        </w:rPr>
        <w:t xml:space="preserve">naar een </w:t>
      </w:r>
      <w:r w:rsidR="00DD02E4">
        <w:rPr>
          <w:lang w:val="nl-BE"/>
        </w:rPr>
        <w:t>persoonsvolgend budget</w:t>
      </w:r>
      <w:r w:rsidRPr="00E6515F">
        <w:rPr>
          <w:lang w:val="nl-BE"/>
        </w:rPr>
        <w:t xml:space="preserve">. Vandaar het lage percentage. In </w:t>
      </w:r>
      <w:r w:rsidR="0002369D">
        <w:rPr>
          <w:lang w:val="nl-BE"/>
        </w:rPr>
        <w:t xml:space="preserve">de </w:t>
      </w:r>
      <w:r w:rsidRPr="00E6515F">
        <w:rPr>
          <w:lang w:val="nl-BE"/>
        </w:rPr>
        <w:t xml:space="preserve">onderstaande tabel is te zien dat mensen die een </w:t>
      </w:r>
      <w:r w:rsidR="00DD02E4">
        <w:rPr>
          <w:lang w:val="nl-BE"/>
        </w:rPr>
        <w:t>persoonlijke-assistentiebudget</w:t>
      </w:r>
      <w:r w:rsidRPr="00E6515F">
        <w:rPr>
          <w:lang w:val="nl-BE"/>
        </w:rPr>
        <w:t xml:space="preserve"> hadden in </w:t>
      </w:r>
      <w:r w:rsidR="00627480" w:rsidRPr="00E6515F">
        <w:rPr>
          <w:lang w:val="nl-BE"/>
        </w:rPr>
        <w:t>2008</w:t>
      </w:r>
      <w:r w:rsidRPr="00E6515F">
        <w:rPr>
          <w:lang w:val="nl-BE"/>
        </w:rPr>
        <w:t xml:space="preserve"> veelal gebruik </w:t>
      </w:r>
      <w:r w:rsidR="0002369D">
        <w:rPr>
          <w:lang w:val="nl-BE"/>
        </w:rPr>
        <w:t>maakten</w:t>
      </w:r>
      <w:r w:rsidR="0002369D" w:rsidRPr="00E6515F">
        <w:rPr>
          <w:lang w:val="nl-BE"/>
        </w:rPr>
        <w:t xml:space="preserve"> </w:t>
      </w:r>
      <w:r w:rsidRPr="00E6515F">
        <w:rPr>
          <w:lang w:val="nl-BE"/>
        </w:rPr>
        <w:t xml:space="preserve">van hun </w:t>
      </w:r>
      <w:r w:rsidR="00DD02E4">
        <w:rPr>
          <w:lang w:val="nl-BE"/>
        </w:rPr>
        <w:t>persoonsvolgend budget</w:t>
      </w:r>
      <w:r w:rsidRPr="00E6515F">
        <w:rPr>
          <w:lang w:val="nl-BE"/>
        </w:rPr>
        <w:t xml:space="preserve"> in de vorm van cash-overeenkomsten in </w:t>
      </w:r>
      <w:r w:rsidR="00627480" w:rsidRPr="00E6515F">
        <w:rPr>
          <w:lang w:val="nl-BE"/>
        </w:rPr>
        <w:t>2017</w:t>
      </w:r>
      <w:r w:rsidRPr="00E6515F">
        <w:rPr>
          <w:lang w:val="nl-BE"/>
        </w:rPr>
        <w:t xml:space="preserve">. </w:t>
      </w:r>
    </w:p>
    <w:p w:rsidR="00CD1B8C" w:rsidRPr="00E6515F" w:rsidRDefault="00CD1B8C">
      <w:pPr>
        <w:contextualSpacing/>
        <w:rPr>
          <w:lang w:val="nl-BE"/>
        </w:rPr>
      </w:pPr>
    </w:p>
    <w:p w:rsidR="00EC561E" w:rsidRPr="00E6515F" w:rsidRDefault="00EC561E" w:rsidP="00EC561E">
      <w:pPr>
        <w:pStyle w:val="Bijschrift"/>
        <w:keepNext/>
        <w:rPr>
          <w:lang w:val="nl-BE"/>
        </w:rPr>
      </w:pPr>
      <w:bookmarkStart w:id="30" w:name="_Ref528755893"/>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9</w:t>
      </w:r>
      <w:r w:rsidRPr="00E6515F">
        <w:rPr>
          <w:lang w:val="nl-BE"/>
        </w:rPr>
        <w:fldChar w:fldCharType="end"/>
      </w:r>
      <w:bookmarkEnd w:id="30"/>
      <w:r w:rsidRPr="00E6515F">
        <w:rPr>
          <w:lang w:val="nl-BE"/>
        </w:rPr>
        <w:t>: Vergelijking van het gebruik van ondersteuningsfunctie 2008 versus 2017 van mensen die op beide momenten gebruik maakten van VAPH-ondersteuning</w:t>
      </w:r>
    </w:p>
    <w:tbl>
      <w:tblPr>
        <w:tblStyle w:val="af"/>
        <w:tblW w:w="8364"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012"/>
        <w:gridCol w:w="794"/>
        <w:gridCol w:w="794"/>
        <w:gridCol w:w="794"/>
        <w:gridCol w:w="794"/>
        <w:gridCol w:w="794"/>
        <w:gridCol w:w="794"/>
        <w:gridCol w:w="794"/>
        <w:gridCol w:w="794"/>
      </w:tblGrid>
      <w:tr w:rsidR="00CD1B8C" w:rsidRPr="00E6515F" w:rsidTr="00EC561E">
        <w:trPr>
          <w:cantSplit/>
          <w:trHeight w:val="1958"/>
        </w:trPr>
        <w:tc>
          <w:tcPr>
            <w:tcW w:w="2012"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A50E64" w:rsidRPr="00E6515F" w:rsidRDefault="00A50E64">
            <w:pPr>
              <w:widowControl w:val="0"/>
              <w:rPr>
                <w:b/>
                <w:sz w:val="20"/>
                <w:szCs w:val="20"/>
                <w:lang w:val="nl-BE"/>
              </w:rPr>
            </w:pPr>
          </w:p>
          <w:p w:rsidR="00A50E64" w:rsidRPr="00E6515F" w:rsidRDefault="00A50E64">
            <w:pPr>
              <w:widowControl w:val="0"/>
              <w:rPr>
                <w:b/>
                <w:sz w:val="20"/>
                <w:szCs w:val="20"/>
                <w:lang w:val="nl-BE"/>
              </w:rPr>
            </w:pPr>
          </w:p>
          <w:p w:rsidR="00A50E64" w:rsidRPr="00E6515F" w:rsidRDefault="00A50E64">
            <w:pPr>
              <w:widowControl w:val="0"/>
              <w:rPr>
                <w:b/>
                <w:sz w:val="20"/>
                <w:szCs w:val="20"/>
                <w:lang w:val="nl-BE"/>
              </w:rPr>
            </w:pPr>
          </w:p>
          <w:p w:rsidR="00A50E64" w:rsidRPr="00E6515F" w:rsidRDefault="00A50E64">
            <w:pPr>
              <w:widowControl w:val="0"/>
              <w:rPr>
                <w:b/>
                <w:sz w:val="20"/>
                <w:szCs w:val="20"/>
                <w:lang w:val="nl-BE"/>
              </w:rPr>
            </w:pPr>
          </w:p>
          <w:p w:rsidR="00A50E64" w:rsidRPr="00E6515F" w:rsidRDefault="002859D7" w:rsidP="00A50E64">
            <w:pPr>
              <w:widowControl w:val="0"/>
              <w:rPr>
                <w:b/>
                <w:sz w:val="20"/>
                <w:szCs w:val="20"/>
                <w:lang w:val="nl-BE"/>
              </w:rPr>
            </w:pPr>
            <w:r w:rsidRPr="00E6515F">
              <w:rPr>
                <w:b/>
                <w:sz w:val="20"/>
                <w:szCs w:val="20"/>
                <w:lang w:val="nl-BE"/>
              </w:rPr>
              <w:t>Ondersteunings</w:t>
            </w:r>
            <w:r w:rsidR="00A50E64" w:rsidRPr="00E6515F">
              <w:rPr>
                <w:b/>
                <w:sz w:val="20"/>
                <w:szCs w:val="20"/>
                <w:lang w:val="nl-BE"/>
              </w:rPr>
              <w:t>-</w:t>
            </w:r>
          </w:p>
          <w:p w:rsidR="00CD1B8C" w:rsidRPr="00E6515F" w:rsidRDefault="00FF60A4" w:rsidP="00A50E64">
            <w:pPr>
              <w:widowControl w:val="0"/>
              <w:rPr>
                <w:b/>
                <w:sz w:val="20"/>
                <w:szCs w:val="20"/>
                <w:lang w:val="nl-BE"/>
              </w:rPr>
            </w:pPr>
            <w:r>
              <w:rPr>
                <w:b/>
                <w:sz w:val="20"/>
                <w:szCs w:val="20"/>
                <w:lang w:val="nl-BE"/>
              </w:rPr>
              <w:t>f</w:t>
            </w:r>
            <w:r w:rsidR="002859D7" w:rsidRPr="00E6515F">
              <w:rPr>
                <w:b/>
                <w:sz w:val="20"/>
                <w:szCs w:val="20"/>
                <w:lang w:val="nl-BE"/>
              </w:rPr>
              <w:t>uncties</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A50E64">
            <w:pPr>
              <w:widowControl w:val="0"/>
              <w:ind w:left="113" w:right="113"/>
              <w:jc w:val="center"/>
              <w:rPr>
                <w:b/>
                <w:sz w:val="20"/>
                <w:szCs w:val="20"/>
                <w:lang w:val="nl-BE"/>
              </w:rPr>
            </w:pPr>
            <w:r w:rsidRPr="00E6515F">
              <w:rPr>
                <w:b/>
                <w:sz w:val="20"/>
                <w:szCs w:val="20"/>
                <w:lang w:val="nl-BE"/>
              </w:rPr>
              <w:t xml:space="preserve">Individuele ondersteuning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A50E64">
            <w:pPr>
              <w:widowControl w:val="0"/>
              <w:ind w:left="113" w:right="113"/>
              <w:jc w:val="center"/>
              <w:rPr>
                <w:b/>
                <w:sz w:val="20"/>
                <w:szCs w:val="20"/>
                <w:lang w:val="nl-BE"/>
              </w:rPr>
            </w:pPr>
            <w:proofErr w:type="spellStart"/>
            <w:r w:rsidRPr="00E6515F">
              <w:rPr>
                <w:b/>
                <w:sz w:val="20"/>
                <w:szCs w:val="20"/>
                <w:lang w:val="nl-BE"/>
              </w:rPr>
              <w:t>Dagondersteuning</w:t>
            </w:r>
            <w:proofErr w:type="spellEnd"/>
            <w:r w:rsidRPr="00E6515F">
              <w:rPr>
                <w:b/>
                <w:sz w:val="20"/>
                <w:szCs w:val="20"/>
                <w:lang w:val="nl-BE"/>
              </w:rPr>
              <w:t xml:space="preserve">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1F75CC">
            <w:pPr>
              <w:widowControl w:val="0"/>
              <w:ind w:left="113" w:right="113"/>
              <w:jc w:val="center"/>
              <w:rPr>
                <w:b/>
                <w:sz w:val="20"/>
                <w:szCs w:val="20"/>
                <w:lang w:val="nl-BE"/>
              </w:rPr>
            </w:pPr>
            <w:r w:rsidRPr="00E6515F">
              <w:rPr>
                <w:b/>
                <w:sz w:val="20"/>
                <w:szCs w:val="20"/>
                <w:lang w:val="nl-BE"/>
              </w:rPr>
              <w:t xml:space="preserve">Woonondersteuning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4D0F2C">
            <w:pPr>
              <w:widowControl w:val="0"/>
              <w:ind w:left="113" w:right="113"/>
              <w:jc w:val="center"/>
              <w:rPr>
                <w:b/>
                <w:sz w:val="20"/>
                <w:szCs w:val="20"/>
                <w:lang w:val="nl-BE"/>
              </w:rPr>
            </w:pPr>
            <w:r w:rsidRPr="00E6515F">
              <w:rPr>
                <w:b/>
                <w:sz w:val="20"/>
                <w:szCs w:val="20"/>
                <w:lang w:val="nl-BE"/>
              </w:rPr>
              <w:t xml:space="preserve">PAB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4D0F2C">
            <w:pPr>
              <w:widowControl w:val="0"/>
              <w:ind w:left="113" w:right="113"/>
              <w:jc w:val="center"/>
              <w:rPr>
                <w:b/>
                <w:sz w:val="20"/>
                <w:szCs w:val="20"/>
                <w:lang w:val="nl-BE"/>
              </w:rPr>
            </w:pPr>
            <w:r w:rsidRPr="00E6515F">
              <w:rPr>
                <w:b/>
                <w:sz w:val="20"/>
                <w:szCs w:val="20"/>
                <w:lang w:val="nl-BE"/>
              </w:rPr>
              <w:t xml:space="preserve">PAB + DO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4D0F2C">
            <w:pPr>
              <w:widowControl w:val="0"/>
              <w:ind w:left="113" w:right="113"/>
              <w:jc w:val="center"/>
              <w:rPr>
                <w:b/>
                <w:sz w:val="20"/>
                <w:szCs w:val="20"/>
                <w:lang w:val="nl-BE"/>
              </w:rPr>
            </w:pPr>
            <w:r w:rsidRPr="00E6515F">
              <w:rPr>
                <w:b/>
                <w:sz w:val="20"/>
                <w:szCs w:val="20"/>
                <w:lang w:val="nl-BE"/>
              </w:rPr>
              <w:t xml:space="preserve">Cash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4D0F2C">
            <w:pPr>
              <w:widowControl w:val="0"/>
              <w:ind w:left="113" w:right="113"/>
              <w:jc w:val="center"/>
              <w:rPr>
                <w:b/>
                <w:sz w:val="20"/>
                <w:szCs w:val="20"/>
                <w:lang w:val="nl-BE"/>
              </w:rPr>
            </w:pPr>
            <w:r w:rsidRPr="00E6515F">
              <w:rPr>
                <w:b/>
                <w:sz w:val="20"/>
                <w:szCs w:val="20"/>
                <w:lang w:val="nl-BE"/>
              </w:rPr>
              <w:t xml:space="preserve">RTH </w:t>
            </w:r>
            <w:r w:rsidR="00627480" w:rsidRPr="00E6515F">
              <w:rPr>
                <w:b/>
                <w:sz w:val="20"/>
                <w:szCs w:val="20"/>
                <w:lang w:val="nl-BE"/>
              </w:rPr>
              <w:t>2017</w:t>
            </w:r>
          </w:p>
        </w:tc>
        <w:tc>
          <w:tcPr>
            <w:tcW w:w="79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extDirection w:val="btLr"/>
          </w:tcPr>
          <w:p w:rsidR="00CD1B8C" w:rsidRPr="00E6515F" w:rsidRDefault="002859D7" w:rsidP="004D0F2C">
            <w:pPr>
              <w:widowControl w:val="0"/>
              <w:ind w:left="113" w:right="113"/>
              <w:jc w:val="center"/>
              <w:rPr>
                <w:b/>
                <w:i/>
                <w:sz w:val="20"/>
                <w:szCs w:val="20"/>
                <w:lang w:val="nl-BE"/>
              </w:rPr>
            </w:pPr>
            <w:r w:rsidRPr="00E6515F">
              <w:rPr>
                <w:b/>
                <w:i/>
                <w:sz w:val="20"/>
                <w:szCs w:val="20"/>
                <w:lang w:val="nl-BE"/>
              </w:rPr>
              <w:t xml:space="preserve">Totaal </w:t>
            </w:r>
            <w:r w:rsidR="00627480" w:rsidRPr="00E6515F">
              <w:rPr>
                <w:b/>
                <w:i/>
                <w:sz w:val="20"/>
                <w:szCs w:val="20"/>
                <w:lang w:val="nl-BE"/>
              </w:rPr>
              <w:t>2017</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Individuele ondersteuning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1.116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146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 xml:space="preserve"> </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881</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2.327</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proofErr w:type="spellStart"/>
            <w:r w:rsidRPr="00E6515F">
              <w:rPr>
                <w:b/>
                <w:sz w:val="20"/>
                <w:szCs w:val="20"/>
                <w:lang w:val="nl-BE"/>
              </w:rPr>
              <w:t>Dagondersteuning</w:t>
            </w:r>
            <w:proofErr w:type="spellEnd"/>
            <w:r w:rsidRPr="00E6515F">
              <w:rPr>
                <w:b/>
                <w:sz w:val="20"/>
                <w:szCs w:val="20"/>
                <w:lang w:val="nl-BE"/>
              </w:rPr>
              <w:t xml:space="preserve">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210</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2.986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2.384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61</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502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6.249</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1F75CC" w:rsidP="001F75CC">
            <w:pPr>
              <w:widowControl w:val="0"/>
              <w:rPr>
                <w:b/>
                <w:sz w:val="20"/>
                <w:szCs w:val="20"/>
                <w:lang w:val="nl-BE"/>
              </w:rPr>
            </w:pPr>
            <w:r w:rsidRPr="00E6515F">
              <w:rPr>
                <w:b/>
                <w:sz w:val="20"/>
                <w:szCs w:val="20"/>
                <w:lang w:val="nl-BE"/>
              </w:rPr>
              <w:t>Woon</w:t>
            </w:r>
            <w:r w:rsidR="002859D7" w:rsidRPr="00E6515F">
              <w:rPr>
                <w:b/>
                <w:sz w:val="20"/>
                <w:szCs w:val="20"/>
                <w:lang w:val="nl-BE"/>
              </w:rPr>
              <w:t xml:space="preserve">ondersteuning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604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497</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11.172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53</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520</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12.860</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PAB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45</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75</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682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899</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PAB + DO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124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64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 xml:space="preserve">- </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253</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RTH </w:t>
            </w:r>
            <w:r w:rsidR="00627480" w:rsidRPr="00E6515F">
              <w:rPr>
                <w:b/>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144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341</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505</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97</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20</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43</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1.017</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i/>
                <w:sz w:val="20"/>
                <w:szCs w:val="20"/>
                <w:lang w:val="nl-BE"/>
              </w:rPr>
            </w:pPr>
            <w:r w:rsidRPr="00E6515F">
              <w:rPr>
                <w:i/>
                <w:sz w:val="20"/>
                <w:szCs w:val="20"/>
                <w:lang w:val="nl-BE"/>
              </w:rPr>
              <w:t>2.167</w:t>
            </w:r>
          </w:p>
        </w:tc>
      </w:tr>
      <w:tr w:rsidR="00CD1B8C" w:rsidRPr="00E6515F" w:rsidTr="00EC561E">
        <w:tc>
          <w:tcPr>
            <w:tcW w:w="2012"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 xml:space="preserve">Totaal </w:t>
            </w:r>
            <w:r w:rsidR="00627480" w:rsidRPr="00E6515F">
              <w:rPr>
                <w:b/>
                <w:i/>
                <w:sz w:val="20"/>
                <w:szCs w:val="20"/>
                <w:lang w:val="nl-BE"/>
              </w:rPr>
              <w:t>2008</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2.114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4.155</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14.346</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211</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102</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904</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2.923</w:t>
            </w:r>
          </w:p>
        </w:tc>
        <w:tc>
          <w:tcPr>
            <w:tcW w:w="79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24.755</w:t>
            </w:r>
          </w:p>
        </w:tc>
      </w:tr>
    </w:tbl>
    <w:p w:rsidR="00CD1B8C" w:rsidRPr="00E6515F" w:rsidRDefault="00CD1B8C">
      <w:pPr>
        <w:rPr>
          <w:sz w:val="18"/>
          <w:szCs w:val="18"/>
          <w:lang w:val="nl-BE"/>
        </w:rPr>
      </w:pPr>
    </w:p>
    <w:p w:rsidR="00CD1B8C" w:rsidRPr="00E6515F" w:rsidRDefault="002859D7">
      <w:pPr>
        <w:jc w:val="both"/>
        <w:rPr>
          <w:lang w:val="nl-BE"/>
        </w:rPr>
      </w:pPr>
      <w:r w:rsidRPr="00E6515F">
        <w:rPr>
          <w:lang w:val="nl-BE"/>
        </w:rPr>
        <w:t xml:space="preserve">Deze tabel is </w:t>
      </w:r>
      <w:r w:rsidR="0013775C" w:rsidRPr="00E6515F">
        <w:rPr>
          <w:lang w:val="nl-BE"/>
        </w:rPr>
        <w:t xml:space="preserve">een verdere uitdieping van </w:t>
      </w:r>
      <w:r w:rsidR="0013775C" w:rsidRPr="00E6515F">
        <w:rPr>
          <w:lang w:val="nl-BE"/>
        </w:rPr>
        <w:fldChar w:fldCharType="begin"/>
      </w:r>
      <w:r w:rsidR="0013775C" w:rsidRPr="00E6515F">
        <w:rPr>
          <w:lang w:val="nl-BE"/>
        </w:rPr>
        <w:instrText xml:space="preserve"> REF _Ref528756204 \h </w:instrText>
      </w:r>
      <w:r w:rsidR="0013775C" w:rsidRPr="00E6515F">
        <w:rPr>
          <w:lang w:val="nl-BE"/>
        </w:rPr>
      </w:r>
      <w:r w:rsidR="0013775C" w:rsidRPr="00E6515F">
        <w:rPr>
          <w:lang w:val="nl-BE"/>
        </w:rPr>
        <w:fldChar w:fldCharType="separate"/>
      </w:r>
      <w:r w:rsidR="0062760A" w:rsidRPr="00E6515F">
        <w:rPr>
          <w:lang w:val="nl-BE"/>
        </w:rPr>
        <w:t xml:space="preserve">Tabel </w:t>
      </w:r>
      <w:r w:rsidR="0062760A">
        <w:rPr>
          <w:noProof/>
          <w:lang w:val="nl-BE"/>
        </w:rPr>
        <w:t>8</w:t>
      </w:r>
      <w:r w:rsidR="0013775C" w:rsidRPr="00E6515F">
        <w:rPr>
          <w:lang w:val="nl-BE"/>
        </w:rPr>
        <w:fldChar w:fldCharType="end"/>
      </w:r>
      <w:r w:rsidR="0013775C" w:rsidRPr="00E6515F">
        <w:rPr>
          <w:lang w:val="nl-BE"/>
        </w:rPr>
        <w:t xml:space="preserve">. </w:t>
      </w:r>
      <w:r w:rsidRPr="00E6515F">
        <w:rPr>
          <w:lang w:val="nl-BE"/>
        </w:rPr>
        <w:t xml:space="preserve">In de rijen wordt weergegeven welke ondersteuningsfunctie de mensen die zowel ondersteuning hadden in </w:t>
      </w:r>
      <w:r w:rsidR="00627480" w:rsidRPr="00E6515F">
        <w:rPr>
          <w:lang w:val="nl-BE"/>
        </w:rPr>
        <w:t>2008</w:t>
      </w:r>
      <w:r w:rsidRPr="00E6515F">
        <w:rPr>
          <w:lang w:val="nl-BE"/>
        </w:rPr>
        <w:t xml:space="preserve"> als in </w:t>
      </w:r>
      <w:r w:rsidR="00627480" w:rsidRPr="00E6515F">
        <w:rPr>
          <w:lang w:val="nl-BE"/>
        </w:rPr>
        <w:t>2017</w:t>
      </w:r>
      <w:r w:rsidR="004E4DE2">
        <w:rPr>
          <w:lang w:val="nl-BE"/>
        </w:rPr>
        <w:t>,</w:t>
      </w:r>
      <w:r w:rsidRPr="00E6515F">
        <w:rPr>
          <w:lang w:val="nl-BE"/>
        </w:rPr>
        <w:t xml:space="preserve"> </w:t>
      </w:r>
      <w:r w:rsidR="004E4DE2" w:rsidRPr="00E6515F">
        <w:rPr>
          <w:lang w:val="nl-BE"/>
        </w:rPr>
        <w:t>h</w:t>
      </w:r>
      <w:r w:rsidR="004E4DE2">
        <w:rPr>
          <w:lang w:val="nl-BE"/>
        </w:rPr>
        <w:t>add</w:t>
      </w:r>
      <w:r w:rsidR="004E4DE2" w:rsidRPr="00E6515F">
        <w:rPr>
          <w:lang w:val="nl-BE"/>
        </w:rPr>
        <w:t xml:space="preserve">en </w:t>
      </w:r>
      <w:r w:rsidRPr="00E6515F">
        <w:rPr>
          <w:lang w:val="nl-BE"/>
        </w:rPr>
        <w:t xml:space="preserve">in 2008. In de kolommen </w:t>
      </w:r>
      <w:r w:rsidR="004E4DE2">
        <w:rPr>
          <w:lang w:val="nl-BE"/>
        </w:rPr>
        <w:t xml:space="preserve">wordt </w:t>
      </w:r>
      <w:r w:rsidRPr="00E6515F">
        <w:rPr>
          <w:lang w:val="nl-BE"/>
        </w:rPr>
        <w:t xml:space="preserve">de ondersteuningsvorm die ze </w:t>
      </w:r>
      <w:r w:rsidR="004E4DE2">
        <w:rPr>
          <w:lang w:val="nl-BE"/>
        </w:rPr>
        <w:t>hadden</w:t>
      </w:r>
      <w:r w:rsidR="004E4DE2" w:rsidRPr="00E6515F">
        <w:rPr>
          <w:lang w:val="nl-BE"/>
        </w:rPr>
        <w:t xml:space="preserve"> </w:t>
      </w:r>
      <w:r w:rsidRPr="00E6515F">
        <w:rPr>
          <w:lang w:val="nl-BE"/>
        </w:rPr>
        <w:t>in 2017</w:t>
      </w:r>
      <w:r w:rsidR="004E4DE2">
        <w:rPr>
          <w:lang w:val="nl-BE"/>
        </w:rPr>
        <w:t xml:space="preserve"> weergegeven</w:t>
      </w:r>
      <w:r w:rsidRPr="00E6515F">
        <w:rPr>
          <w:lang w:val="nl-BE"/>
        </w:rPr>
        <w:t xml:space="preserve">. Hier is te zien dat mensen die een </w:t>
      </w:r>
      <w:r w:rsidR="00DD02E4">
        <w:rPr>
          <w:lang w:val="nl-BE"/>
        </w:rPr>
        <w:t>persoonlijke-assistentiebudget</w:t>
      </w:r>
      <w:r w:rsidRPr="00E6515F">
        <w:rPr>
          <w:lang w:val="nl-BE"/>
        </w:rPr>
        <w:t xml:space="preserve"> hadden in </w:t>
      </w:r>
      <w:r w:rsidR="00627480" w:rsidRPr="00E6515F">
        <w:rPr>
          <w:lang w:val="nl-BE"/>
        </w:rPr>
        <w:t>2008</w:t>
      </w:r>
      <w:r w:rsidRPr="00E6515F">
        <w:rPr>
          <w:lang w:val="nl-BE"/>
        </w:rPr>
        <w:t xml:space="preserve"> vaak overgestapt zijn naar een </w:t>
      </w:r>
      <w:r w:rsidR="00DD02E4">
        <w:rPr>
          <w:lang w:val="nl-BE"/>
        </w:rPr>
        <w:t>persoonsvolgend budget</w:t>
      </w:r>
      <w:r w:rsidRPr="00E6515F">
        <w:rPr>
          <w:lang w:val="nl-BE"/>
        </w:rPr>
        <w:t xml:space="preserve"> in</w:t>
      </w:r>
      <w:r w:rsidR="001F75CC" w:rsidRPr="00E6515F">
        <w:rPr>
          <w:lang w:val="nl-BE"/>
        </w:rPr>
        <w:t>gezet via cash-overeenkomsten.</w:t>
      </w:r>
      <w:r w:rsidRPr="00E6515F">
        <w:rPr>
          <w:lang w:val="nl-BE"/>
        </w:rPr>
        <w:t xml:space="preserve"> Daarnaast valt op dat vrij groot deel (iets meer dan een derde) van de personen die </w:t>
      </w:r>
      <w:proofErr w:type="spellStart"/>
      <w:r w:rsidRPr="00E6515F">
        <w:rPr>
          <w:lang w:val="nl-BE"/>
        </w:rPr>
        <w:t>dagondersteuning</w:t>
      </w:r>
      <w:proofErr w:type="spellEnd"/>
      <w:r w:rsidRPr="00E6515F">
        <w:rPr>
          <w:lang w:val="nl-BE"/>
        </w:rPr>
        <w:t xml:space="preserve"> hadden in </w:t>
      </w:r>
      <w:r w:rsidR="00627480" w:rsidRPr="00E6515F">
        <w:rPr>
          <w:lang w:val="nl-BE"/>
        </w:rPr>
        <w:t>2008</w:t>
      </w:r>
      <w:r w:rsidRPr="00E6515F">
        <w:rPr>
          <w:lang w:val="nl-BE"/>
        </w:rPr>
        <w:t xml:space="preserve"> in </w:t>
      </w:r>
      <w:r w:rsidR="00627480" w:rsidRPr="00E6515F">
        <w:rPr>
          <w:lang w:val="nl-BE"/>
        </w:rPr>
        <w:t>2017</w:t>
      </w:r>
      <w:r w:rsidRPr="00E6515F">
        <w:rPr>
          <w:lang w:val="nl-BE"/>
        </w:rPr>
        <w:t xml:space="preserve"> woonondersteuning kr</w:t>
      </w:r>
      <w:r w:rsidR="004E4DE2">
        <w:rPr>
          <w:lang w:val="nl-BE"/>
        </w:rPr>
        <w:t>e</w:t>
      </w:r>
      <w:r w:rsidRPr="00E6515F">
        <w:rPr>
          <w:lang w:val="nl-BE"/>
        </w:rPr>
        <w:t xml:space="preserve">gen. Tot slot zien we dat ongeveer een derde van de personen die via </w:t>
      </w:r>
      <w:r w:rsidR="004E4DE2">
        <w:rPr>
          <w:lang w:val="nl-BE"/>
        </w:rPr>
        <w:t>niet-</w:t>
      </w:r>
      <w:r w:rsidR="00DD02E4">
        <w:rPr>
          <w:lang w:val="nl-BE"/>
        </w:rPr>
        <w:t>rechtstreeks toegankelijke hulp</w:t>
      </w:r>
      <w:r w:rsidRPr="00E6515F">
        <w:rPr>
          <w:lang w:val="nl-BE"/>
        </w:rPr>
        <w:t xml:space="preserve"> individuele ondersteuning kregen in </w:t>
      </w:r>
      <w:r w:rsidR="00627480" w:rsidRPr="00E6515F">
        <w:rPr>
          <w:lang w:val="nl-BE"/>
        </w:rPr>
        <w:t>2008</w:t>
      </w:r>
      <w:r w:rsidRPr="00E6515F">
        <w:rPr>
          <w:lang w:val="nl-BE"/>
        </w:rPr>
        <w:t xml:space="preserve"> overgestapt </w:t>
      </w:r>
      <w:r w:rsidR="004E4DE2">
        <w:rPr>
          <w:lang w:val="nl-BE"/>
        </w:rPr>
        <w:t>is</w:t>
      </w:r>
      <w:r w:rsidR="004E4DE2" w:rsidRPr="00E6515F">
        <w:rPr>
          <w:lang w:val="nl-BE"/>
        </w:rPr>
        <w:t xml:space="preserve"> </w:t>
      </w:r>
      <w:r w:rsidRPr="00E6515F">
        <w:rPr>
          <w:lang w:val="nl-BE"/>
        </w:rPr>
        <w:t xml:space="preserve">naar </w:t>
      </w:r>
      <w:r w:rsidR="00DD02E4">
        <w:rPr>
          <w:lang w:val="nl-BE"/>
        </w:rPr>
        <w:t>rechtstreeks toegankelijke hulp</w:t>
      </w:r>
      <w:r w:rsidRPr="00E6515F">
        <w:rPr>
          <w:lang w:val="nl-BE"/>
        </w:rPr>
        <w:t xml:space="preserve"> in </w:t>
      </w:r>
      <w:r w:rsidR="00627480" w:rsidRPr="00E6515F">
        <w:rPr>
          <w:lang w:val="nl-BE"/>
        </w:rPr>
        <w:t>2017</w:t>
      </w:r>
      <w:r w:rsidRPr="00E6515F">
        <w:rPr>
          <w:lang w:val="nl-BE"/>
        </w:rPr>
        <w:t xml:space="preserve">. </w:t>
      </w:r>
    </w:p>
    <w:p w:rsidR="00F04D35" w:rsidRPr="00E6515F" w:rsidRDefault="00F04D35">
      <w:pPr>
        <w:jc w:val="both"/>
        <w:rPr>
          <w:lang w:val="nl-BE"/>
        </w:rPr>
      </w:pPr>
    </w:p>
    <w:p w:rsidR="00F04D35" w:rsidRPr="00E6515F" w:rsidRDefault="009D3396" w:rsidP="00F04D35">
      <w:pPr>
        <w:pStyle w:val="Kop1"/>
        <w:widowControl w:val="0"/>
        <w:numPr>
          <w:ilvl w:val="2"/>
          <w:numId w:val="1"/>
        </w:numPr>
        <w:pBdr>
          <w:top w:val="nil"/>
          <w:left w:val="nil"/>
          <w:bottom w:val="nil"/>
          <w:right w:val="nil"/>
          <w:between w:val="nil"/>
        </w:pBdr>
        <w:rPr>
          <w:sz w:val="30"/>
          <w:szCs w:val="30"/>
          <w:lang w:val="nl-BE"/>
        </w:rPr>
      </w:pPr>
      <w:bookmarkStart w:id="31" w:name="_Toc536797801"/>
      <w:r w:rsidRPr="00E6515F">
        <w:rPr>
          <w:sz w:val="30"/>
          <w:szCs w:val="30"/>
          <w:lang w:val="nl-BE"/>
        </w:rPr>
        <w:t>Vrijwillige overstap van trap 2 naar trap 1</w:t>
      </w:r>
      <w:bookmarkEnd w:id="31"/>
    </w:p>
    <w:p w:rsidR="00CD1B8C" w:rsidRPr="00E6515F" w:rsidRDefault="00CD1B8C">
      <w:pPr>
        <w:contextualSpacing/>
        <w:rPr>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10</w:t>
      </w:r>
      <w:r w:rsidRPr="00E6515F">
        <w:rPr>
          <w:lang w:val="nl-BE"/>
        </w:rPr>
        <w:fldChar w:fldCharType="end"/>
      </w:r>
      <w:r w:rsidRPr="00E6515F">
        <w:rPr>
          <w:lang w:val="nl-BE"/>
        </w:rPr>
        <w:t>: Overzicht van het aantal mensen dat vrijwillig overstapt van trap 2 naar trap 1</w:t>
      </w:r>
    </w:p>
    <w:tbl>
      <w:tblPr>
        <w:tblStyle w:val="af0"/>
        <w:tblW w:w="6086"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694"/>
        <w:gridCol w:w="1487"/>
        <w:gridCol w:w="1905"/>
      </w:tblGrid>
      <w:tr w:rsidR="00CD1B8C" w:rsidRPr="00E6515F" w:rsidTr="004D0F2C">
        <w:tc>
          <w:tcPr>
            <w:tcW w:w="2694"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CD1B8C">
            <w:pPr>
              <w:widowControl w:val="0"/>
              <w:jc w:val="center"/>
              <w:rPr>
                <w:b/>
                <w:sz w:val="20"/>
                <w:szCs w:val="20"/>
                <w:lang w:val="nl-BE"/>
              </w:rPr>
            </w:pPr>
          </w:p>
        </w:tc>
        <w:tc>
          <w:tcPr>
            <w:tcW w:w="14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2017</w:t>
            </w:r>
          </w:p>
        </w:tc>
        <w:tc>
          <w:tcPr>
            <w:tcW w:w="190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 xml:space="preserve">2018 (jan </w:t>
            </w:r>
            <w:r w:rsidR="00380DEB">
              <w:rPr>
                <w:b/>
                <w:sz w:val="20"/>
                <w:szCs w:val="20"/>
                <w:lang w:val="nl-BE"/>
              </w:rPr>
              <w:t xml:space="preserve">t/m </w:t>
            </w:r>
            <w:r w:rsidRPr="00E6515F">
              <w:rPr>
                <w:b/>
                <w:sz w:val="20"/>
                <w:szCs w:val="20"/>
                <w:lang w:val="nl-BE"/>
              </w:rPr>
              <w:t>juli)</w:t>
            </w:r>
          </w:p>
        </w:tc>
      </w:tr>
      <w:tr w:rsidR="00CD1B8C" w:rsidRPr="00E6515F" w:rsidTr="004D0F2C">
        <w:tc>
          <w:tcPr>
            <w:tcW w:w="269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Overstap vanuit MFC/PAB</w:t>
            </w:r>
          </w:p>
        </w:tc>
        <w:tc>
          <w:tcPr>
            <w:tcW w:w="14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128</w:t>
            </w:r>
          </w:p>
        </w:tc>
        <w:tc>
          <w:tcPr>
            <w:tcW w:w="190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99</w:t>
            </w:r>
          </w:p>
        </w:tc>
      </w:tr>
      <w:tr w:rsidR="00CD1B8C" w:rsidRPr="00E6515F" w:rsidTr="004D0F2C">
        <w:tc>
          <w:tcPr>
            <w:tcW w:w="269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Overstap vanuit </w:t>
            </w:r>
            <w:r w:rsidR="00627480" w:rsidRPr="00E6515F">
              <w:rPr>
                <w:b/>
                <w:sz w:val="20"/>
                <w:szCs w:val="20"/>
                <w:lang w:val="nl-BE"/>
              </w:rPr>
              <w:t>PVB</w:t>
            </w:r>
          </w:p>
        </w:tc>
        <w:tc>
          <w:tcPr>
            <w:tcW w:w="14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27</w:t>
            </w:r>
          </w:p>
        </w:tc>
        <w:tc>
          <w:tcPr>
            <w:tcW w:w="190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w:t>
            </w:r>
          </w:p>
        </w:tc>
      </w:tr>
      <w:tr w:rsidR="00CD1B8C" w:rsidRPr="00E6515F" w:rsidTr="004D0F2C">
        <w:tc>
          <w:tcPr>
            <w:tcW w:w="269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i/>
                <w:sz w:val="20"/>
                <w:szCs w:val="20"/>
                <w:lang w:val="nl-BE"/>
              </w:rPr>
            </w:pPr>
            <w:r w:rsidRPr="00E6515F">
              <w:rPr>
                <w:b/>
                <w:i/>
                <w:sz w:val="20"/>
                <w:szCs w:val="20"/>
                <w:lang w:val="nl-BE"/>
              </w:rPr>
              <w:t>Totaal</w:t>
            </w:r>
          </w:p>
        </w:tc>
        <w:tc>
          <w:tcPr>
            <w:tcW w:w="14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155</w:t>
            </w:r>
          </w:p>
        </w:tc>
        <w:tc>
          <w:tcPr>
            <w:tcW w:w="190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110</w:t>
            </w:r>
          </w:p>
        </w:tc>
      </w:tr>
    </w:tbl>
    <w:p w:rsidR="00CD1B8C" w:rsidRPr="00E6515F" w:rsidRDefault="00CD1B8C">
      <w:pPr>
        <w:ind w:left="720"/>
        <w:rPr>
          <w:b/>
          <w:sz w:val="28"/>
          <w:szCs w:val="28"/>
          <w:lang w:val="nl-BE"/>
        </w:rPr>
      </w:pPr>
    </w:p>
    <w:p w:rsidR="00CD1B8C" w:rsidRPr="00E6515F" w:rsidRDefault="002859D7">
      <w:pPr>
        <w:jc w:val="both"/>
        <w:rPr>
          <w:lang w:val="nl-BE"/>
        </w:rPr>
      </w:pPr>
      <w:r w:rsidRPr="00E6515F">
        <w:rPr>
          <w:lang w:val="nl-BE"/>
        </w:rPr>
        <w:t xml:space="preserve">De persoonsvolgende financiering is een getrapt systeem. Personen die nood hebben aan intensieve vormen van ondersteuning kunnen geholpen worden in trap 2, veelal via een </w:t>
      </w:r>
      <w:r w:rsidR="00DD02E4">
        <w:rPr>
          <w:lang w:val="nl-BE"/>
        </w:rPr>
        <w:lastRenderedPageBreak/>
        <w:t>persoonsvolgend budget</w:t>
      </w:r>
      <w:r w:rsidRPr="00E6515F">
        <w:rPr>
          <w:lang w:val="nl-BE"/>
        </w:rPr>
        <w:t xml:space="preserve"> (meerderjarigen), in een multifunctioneel centrum (MFC, minderjarigen) of via een </w:t>
      </w:r>
      <w:r w:rsidR="00DD02E4">
        <w:rPr>
          <w:lang w:val="nl-BE"/>
        </w:rPr>
        <w:t>persoonlijke-assistentiebudget</w:t>
      </w:r>
      <w:r w:rsidRPr="00E6515F">
        <w:rPr>
          <w:lang w:val="nl-BE"/>
        </w:rPr>
        <w:t xml:space="preserve"> (minderjarigen). Mensen die eerder laagdrempelige vormen van ondersteuning nodig hebb</w:t>
      </w:r>
      <w:r w:rsidR="001F75CC" w:rsidRPr="00E6515F">
        <w:rPr>
          <w:lang w:val="nl-BE"/>
        </w:rPr>
        <w:t>en, kunnen terecht in trap 1</w:t>
      </w:r>
      <w:r w:rsidR="004E4DE2">
        <w:rPr>
          <w:lang w:val="nl-BE"/>
        </w:rPr>
        <w:t>;</w:t>
      </w:r>
      <w:r w:rsidR="004E4DE2" w:rsidRPr="00E6515F">
        <w:rPr>
          <w:lang w:val="nl-BE"/>
        </w:rPr>
        <w:t xml:space="preserve"> </w:t>
      </w:r>
      <w:r w:rsidR="001F75CC" w:rsidRPr="00E6515F">
        <w:rPr>
          <w:lang w:val="nl-BE"/>
        </w:rPr>
        <w:t>d</w:t>
      </w:r>
      <w:r w:rsidR="004E4DE2">
        <w:rPr>
          <w:lang w:val="nl-BE"/>
        </w:rPr>
        <w:t>a</w:t>
      </w:r>
      <w:r w:rsidR="001F75CC" w:rsidRPr="00E6515F">
        <w:rPr>
          <w:lang w:val="nl-BE"/>
        </w:rPr>
        <w:t>t is</w:t>
      </w:r>
      <w:r w:rsidRPr="00E6515F">
        <w:rPr>
          <w:lang w:val="nl-BE"/>
        </w:rPr>
        <w:t xml:space="preserve"> ondersteuning via </w:t>
      </w:r>
      <w:r w:rsidR="00DD02E4">
        <w:rPr>
          <w:lang w:val="nl-BE"/>
        </w:rPr>
        <w:t>rechtstreeks toegankelijke hulp</w:t>
      </w:r>
      <w:r w:rsidRPr="00E6515F">
        <w:rPr>
          <w:lang w:val="nl-BE"/>
        </w:rPr>
        <w:t xml:space="preserve"> en/of een zorgbudget</w:t>
      </w:r>
      <w:r w:rsidR="004E4DE2">
        <w:rPr>
          <w:lang w:val="nl-BE"/>
        </w:rPr>
        <w:t xml:space="preserve"> voor mensen met een handicap </w:t>
      </w:r>
      <w:r w:rsidRPr="00E6515F">
        <w:rPr>
          <w:lang w:val="nl-BE"/>
        </w:rPr>
        <w:t xml:space="preserve"> (</w:t>
      </w:r>
      <w:proofErr w:type="spellStart"/>
      <w:r w:rsidRPr="00E6515F">
        <w:rPr>
          <w:lang w:val="nl-BE"/>
        </w:rPr>
        <w:t>basisondersteuningsbudget</w:t>
      </w:r>
      <w:proofErr w:type="spellEnd"/>
      <w:r w:rsidR="004E4DE2">
        <w:rPr>
          <w:lang w:val="nl-BE"/>
        </w:rPr>
        <w:t xml:space="preserve"> (BOB)</w:t>
      </w:r>
      <w:r w:rsidRPr="00E6515F">
        <w:rPr>
          <w:lang w:val="nl-BE"/>
        </w:rPr>
        <w:t xml:space="preserve">). </w:t>
      </w:r>
    </w:p>
    <w:p w:rsidR="00CD1B8C" w:rsidRPr="00E6515F" w:rsidRDefault="00CD1B8C">
      <w:pPr>
        <w:jc w:val="both"/>
        <w:rPr>
          <w:lang w:val="nl-BE"/>
        </w:rPr>
      </w:pPr>
    </w:p>
    <w:p w:rsidR="00CD1B8C" w:rsidRPr="00E6515F" w:rsidRDefault="002859D7">
      <w:pPr>
        <w:jc w:val="both"/>
        <w:rPr>
          <w:lang w:val="nl-BE"/>
        </w:rPr>
      </w:pPr>
      <w:r w:rsidRPr="00E6515F">
        <w:rPr>
          <w:lang w:val="nl-BE"/>
        </w:rPr>
        <w:t>Mensen die ondersteuning krijgen in trap 2 (</w:t>
      </w:r>
      <w:r w:rsidR="004E4DE2">
        <w:rPr>
          <w:lang w:val="nl-BE"/>
        </w:rPr>
        <w:t>niet-</w:t>
      </w:r>
      <w:r w:rsidR="00DD02E4">
        <w:rPr>
          <w:lang w:val="nl-BE"/>
        </w:rPr>
        <w:t>rechtstreeks toegankelijke hulp</w:t>
      </w:r>
      <w:r w:rsidRPr="00E6515F">
        <w:rPr>
          <w:lang w:val="nl-BE"/>
        </w:rPr>
        <w:t xml:space="preserve">), kunnen ervoor kiezen om over te stappen naar trap 1. Zij kiezen ervoor om hun </w:t>
      </w:r>
      <w:r w:rsidR="004E4DE2">
        <w:rPr>
          <w:lang w:val="nl-BE"/>
        </w:rPr>
        <w:t>niet-</w:t>
      </w:r>
      <w:r w:rsidR="00DD02E4">
        <w:rPr>
          <w:lang w:val="nl-BE"/>
        </w:rPr>
        <w:t>rechtstreeks toegankelijke hulp</w:t>
      </w:r>
      <w:r w:rsidRPr="00E6515F">
        <w:rPr>
          <w:lang w:val="nl-BE"/>
        </w:rPr>
        <w:t xml:space="preserve"> stop te zetten </w:t>
      </w:r>
      <w:r w:rsidR="00B16A04" w:rsidRPr="00E6515F">
        <w:rPr>
          <w:lang w:val="nl-BE"/>
        </w:rPr>
        <w:t xml:space="preserve">en </w:t>
      </w:r>
      <w:r w:rsidRPr="00E6515F">
        <w:rPr>
          <w:lang w:val="nl-BE"/>
        </w:rPr>
        <w:t xml:space="preserve">een zorgbudget </w:t>
      </w:r>
      <w:r w:rsidR="00095420">
        <w:rPr>
          <w:lang w:val="nl-BE"/>
        </w:rPr>
        <w:t xml:space="preserve">voor mensen met een handicap </w:t>
      </w:r>
      <w:r w:rsidRPr="00E6515F">
        <w:rPr>
          <w:lang w:val="nl-BE"/>
        </w:rPr>
        <w:t xml:space="preserve">te ontvangen. </w:t>
      </w:r>
      <w:r w:rsidR="004E4DE2" w:rsidRPr="00E6515F">
        <w:rPr>
          <w:lang w:val="nl-BE"/>
        </w:rPr>
        <w:t>D</w:t>
      </w:r>
      <w:r w:rsidR="004E4DE2">
        <w:rPr>
          <w:lang w:val="nl-BE"/>
        </w:rPr>
        <w:t>at</w:t>
      </w:r>
      <w:r w:rsidR="004E4DE2" w:rsidRPr="00E6515F">
        <w:rPr>
          <w:lang w:val="nl-BE"/>
        </w:rPr>
        <w:t xml:space="preserve"> </w:t>
      </w:r>
      <w:r w:rsidRPr="00E6515F">
        <w:rPr>
          <w:lang w:val="nl-BE"/>
        </w:rPr>
        <w:t xml:space="preserve">is een maandelijks bedrag van 300 euro. Met hun zorgbudget kunnen zij dan hun laagdrempelige ondersteuning organiseren. </w:t>
      </w:r>
    </w:p>
    <w:p w:rsidR="00CD1B8C" w:rsidRPr="00E6515F" w:rsidRDefault="00CD1B8C">
      <w:pPr>
        <w:jc w:val="both"/>
        <w:rPr>
          <w:lang w:val="nl-BE"/>
        </w:rPr>
      </w:pPr>
    </w:p>
    <w:p w:rsidR="00CD1B8C" w:rsidRPr="00E6515F" w:rsidRDefault="002859D7">
      <w:pPr>
        <w:jc w:val="both"/>
        <w:rPr>
          <w:lang w:val="nl-BE"/>
        </w:rPr>
      </w:pPr>
      <w:r w:rsidRPr="00E6515F">
        <w:rPr>
          <w:lang w:val="nl-BE"/>
        </w:rPr>
        <w:t xml:space="preserve">We zien dat vooral vanuit de minderjarigenzorg gekozen wordt om over te stappen naar trap 1. Bij volwassenen is het aantal overstappers eerder beperkt. </w:t>
      </w:r>
      <w:r w:rsidR="00232076" w:rsidRPr="00E6515F">
        <w:rPr>
          <w:lang w:val="nl-BE"/>
        </w:rPr>
        <w:t xml:space="preserve">Een mogelijke verklaring </w:t>
      </w:r>
      <w:r w:rsidR="004E4DE2">
        <w:rPr>
          <w:lang w:val="nl-BE"/>
        </w:rPr>
        <w:t>daar</w:t>
      </w:r>
      <w:r w:rsidR="00232076" w:rsidRPr="00E6515F">
        <w:rPr>
          <w:lang w:val="nl-BE"/>
        </w:rPr>
        <w:t xml:space="preserve">voor is dat </w:t>
      </w:r>
      <w:r w:rsidR="00292682" w:rsidRPr="00E6515F">
        <w:rPr>
          <w:lang w:val="nl-BE"/>
        </w:rPr>
        <w:t xml:space="preserve">het </w:t>
      </w:r>
      <w:r w:rsidR="003D0F92" w:rsidRPr="00E6515F">
        <w:rPr>
          <w:lang w:val="nl-BE"/>
        </w:rPr>
        <w:t>bij minderjarigen vaker voor</w:t>
      </w:r>
      <w:r w:rsidR="00292682" w:rsidRPr="00E6515F">
        <w:rPr>
          <w:lang w:val="nl-BE"/>
        </w:rPr>
        <w:t>komt</w:t>
      </w:r>
      <w:r w:rsidR="003D0F92" w:rsidRPr="00E6515F">
        <w:rPr>
          <w:lang w:val="nl-BE"/>
        </w:rPr>
        <w:t xml:space="preserve"> dat </w:t>
      </w:r>
      <w:r w:rsidR="00292682" w:rsidRPr="00E6515F">
        <w:rPr>
          <w:lang w:val="nl-BE"/>
        </w:rPr>
        <w:t xml:space="preserve">de vragen naar zorg en ondersteuning wijzigen. Hierdoor wordt </w:t>
      </w:r>
      <w:r w:rsidR="003D0F92" w:rsidRPr="00E6515F">
        <w:rPr>
          <w:lang w:val="nl-BE"/>
        </w:rPr>
        <w:t xml:space="preserve">er niet gedurende lange onafgebroken tijd gebruik gemaakt van </w:t>
      </w:r>
      <w:r w:rsidR="004E4DE2">
        <w:rPr>
          <w:lang w:val="nl-BE"/>
        </w:rPr>
        <w:t>niet-</w:t>
      </w:r>
      <w:r w:rsidR="00DD02E4">
        <w:rPr>
          <w:lang w:val="nl-BE"/>
        </w:rPr>
        <w:t>rechtstreeks toegankelijke hulp</w:t>
      </w:r>
      <w:r w:rsidR="003D0F92" w:rsidRPr="00E6515F">
        <w:rPr>
          <w:lang w:val="nl-BE"/>
        </w:rPr>
        <w:t xml:space="preserve">, maar </w:t>
      </w:r>
      <w:r w:rsidR="004E4DE2">
        <w:rPr>
          <w:lang w:val="nl-BE"/>
        </w:rPr>
        <w:t>in</w:t>
      </w:r>
      <w:r w:rsidR="004E4DE2" w:rsidRPr="00E6515F">
        <w:rPr>
          <w:lang w:val="nl-BE"/>
        </w:rPr>
        <w:t xml:space="preserve"> </w:t>
      </w:r>
      <w:r w:rsidR="003D0F92" w:rsidRPr="00E6515F">
        <w:rPr>
          <w:lang w:val="nl-BE"/>
        </w:rPr>
        <w:t>kortere en soms meerdere niet</w:t>
      </w:r>
      <w:r w:rsidR="004E4DE2">
        <w:rPr>
          <w:lang w:val="nl-BE"/>
        </w:rPr>
        <w:t>-</w:t>
      </w:r>
      <w:r w:rsidR="003D0F92" w:rsidRPr="00E6515F">
        <w:rPr>
          <w:lang w:val="nl-BE"/>
        </w:rPr>
        <w:t xml:space="preserve">opeenvolgende periodes. Tussen </w:t>
      </w:r>
      <w:r w:rsidR="004E4DE2">
        <w:rPr>
          <w:lang w:val="nl-BE"/>
        </w:rPr>
        <w:t>die</w:t>
      </w:r>
      <w:r w:rsidR="004E4DE2" w:rsidRPr="00E6515F">
        <w:rPr>
          <w:lang w:val="nl-BE"/>
        </w:rPr>
        <w:t xml:space="preserve"> </w:t>
      </w:r>
      <w:r w:rsidR="003D0F92" w:rsidRPr="00E6515F">
        <w:rPr>
          <w:lang w:val="nl-BE"/>
        </w:rPr>
        <w:t xml:space="preserve">periodes in kan het interessant zijn voor hen om </w:t>
      </w:r>
      <w:r w:rsidR="004E4DE2">
        <w:rPr>
          <w:lang w:val="nl-BE"/>
        </w:rPr>
        <w:t xml:space="preserve">een </w:t>
      </w:r>
      <w:r w:rsidR="003D0F92" w:rsidRPr="00E6515F">
        <w:rPr>
          <w:lang w:val="nl-BE"/>
        </w:rPr>
        <w:t xml:space="preserve">beroep te doen op een zorgbudget. </w:t>
      </w:r>
      <w:r w:rsidRPr="00E6515F">
        <w:rPr>
          <w:lang w:val="nl-BE"/>
        </w:rPr>
        <w:t>Wat verder opvalt</w:t>
      </w:r>
      <w:r w:rsidR="00BA3BC8">
        <w:rPr>
          <w:lang w:val="nl-BE"/>
        </w:rPr>
        <w:t>,</w:t>
      </w:r>
      <w:r w:rsidRPr="00E6515F">
        <w:rPr>
          <w:lang w:val="nl-BE"/>
        </w:rPr>
        <w:t xml:space="preserve"> is dat het aantal minderjarigen dat kiest om over te stappen </w:t>
      </w:r>
      <w:r w:rsidR="00BA3BC8" w:rsidRPr="00E6515F">
        <w:rPr>
          <w:lang w:val="nl-BE"/>
        </w:rPr>
        <w:t>st</w:t>
      </w:r>
      <w:r w:rsidR="00BA3BC8">
        <w:rPr>
          <w:lang w:val="nl-BE"/>
        </w:rPr>
        <w:t>eeg</w:t>
      </w:r>
      <w:r w:rsidR="00BA3BC8" w:rsidRPr="00E6515F">
        <w:rPr>
          <w:lang w:val="nl-BE"/>
        </w:rPr>
        <w:t xml:space="preserve"> </w:t>
      </w:r>
      <w:r w:rsidRPr="00E6515F">
        <w:rPr>
          <w:lang w:val="nl-BE"/>
        </w:rPr>
        <w:t xml:space="preserve">in 2018 </w:t>
      </w:r>
      <w:r w:rsidR="00A14A44" w:rsidRPr="00E6515F">
        <w:rPr>
          <w:lang w:val="nl-BE"/>
        </w:rPr>
        <w:t>t</w:t>
      </w:r>
      <w:r w:rsidR="00BA3BC8">
        <w:rPr>
          <w:lang w:val="nl-BE"/>
        </w:rPr>
        <w:t>en opzichte van</w:t>
      </w:r>
      <w:r w:rsidR="004F792E" w:rsidRPr="00E6515F">
        <w:rPr>
          <w:lang w:val="nl-BE"/>
        </w:rPr>
        <w:t xml:space="preserve"> 2017 (cijfers van 20</w:t>
      </w:r>
      <w:r w:rsidRPr="00E6515F">
        <w:rPr>
          <w:lang w:val="nl-BE"/>
        </w:rPr>
        <w:t xml:space="preserve">18 zijn cijfers voor een half jaar, van </w:t>
      </w:r>
      <w:r w:rsidR="00627480" w:rsidRPr="00E6515F">
        <w:rPr>
          <w:lang w:val="nl-BE"/>
        </w:rPr>
        <w:t>2017</w:t>
      </w:r>
      <w:r w:rsidRPr="00E6515F">
        <w:rPr>
          <w:lang w:val="nl-BE"/>
        </w:rPr>
        <w:t xml:space="preserve"> voor een volledig jaar), terwijl het aantal overstappers vanuit </w:t>
      </w:r>
      <w:r w:rsidR="00DD02E4">
        <w:rPr>
          <w:lang w:val="nl-BE"/>
        </w:rPr>
        <w:t>persoonsvolgend budget</w:t>
      </w:r>
      <w:r w:rsidRPr="00E6515F">
        <w:rPr>
          <w:lang w:val="nl-BE"/>
        </w:rPr>
        <w:t xml:space="preserve"> stabiel is, tot lichtjes daalt. </w:t>
      </w:r>
    </w:p>
    <w:p w:rsidR="00CD1B8C" w:rsidRPr="00E6515F" w:rsidRDefault="00CD1B8C">
      <w:pPr>
        <w:rPr>
          <w:lang w:val="nl-BE"/>
        </w:rPr>
      </w:pPr>
    </w:p>
    <w:p w:rsidR="00CD1B8C" w:rsidRPr="00E6515F" w:rsidRDefault="002859D7" w:rsidP="00EC561E">
      <w:pPr>
        <w:pStyle w:val="Kop1"/>
        <w:widowControl w:val="0"/>
        <w:numPr>
          <w:ilvl w:val="2"/>
          <w:numId w:val="1"/>
        </w:numPr>
        <w:pBdr>
          <w:top w:val="nil"/>
          <w:left w:val="nil"/>
          <w:bottom w:val="nil"/>
          <w:right w:val="nil"/>
          <w:between w:val="nil"/>
        </w:pBdr>
        <w:rPr>
          <w:sz w:val="30"/>
          <w:szCs w:val="30"/>
          <w:lang w:val="nl-BE"/>
        </w:rPr>
      </w:pPr>
      <w:bookmarkStart w:id="32" w:name="_Toc528227886"/>
      <w:bookmarkStart w:id="33" w:name="_Toc536797802"/>
      <w:r w:rsidRPr="00E6515F">
        <w:rPr>
          <w:sz w:val="30"/>
          <w:szCs w:val="30"/>
          <w:lang w:val="nl-BE"/>
        </w:rPr>
        <w:t xml:space="preserve">Verdere info met betrekking tot gebruikers </w:t>
      </w:r>
      <w:proofErr w:type="spellStart"/>
      <w:r w:rsidR="00743AC9" w:rsidRPr="00E6515F">
        <w:rPr>
          <w:sz w:val="30"/>
          <w:szCs w:val="30"/>
          <w:lang w:val="nl-BE"/>
        </w:rPr>
        <w:t>nRTH</w:t>
      </w:r>
      <w:proofErr w:type="spellEnd"/>
      <w:r w:rsidR="00743AC9" w:rsidRPr="00E6515F">
        <w:rPr>
          <w:sz w:val="30"/>
          <w:szCs w:val="30"/>
          <w:lang w:val="nl-BE"/>
        </w:rPr>
        <w:t xml:space="preserve"> </w:t>
      </w:r>
      <w:r w:rsidRPr="00E6515F">
        <w:rPr>
          <w:sz w:val="30"/>
          <w:szCs w:val="30"/>
          <w:lang w:val="nl-BE"/>
        </w:rPr>
        <w:t>2017</w:t>
      </w:r>
      <w:bookmarkEnd w:id="32"/>
      <w:bookmarkEnd w:id="33"/>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11</w:t>
      </w:r>
      <w:r w:rsidRPr="00E6515F">
        <w:rPr>
          <w:lang w:val="nl-BE"/>
        </w:rPr>
        <w:fldChar w:fldCharType="end"/>
      </w:r>
      <w:r w:rsidRPr="00E6515F">
        <w:rPr>
          <w:lang w:val="nl-BE"/>
        </w:rPr>
        <w:t xml:space="preserve">: Overzicht van het aantal personen met een handicap met een terbeschikkingstelling lopende </w:t>
      </w:r>
      <w:r w:rsidR="00BA3BC8">
        <w:rPr>
          <w:lang w:val="nl-BE"/>
        </w:rPr>
        <w:t>op 01.01.</w:t>
      </w:r>
      <w:r w:rsidRPr="00E6515F">
        <w:rPr>
          <w:lang w:val="nl-BE"/>
        </w:rPr>
        <w:t>2018 per leeftijdscategorie</w:t>
      </w:r>
    </w:p>
    <w:tbl>
      <w:tblPr>
        <w:tblW w:w="55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861"/>
        <w:gridCol w:w="1861"/>
      </w:tblGrid>
      <w:tr w:rsidR="00DC5DD6" w:rsidRPr="00490F75" w:rsidTr="00DC5DD6">
        <w:trPr>
          <w:trHeight w:val="340"/>
        </w:trPr>
        <w:tc>
          <w:tcPr>
            <w:tcW w:w="1840" w:type="dxa"/>
            <w:shd w:val="clear" w:color="auto" w:fill="BFBFBF" w:themeFill="background1" w:themeFillShade="BF"/>
            <w:noWrap/>
            <w:vAlign w:val="center"/>
            <w:hideMark/>
          </w:tcPr>
          <w:p w:rsidR="00DC5DD6" w:rsidRPr="00E6515F" w:rsidRDefault="00DC5DD6" w:rsidP="00DC5DD6">
            <w:pPr>
              <w:spacing w:line="240" w:lineRule="auto"/>
              <w:ind w:left="60"/>
              <w:rPr>
                <w:b/>
                <w:sz w:val="20"/>
                <w:szCs w:val="20"/>
                <w:lang w:val="nl-BE"/>
              </w:rPr>
            </w:pPr>
            <w:r w:rsidRPr="00E6515F">
              <w:rPr>
                <w:b/>
                <w:sz w:val="20"/>
                <w:szCs w:val="20"/>
                <w:lang w:val="nl-BE"/>
              </w:rPr>
              <w:t>Leeftijdscategorie</w:t>
            </w:r>
          </w:p>
        </w:tc>
        <w:tc>
          <w:tcPr>
            <w:tcW w:w="1861" w:type="dxa"/>
            <w:shd w:val="clear" w:color="auto" w:fill="BFBFBF" w:themeFill="background1" w:themeFillShade="BF"/>
            <w:noWrap/>
            <w:vAlign w:val="center"/>
            <w:hideMark/>
          </w:tcPr>
          <w:p w:rsidR="00DC5DD6" w:rsidRPr="00E6515F" w:rsidRDefault="00DC5DD6" w:rsidP="00BA3BC8">
            <w:pPr>
              <w:spacing w:line="240" w:lineRule="auto"/>
              <w:ind w:left="60"/>
              <w:jc w:val="center"/>
              <w:rPr>
                <w:b/>
                <w:sz w:val="20"/>
                <w:szCs w:val="20"/>
                <w:lang w:val="nl-BE"/>
              </w:rPr>
            </w:pPr>
            <w:r w:rsidRPr="00E6515F">
              <w:rPr>
                <w:b/>
                <w:sz w:val="20"/>
                <w:szCs w:val="20"/>
                <w:lang w:val="nl-BE"/>
              </w:rPr>
              <w:t xml:space="preserve">Aantal </w:t>
            </w:r>
            <w:r w:rsidR="00BA3BC8">
              <w:rPr>
                <w:b/>
                <w:sz w:val="20"/>
                <w:szCs w:val="20"/>
                <w:lang w:val="nl-BE"/>
              </w:rPr>
              <w:t>personen met een handicap</w:t>
            </w:r>
          </w:p>
        </w:tc>
        <w:tc>
          <w:tcPr>
            <w:tcW w:w="1861" w:type="dxa"/>
            <w:shd w:val="clear" w:color="auto" w:fill="BFBFBF" w:themeFill="background1" w:themeFillShade="BF"/>
          </w:tcPr>
          <w:p w:rsidR="00DC5DD6" w:rsidRPr="00E6515F" w:rsidRDefault="00DC5DD6" w:rsidP="00BA3BC8">
            <w:pPr>
              <w:spacing w:line="240" w:lineRule="auto"/>
              <w:ind w:left="60"/>
              <w:jc w:val="center"/>
              <w:rPr>
                <w:b/>
                <w:sz w:val="20"/>
                <w:szCs w:val="20"/>
                <w:lang w:val="nl-BE"/>
              </w:rPr>
            </w:pPr>
            <w:r w:rsidRPr="00E6515F">
              <w:rPr>
                <w:b/>
                <w:sz w:val="20"/>
                <w:szCs w:val="20"/>
                <w:lang w:val="nl-BE"/>
              </w:rPr>
              <w:t xml:space="preserve">Percentage </w:t>
            </w:r>
            <w:proofErr w:type="spellStart"/>
            <w:r w:rsidRPr="00E6515F">
              <w:rPr>
                <w:b/>
                <w:sz w:val="20"/>
                <w:szCs w:val="20"/>
                <w:lang w:val="nl-BE"/>
              </w:rPr>
              <w:t>t.o.v</w:t>
            </w:r>
            <w:proofErr w:type="spellEnd"/>
            <w:r w:rsidRPr="00E6515F">
              <w:rPr>
                <w:b/>
                <w:sz w:val="20"/>
                <w:szCs w:val="20"/>
                <w:lang w:val="nl-BE"/>
              </w:rPr>
              <w:t xml:space="preserve"> totaal aantal </w:t>
            </w:r>
            <w:r w:rsidR="00BA3BC8">
              <w:rPr>
                <w:b/>
                <w:sz w:val="20"/>
                <w:szCs w:val="20"/>
                <w:lang w:val="nl-BE"/>
              </w:rPr>
              <w:t>personen met een handicap</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199</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1%</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1.837</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8%</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4.811</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20%</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4.828</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20%</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5.688</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24%</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4.704</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19%</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widowControl w:val="0"/>
              <w:pBdr>
                <w:top w:val="nil"/>
                <w:left w:val="nil"/>
                <w:bottom w:val="nil"/>
                <w:right w:val="nil"/>
                <w:between w:val="nil"/>
              </w:pBdr>
              <w:rPr>
                <w:b/>
                <w:sz w:val="20"/>
                <w:szCs w:val="20"/>
                <w:lang w:val="nl-BE"/>
              </w:rPr>
            </w:pPr>
            <w:r w:rsidRPr="00E6515F">
              <w:rPr>
                <w:b/>
                <w:sz w:val="20"/>
                <w:szCs w:val="20"/>
                <w:lang w:val="nl-BE"/>
              </w:rPr>
              <w:t>+65 j</w:t>
            </w:r>
            <w:r w:rsidR="00BA3BC8">
              <w:rPr>
                <w:b/>
                <w:sz w:val="20"/>
                <w:szCs w:val="20"/>
                <w:lang w:val="nl-BE"/>
              </w:rPr>
              <w:t>.</w:t>
            </w:r>
          </w:p>
        </w:tc>
        <w:tc>
          <w:tcPr>
            <w:tcW w:w="1861" w:type="dxa"/>
            <w:shd w:val="clear" w:color="auto" w:fill="auto"/>
            <w:noWrap/>
            <w:vAlign w:val="center"/>
            <w:hideMark/>
          </w:tcPr>
          <w:p w:rsidR="00DC5DD6" w:rsidRPr="00E6515F" w:rsidRDefault="00DC5DD6" w:rsidP="00DC5DD6">
            <w:pPr>
              <w:spacing w:line="240" w:lineRule="auto"/>
              <w:ind w:left="60"/>
              <w:jc w:val="center"/>
              <w:rPr>
                <w:sz w:val="20"/>
                <w:szCs w:val="20"/>
                <w:lang w:val="nl-BE"/>
              </w:rPr>
            </w:pPr>
            <w:r w:rsidRPr="00E6515F">
              <w:rPr>
                <w:sz w:val="20"/>
                <w:szCs w:val="20"/>
                <w:lang w:val="nl-BE"/>
              </w:rPr>
              <w:t>2.112</w:t>
            </w:r>
          </w:p>
        </w:tc>
        <w:tc>
          <w:tcPr>
            <w:tcW w:w="1861" w:type="dxa"/>
            <w:vAlign w:val="center"/>
          </w:tcPr>
          <w:p w:rsidR="00DC5DD6" w:rsidRPr="00E6515F" w:rsidRDefault="00DC5DD6" w:rsidP="00DC5DD6">
            <w:pPr>
              <w:spacing w:line="240" w:lineRule="auto"/>
              <w:ind w:left="60"/>
              <w:jc w:val="center"/>
              <w:rPr>
                <w:sz w:val="20"/>
                <w:szCs w:val="20"/>
                <w:lang w:val="nl-BE"/>
              </w:rPr>
            </w:pPr>
            <w:r w:rsidRPr="00E6515F">
              <w:rPr>
                <w:sz w:val="20"/>
                <w:szCs w:val="20"/>
                <w:lang w:val="nl-BE"/>
              </w:rPr>
              <w:t>9%</w:t>
            </w:r>
          </w:p>
        </w:tc>
      </w:tr>
      <w:tr w:rsidR="00DC5DD6" w:rsidRPr="00E6515F" w:rsidTr="00DC5DD6">
        <w:trPr>
          <w:trHeight w:val="340"/>
        </w:trPr>
        <w:tc>
          <w:tcPr>
            <w:tcW w:w="1840" w:type="dxa"/>
            <w:shd w:val="clear" w:color="auto" w:fill="auto"/>
            <w:noWrap/>
            <w:vAlign w:val="center"/>
            <w:hideMark/>
          </w:tcPr>
          <w:p w:rsidR="00DC5DD6" w:rsidRPr="00E6515F" w:rsidRDefault="00DC5DD6" w:rsidP="00DC5DD6">
            <w:pPr>
              <w:spacing w:line="240" w:lineRule="auto"/>
              <w:ind w:left="60"/>
              <w:rPr>
                <w:b/>
                <w:i/>
                <w:sz w:val="20"/>
                <w:szCs w:val="20"/>
                <w:lang w:val="nl-BE"/>
              </w:rPr>
            </w:pPr>
            <w:r w:rsidRPr="00E6515F">
              <w:rPr>
                <w:b/>
                <w:i/>
                <w:sz w:val="20"/>
                <w:szCs w:val="20"/>
                <w:lang w:val="nl-BE"/>
              </w:rPr>
              <w:t>Totaal</w:t>
            </w:r>
          </w:p>
        </w:tc>
        <w:tc>
          <w:tcPr>
            <w:tcW w:w="1861" w:type="dxa"/>
            <w:shd w:val="clear" w:color="auto" w:fill="auto"/>
            <w:noWrap/>
            <w:vAlign w:val="center"/>
            <w:hideMark/>
          </w:tcPr>
          <w:p w:rsidR="00DC5DD6" w:rsidRPr="00E6515F" w:rsidRDefault="00DC5DD6" w:rsidP="00DC5DD6">
            <w:pPr>
              <w:spacing w:line="240" w:lineRule="auto"/>
              <w:ind w:left="60"/>
              <w:jc w:val="center"/>
              <w:rPr>
                <w:b/>
                <w:i/>
                <w:sz w:val="20"/>
                <w:szCs w:val="20"/>
                <w:lang w:val="nl-BE"/>
              </w:rPr>
            </w:pPr>
            <w:r w:rsidRPr="00E6515F">
              <w:rPr>
                <w:b/>
                <w:i/>
                <w:sz w:val="20"/>
                <w:szCs w:val="20"/>
                <w:lang w:val="nl-BE"/>
              </w:rPr>
              <w:t>24.179</w:t>
            </w:r>
          </w:p>
        </w:tc>
        <w:tc>
          <w:tcPr>
            <w:tcW w:w="1861" w:type="dxa"/>
            <w:vAlign w:val="center"/>
          </w:tcPr>
          <w:p w:rsidR="00DC5DD6" w:rsidRPr="00E6515F" w:rsidRDefault="00DC5DD6" w:rsidP="00DC5DD6">
            <w:pPr>
              <w:spacing w:line="240" w:lineRule="auto"/>
              <w:ind w:left="60"/>
              <w:jc w:val="center"/>
              <w:rPr>
                <w:b/>
                <w:i/>
                <w:sz w:val="20"/>
                <w:szCs w:val="20"/>
                <w:lang w:val="nl-BE"/>
              </w:rPr>
            </w:pPr>
            <w:r w:rsidRPr="00E6515F">
              <w:rPr>
                <w:b/>
                <w:i/>
                <w:sz w:val="20"/>
                <w:szCs w:val="20"/>
                <w:lang w:val="nl-BE"/>
              </w:rPr>
              <w:t>100%</w:t>
            </w:r>
          </w:p>
        </w:tc>
      </w:tr>
    </w:tbl>
    <w:p w:rsidR="00CD1B8C" w:rsidRPr="00E6515F" w:rsidRDefault="00CD1B8C">
      <w:pPr>
        <w:ind w:left="720"/>
        <w:rPr>
          <w:lang w:val="nl-BE"/>
        </w:rPr>
      </w:pPr>
    </w:p>
    <w:p w:rsidR="00CD1B8C" w:rsidRPr="00E6515F" w:rsidRDefault="002859D7">
      <w:pPr>
        <w:jc w:val="both"/>
        <w:rPr>
          <w:lang w:val="nl-BE"/>
        </w:rPr>
      </w:pPr>
      <w:r w:rsidRPr="00E6515F">
        <w:rPr>
          <w:lang w:val="nl-BE"/>
        </w:rPr>
        <w:t xml:space="preserve">In de tabel hierboven vindt u het overzicht van het aantal terbeschikkingstellingen op </w:t>
      </w:r>
      <w:r w:rsidR="00BA3BC8">
        <w:rPr>
          <w:lang w:val="nl-BE"/>
        </w:rPr>
        <w:t>01.01.</w:t>
      </w:r>
      <w:r w:rsidRPr="00E6515F">
        <w:rPr>
          <w:lang w:val="nl-BE"/>
        </w:rPr>
        <w:t>2018. D</w:t>
      </w:r>
      <w:r w:rsidR="00BA3BC8">
        <w:rPr>
          <w:lang w:val="nl-BE"/>
        </w:rPr>
        <w:t>a</w:t>
      </w:r>
      <w:r w:rsidRPr="00E6515F">
        <w:rPr>
          <w:lang w:val="nl-BE"/>
        </w:rPr>
        <w:t xml:space="preserve">t zijn de terbeschikkingstellingen waarbij ook rekening werd gehouden met de verwerking van de tweede fase van de transitieronde </w:t>
      </w:r>
      <w:r w:rsidR="00655F0C" w:rsidRPr="00E6515F">
        <w:rPr>
          <w:lang w:val="nl-BE"/>
        </w:rPr>
        <w:t xml:space="preserve">zorg in nature (cliënten van de VAPH-diensten </w:t>
      </w:r>
      <w:r w:rsidR="00655F0C" w:rsidRPr="00E6515F">
        <w:rPr>
          <w:lang w:val="nl-BE"/>
        </w:rPr>
        <w:lastRenderedPageBreak/>
        <w:t xml:space="preserve">en </w:t>
      </w:r>
      <w:r w:rsidR="00EB3CD6">
        <w:rPr>
          <w:lang w:val="nl-BE"/>
        </w:rPr>
        <w:noBreakHyphen/>
      </w:r>
      <w:r w:rsidRPr="00E6515F">
        <w:rPr>
          <w:lang w:val="nl-BE"/>
        </w:rPr>
        <w:t>voorzieningen</w:t>
      </w:r>
      <w:r w:rsidR="00EB3CD6">
        <w:rPr>
          <w:lang w:val="nl-BE"/>
        </w:rPr>
        <w:t>)</w:t>
      </w:r>
      <w:r w:rsidRPr="00E6515F">
        <w:rPr>
          <w:lang w:val="nl-BE"/>
        </w:rPr>
        <w:t xml:space="preserve">. In deze tabel zijn unieke personen </w:t>
      </w:r>
      <w:r w:rsidR="00B16A04" w:rsidRPr="00E6515F">
        <w:rPr>
          <w:lang w:val="nl-BE"/>
        </w:rPr>
        <w:t>opgenomen</w:t>
      </w:r>
      <w:r w:rsidRPr="00E6515F">
        <w:rPr>
          <w:lang w:val="nl-BE"/>
        </w:rPr>
        <w:t xml:space="preserve"> omdat we hier werken </w:t>
      </w:r>
      <w:r w:rsidR="00BA3BC8">
        <w:rPr>
          <w:lang w:val="nl-BE"/>
        </w:rPr>
        <w:t xml:space="preserve">met </w:t>
      </w:r>
      <w:r w:rsidRPr="00E6515F">
        <w:rPr>
          <w:lang w:val="nl-BE"/>
        </w:rPr>
        <w:t xml:space="preserve">gegevens voor een momentopname. </w:t>
      </w:r>
    </w:p>
    <w:p w:rsidR="00292682" w:rsidRPr="00E6515F" w:rsidRDefault="00292682" w:rsidP="00AA77C0">
      <w:pPr>
        <w:jc w:val="both"/>
        <w:rPr>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12</w:t>
      </w:r>
      <w:r w:rsidRPr="00E6515F">
        <w:rPr>
          <w:lang w:val="nl-BE"/>
        </w:rPr>
        <w:fldChar w:fldCharType="end"/>
      </w:r>
      <w:r w:rsidRPr="00E6515F">
        <w:rPr>
          <w:lang w:val="nl-BE"/>
        </w:rPr>
        <w:t xml:space="preserve">: Overzicht van de verdeling per </w:t>
      </w:r>
      <w:r w:rsidR="00FF60A4">
        <w:rPr>
          <w:lang w:val="nl-BE"/>
        </w:rPr>
        <w:t>b</w:t>
      </w:r>
      <w:r w:rsidR="00FF60A4" w:rsidRPr="00E6515F">
        <w:rPr>
          <w:lang w:val="nl-BE"/>
        </w:rPr>
        <w:t xml:space="preserve">udgetcategorie </w:t>
      </w:r>
      <w:r w:rsidRPr="00E6515F">
        <w:rPr>
          <w:lang w:val="nl-BE"/>
        </w:rPr>
        <w:t xml:space="preserve">op </w:t>
      </w:r>
      <w:r w:rsidR="008D7D83">
        <w:rPr>
          <w:lang w:val="nl-BE"/>
        </w:rPr>
        <w:t>01.01.</w:t>
      </w:r>
      <w:r w:rsidRPr="00E6515F">
        <w:rPr>
          <w:lang w:val="nl-BE"/>
        </w:rPr>
        <w:t>2018</w:t>
      </w:r>
    </w:p>
    <w:tbl>
      <w:tblPr>
        <w:tblStyle w:val="af2"/>
        <w:tblW w:w="523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830"/>
        <w:gridCol w:w="1665"/>
        <w:gridCol w:w="1740"/>
      </w:tblGrid>
      <w:tr w:rsidR="00CD1B8C" w:rsidRPr="00490F75" w:rsidTr="001E6879">
        <w:trPr>
          <w:trHeight w:val="20"/>
        </w:trPr>
        <w:tc>
          <w:tcPr>
            <w:tcW w:w="1830" w:type="dxa"/>
            <w:tcBorders>
              <w:top w:val="single" w:sz="8" w:space="0" w:color="414141"/>
              <w:left w:val="single" w:sz="8" w:space="0" w:color="414141"/>
              <w:bottom w:val="single" w:sz="4" w:space="0" w:color="auto"/>
              <w:right w:val="single" w:sz="8" w:space="0" w:color="414141"/>
            </w:tcBorders>
            <w:shd w:val="clear" w:color="auto" w:fill="C2C2C2"/>
            <w:tcMar>
              <w:top w:w="56" w:type="dxa"/>
              <w:left w:w="56" w:type="dxa"/>
              <w:bottom w:w="56" w:type="dxa"/>
              <w:right w:w="56" w:type="dxa"/>
            </w:tcMar>
          </w:tcPr>
          <w:p w:rsidR="00CD1B8C" w:rsidRPr="00E6515F" w:rsidRDefault="002859D7"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Budgetcategorie</w:t>
            </w:r>
          </w:p>
        </w:tc>
        <w:tc>
          <w:tcPr>
            <w:tcW w:w="1665" w:type="dxa"/>
            <w:tcBorders>
              <w:top w:val="single" w:sz="8" w:space="0" w:color="414141"/>
              <w:left w:val="nil"/>
              <w:bottom w:val="single" w:sz="4" w:space="0" w:color="auto"/>
              <w:right w:val="single" w:sz="8" w:space="0" w:color="414141"/>
            </w:tcBorders>
            <w:shd w:val="clear" w:color="auto" w:fill="C2C2C2"/>
            <w:tcMar>
              <w:top w:w="56" w:type="dxa"/>
              <w:left w:w="56" w:type="dxa"/>
              <w:bottom w:w="56" w:type="dxa"/>
              <w:right w:w="56" w:type="dxa"/>
            </w:tcMar>
          </w:tcPr>
          <w:p w:rsidR="00CD1B8C" w:rsidRPr="00E6515F" w:rsidRDefault="002859D7" w:rsidP="001E6879">
            <w:pPr>
              <w:spacing w:line="240" w:lineRule="auto"/>
              <w:ind w:left="60"/>
              <w:jc w:val="center"/>
              <w:rPr>
                <w:rFonts w:asciiTheme="majorHAnsi" w:hAnsiTheme="majorHAnsi"/>
                <w:b/>
                <w:sz w:val="20"/>
                <w:szCs w:val="20"/>
                <w:lang w:val="nl-BE"/>
              </w:rPr>
            </w:pPr>
            <w:r w:rsidRPr="00E6515F">
              <w:rPr>
                <w:rFonts w:asciiTheme="majorHAnsi" w:hAnsiTheme="majorHAnsi"/>
                <w:b/>
                <w:sz w:val="20"/>
                <w:szCs w:val="20"/>
                <w:lang w:val="nl-BE"/>
              </w:rPr>
              <w:t>Aantal personen</w:t>
            </w:r>
          </w:p>
        </w:tc>
        <w:tc>
          <w:tcPr>
            <w:tcW w:w="1740" w:type="dxa"/>
            <w:tcBorders>
              <w:top w:val="single" w:sz="8" w:space="0" w:color="414141"/>
              <w:left w:val="nil"/>
              <w:bottom w:val="single" w:sz="4" w:space="0" w:color="auto"/>
              <w:right w:val="single" w:sz="8" w:space="0" w:color="414141"/>
            </w:tcBorders>
            <w:shd w:val="clear" w:color="auto" w:fill="C2C2C2"/>
            <w:tcMar>
              <w:top w:w="56" w:type="dxa"/>
              <w:left w:w="56" w:type="dxa"/>
              <w:bottom w:w="56" w:type="dxa"/>
              <w:right w:w="56" w:type="dxa"/>
            </w:tcMar>
          </w:tcPr>
          <w:p w:rsidR="00CD1B8C" w:rsidRPr="00E6515F" w:rsidRDefault="002859D7" w:rsidP="001E6879">
            <w:pPr>
              <w:spacing w:line="240" w:lineRule="auto"/>
              <w:ind w:left="60"/>
              <w:jc w:val="center"/>
              <w:rPr>
                <w:rFonts w:asciiTheme="majorHAnsi" w:hAnsiTheme="majorHAnsi"/>
                <w:b/>
                <w:sz w:val="20"/>
                <w:szCs w:val="20"/>
                <w:lang w:val="nl-BE"/>
              </w:rPr>
            </w:pPr>
            <w:r w:rsidRPr="00E6515F">
              <w:rPr>
                <w:rFonts w:asciiTheme="majorHAnsi" w:hAnsiTheme="majorHAnsi"/>
                <w:b/>
                <w:sz w:val="20"/>
                <w:szCs w:val="20"/>
                <w:lang w:val="nl-BE"/>
              </w:rPr>
              <w:t xml:space="preserve">Percentage </w:t>
            </w:r>
            <w:r w:rsidR="00A14A44" w:rsidRPr="00E6515F">
              <w:rPr>
                <w:rFonts w:asciiTheme="majorHAnsi" w:hAnsiTheme="majorHAnsi"/>
                <w:b/>
                <w:sz w:val="20"/>
                <w:szCs w:val="20"/>
                <w:lang w:val="nl-BE"/>
              </w:rPr>
              <w:t>t.o.v.</w:t>
            </w:r>
            <w:r w:rsidRPr="00E6515F">
              <w:rPr>
                <w:rFonts w:asciiTheme="majorHAnsi" w:hAnsiTheme="majorHAnsi"/>
                <w:b/>
                <w:sz w:val="20"/>
                <w:szCs w:val="20"/>
                <w:lang w:val="nl-BE"/>
              </w:rPr>
              <w:t xml:space="preserve"> totaal aantal personen</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3.778</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15,6%</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II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2.476</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10,2%</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III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2.448</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10,1%</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IV</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2.068</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8,6%</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V</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2.188</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9,0%</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VI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2.857</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11,8%</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VII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1.212</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5,0%</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VIII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1.562</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6,5%</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IX</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2.226</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9,2%</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X</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2.526</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10,4%</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XI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676</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2,8%</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sz w:val="20"/>
                <w:szCs w:val="20"/>
                <w:lang w:val="nl-BE"/>
              </w:rPr>
            </w:pPr>
            <w:r w:rsidRPr="00E6515F">
              <w:rPr>
                <w:rFonts w:asciiTheme="majorHAnsi" w:hAnsiTheme="majorHAnsi"/>
                <w:b/>
                <w:sz w:val="20"/>
                <w:szCs w:val="20"/>
                <w:lang w:val="nl-BE"/>
              </w:rPr>
              <w:t>BC XII</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162</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sz w:val="20"/>
                <w:szCs w:val="20"/>
                <w:lang w:val="nl-BE"/>
              </w:rPr>
            </w:pPr>
            <w:r w:rsidRPr="00E6515F">
              <w:rPr>
                <w:rFonts w:asciiTheme="majorHAnsi" w:hAnsiTheme="majorHAnsi" w:cs="Arial"/>
                <w:sz w:val="20"/>
                <w:szCs w:val="20"/>
                <w:lang w:val="nl-BE"/>
              </w:rPr>
              <w:t>0,7%</w:t>
            </w:r>
          </w:p>
        </w:tc>
      </w:tr>
      <w:tr w:rsidR="002966A5" w:rsidRPr="00E6515F" w:rsidTr="001E6879">
        <w:trPr>
          <w:trHeight w:val="20"/>
        </w:trPr>
        <w:tc>
          <w:tcPr>
            <w:tcW w:w="183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ind w:left="60"/>
              <w:jc w:val="both"/>
              <w:rPr>
                <w:rFonts w:asciiTheme="majorHAnsi" w:hAnsiTheme="majorHAnsi"/>
                <w:b/>
                <w:i/>
                <w:sz w:val="20"/>
                <w:szCs w:val="20"/>
                <w:lang w:val="nl-BE"/>
              </w:rPr>
            </w:pPr>
            <w:r w:rsidRPr="00E6515F">
              <w:rPr>
                <w:rFonts w:asciiTheme="majorHAnsi" w:hAnsiTheme="majorHAnsi"/>
                <w:b/>
                <w:i/>
                <w:sz w:val="20"/>
                <w:szCs w:val="20"/>
                <w:lang w:val="nl-BE"/>
              </w:rPr>
              <w:t>Totaal</w:t>
            </w:r>
          </w:p>
        </w:tc>
        <w:tc>
          <w:tcPr>
            <w:tcW w:w="1665"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b/>
                <w:bCs/>
                <w:i/>
                <w:sz w:val="20"/>
                <w:szCs w:val="20"/>
                <w:lang w:val="nl-BE"/>
              </w:rPr>
            </w:pPr>
            <w:r w:rsidRPr="00E6515F">
              <w:rPr>
                <w:rFonts w:asciiTheme="majorHAnsi" w:hAnsiTheme="majorHAnsi" w:cs="Arial"/>
                <w:b/>
                <w:bCs/>
                <w:i/>
                <w:sz w:val="20"/>
                <w:szCs w:val="20"/>
                <w:lang w:val="nl-BE"/>
              </w:rPr>
              <w:t>24.179</w:t>
            </w:r>
          </w:p>
        </w:tc>
        <w:tc>
          <w:tcPr>
            <w:tcW w:w="1740"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tcPr>
          <w:p w:rsidR="002966A5" w:rsidRPr="00E6515F" w:rsidRDefault="002966A5" w:rsidP="001E6879">
            <w:pPr>
              <w:spacing w:line="240" w:lineRule="auto"/>
              <w:jc w:val="center"/>
              <w:rPr>
                <w:rFonts w:asciiTheme="majorHAnsi" w:hAnsiTheme="majorHAnsi" w:cs="Arial"/>
                <w:b/>
                <w:bCs/>
                <w:i/>
                <w:sz w:val="20"/>
                <w:szCs w:val="20"/>
                <w:lang w:val="nl-BE"/>
              </w:rPr>
            </w:pPr>
            <w:r w:rsidRPr="00E6515F">
              <w:rPr>
                <w:rFonts w:asciiTheme="majorHAnsi" w:hAnsiTheme="majorHAnsi" w:cs="Arial"/>
                <w:b/>
                <w:bCs/>
                <w:i/>
                <w:sz w:val="20"/>
                <w:szCs w:val="20"/>
                <w:lang w:val="nl-BE"/>
              </w:rPr>
              <w:t>100,0%</w:t>
            </w:r>
          </w:p>
        </w:tc>
      </w:tr>
    </w:tbl>
    <w:p w:rsidR="00CD1B8C" w:rsidRPr="00E6515F" w:rsidRDefault="00CD1B8C">
      <w:pPr>
        <w:jc w:val="both"/>
        <w:rPr>
          <w:lang w:val="nl-BE"/>
        </w:rPr>
      </w:pPr>
    </w:p>
    <w:p w:rsidR="00EC561E" w:rsidRPr="00E6515F" w:rsidRDefault="002859D7" w:rsidP="009D5BE4">
      <w:pPr>
        <w:jc w:val="both"/>
        <w:rPr>
          <w:lang w:val="nl-BE"/>
        </w:rPr>
      </w:pPr>
      <w:r w:rsidRPr="00E6515F">
        <w:rPr>
          <w:lang w:val="nl-BE"/>
        </w:rPr>
        <w:t xml:space="preserve">In </w:t>
      </w:r>
      <w:r w:rsidR="008D7D83">
        <w:rPr>
          <w:lang w:val="nl-BE"/>
        </w:rPr>
        <w:t xml:space="preserve">de </w:t>
      </w:r>
      <w:r w:rsidRPr="00E6515F">
        <w:rPr>
          <w:lang w:val="nl-BE"/>
        </w:rPr>
        <w:t xml:space="preserve">bovenstaande tabel ziet u een verdeling van het aantal terbeschikkingstellingen per budgetcategorie. Omdat de </w:t>
      </w:r>
      <w:r w:rsidR="008D7D83">
        <w:rPr>
          <w:lang w:val="nl-BE"/>
        </w:rPr>
        <w:t xml:space="preserve">terbeschikkingstellingen in het kader van de </w:t>
      </w:r>
      <w:r w:rsidRPr="00E6515F">
        <w:rPr>
          <w:lang w:val="nl-BE"/>
        </w:rPr>
        <w:t>transitie</w:t>
      </w:r>
      <w:r w:rsidR="008D7D83">
        <w:rPr>
          <w:lang w:val="nl-BE"/>
        </w:rPr>
        <w:t xml:space="preserve"> van zorg in natura</w:t>
      </w:r>
      <w:r w:rsidRPr="00E6515F">
        <w:rPr>
          <w:lang w:val="nl-BE"/>
        </w:rPr>
        <w:t xml:space="preserve"> niet ui</w:t>
      </w:r>
      <w:r w:rsidR="004D0F2C" w:rsidRPr="00E6515F">
        <w:rPr>
          <w:lang w:val="nl-BE"/>
        </w:rPr>
        <w:t>tgedrukt werd</w:t>
      </w:r>
      <w:r w:rsidR="008D7D83">
        <w:rPr>
          <w:lang w:val="nl-BE"/>
        </w:rPr>
        <w:t>en</w:t>
      </w:r>
      <w:r w:rsidR="004D0F2C" w:rsidRPr="00E6515F">
        <w:rPr>
          <w:lang w:val="nl-BE"/>
        </w:rPr>
        <w:t xml:space="preserve"> in een budgetcate</w:t>
      </w:r>
      <w:r w:rsidRPr="00E6515F">
        <w:rPr>
          <w:lang w:val="nl-BE"/>
        </w:rPr>
        <w:t>g</w:t>
      </w:r>
      <w:r w:rsidR="004D0F2C" w:rsidRPr="00E6515F">
        <w:rPr>
          <w:lang w:val="nl-BE"/>
        </w:rPr>
        <w:t>o</w:t>
      </w:r>
      <w:r w:rsidRPr="00E6515F">
        <w:rPr>
          <w:lang w:val="nl-BE"/>
        </w:rPr>
        <w:t>rie</w:t>
      </w:r>
      <w:r w:rsidR="008D7D83">
        <w:rPr>
          <w:lang w:val="nl-BE"/>
        </w:rPr>
        <w:t>,</w:t>
      </w:r>
      <w:r w:rsidRPr="00E6515F">
        <w:rPr>
          <w:lang w:val="nl-BE"/>
        </w:rPr>
        <w:t xml:space="preserve"> hebben we </w:t>
      </w:r>
      <w:r w:rsidR="008D7D83">
        <w:rPr>
          <w:lang w:val="nl-BE"/>
        </w:rPr>
        <w:t>die</w:t>
      </w:r>
      <w:r w:rsidR="008D7D83" w:rsidRPr="00E6515F">
        <w:rPr>
          <w:lang w:val="nl-BE"/>
        </w:rPr>
        <w:t xml:space="preserve"> </w:t>
      </w:r>
      <w:r w:rsidRPr="00E6515F">
        <w:rPr>
          <w:lang w:val="nl-BE"/>
        </w:rPr>
        <w:t>berekend</w:t>
      </w:r>
      <w:r w:rsidR="00B16A04" w:rsidRPr="00E6515F">
        <w:rPr>
          <w:lang w:val="nl-BE"/>
        </w:rPr>
        <w:t xml:space="preserve"> op basis van hun bedrag. </w:t>
      </w:r>
      <w:r w:rsidR="008D7D83" w:rsidRPr="00E6515F">
        <w:rPr>
          <w:lang w:val="nl-BE"/>
        </w:rPr>
        <w:t>D</w:t>
      </w:r>
      <w:r w:rsidR="008D7D83">
        <w:rPr>
          <w:lang w:val="nl-BE"/>
        </w:rPr>
        <w:t>a</w:t>
      </w:r>
      <w:r w:rsidR="008D7D83" w:rsidRPr="00E6515F">
        <w:rPr>
          <w:lang w:val="nl-BE"/>
        </w:rPr>
        <w:t xml:space="preserve">t </w:t>
      </w:r>
      <w:r w:rsidR="00B16A04" w:rsidRPr="00E6515F">
        <w:rPr>
          <w:lang w:val="nl-BE"/>
        </w:rPr>
        <w:t>lag</w:t>
      </w:r>
      <w:r w:rsidRPr="00E6515F">
        <w:rPr>
          <w:lang w:val="nl-BE"/>
        </w:rPr>
        <w:t xml:space="preserve"> telkens tussen het minimum en maximum van een budgetcategorie</w:t>
      </w:r>
      <w:r w:rsidR="00B16A04" w:rsidRPr="00E6515F">
        <w:rPr>
          <w:lang w:val="nl-BE"/>
        </w:rPr>
        <w:t>. We rekenen met de dichtstbijzijnde budgetcategorie</w:t>
      </w:r>
      <w:r w:rsidRPr="00E6515F">
        <w:rPr>
          <w:lang w:val="nl-BE"/>
        </w:rPr>
        <w:t xml:space="preserve">. </w:t>
      </w:r>
      <w:r w:rsidR="00B16A04" w:rsidRPr="00E6515F">
        <w:rPr>
          <w:lang w:val="nl-BE"/>
        </w:rPr>
        <w:t xml:space="preserve">Ook in bovenstaande tabel komt elke persoon maar </w:t>
      </w:r>
      <w:r w:rsidR="008D7D83">
        <w:rPr>
          <w:lang w:val="nl-BE"/>
        </w:rPr>
        <w:t>een</w:t>
      </w:r>
      <w:r w:rsidR="008D7D83" w:rsidRPr="00E6515F">
        <w:rPr>
          <w:lang w:val="nl-BE"/>
        </w:rPr>
        <w:t xml:space="preserve"> </w:t>
      </w:r>
      <w:r w:rsidR="00B16A04" w:rsidRPr="00E6515F">
        <w:rPr>
          <w:lang w:val="nl-BE"/>
        </w:rPr>
        <w:t xml:space="preserve">keer voor, </w:t>
      </w:r>
      <w:r w:rsidR="008D7D83">
        <w:rPr>
          <w:lang w:val="nl-BE"/>
        </w:rPr>
        <w:t>aan</w:t>
      </w:r>
      <w:r w:rsidR="00B16A04" w:rsidRPr="00E6515F">
        <w:rPr>
          <w:lang w:val="nl-BE"/>
        </w:rPr>
        <w:t>gezien</w:t>
      </w:r>
      <w:r w:rsidR="0090276F" w:rsidRPr="00E6515F">
        <w:rPr>
          <w:lang w:val="nl-BE"/>
        </w:rPr>
        <w:t xml:space="preserve"> het gaat om een momentopname. </w:t>
      </w:r>
    </w:p>
    <w:p w:rsidR="00EC561E" w:rsidRPr="00E6515F" w:rsidRDefault="00EC561E" w:rsidP="009D5BE4">
      <w:pPr>
        <w:jc w:val="both"/>
        <w:rPr>
          <w:lang w:val="nl-BE"/>
        </w:rPr>
      </w:pPr>
    </w:p>
    <w:p w:rsidR="002772D5" w:rsidRPr="00E6515F" w:rsidRDefault="00655F0C" w:rsidP="002772D5">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13</w:t>
      </w:r>
      <w:r w:rsidRPr="00E6515F">
        <w:rPr>
          <w:lang w:val="nl-BE"/>
        </w:rPr>
        <w:fldChar w:fldCharType="end"/>
      </w:r>
      <w:r w:rsidR="002772D5" w:rsidRPr="00E6515F">
        <w:rPr>
          <w:lang w:val="nl-BE"/>
        </w:rPr>
        <w:t xml:space="preserve">: Overzicht van wijze van besteding </w:t>
      </w:r>
      <w:r w:rsidR="008D7D83">
        <w:rPr>
          <w:lang w:val="nl-BE"/>
        </w:rPr>
        <w:t>01.01</w:t>
      </w:r>
      <w:r w:rsidR="00EB3CD6">
        <w:rPr>
          <w:lang w:val="nl-BE"/>
        </w:rPr>
        <w:t>.</w:t>
      </w:r>
      <w:r w:rsidR="001E6879" w:rsidRPr="00E6515F">
        <w:rPr>
          <w:lang w:val="nl-BE"/>
        </w:rPr>
        <w:t>2018</w:t>
      </w:r>
    </w:p>
    <w:tbl>
      <w:tblPr>
        <w:tblStyle w:val="Tabelraster"/>
        <w:tblW w:w="7196" w:type="dxa"/>
        <w:tblLayout w:type="fixed"/>
        <w:tblLook w:val="0600" w:firstRow="0" w:lastRow="0" w:firstColumn="0" w:lastColumn="0" w:noHBand="1" w:noVBand="1"/>
      </w:tblPr>
      <w:tblGrid>
        <w:gridCol w:w="1787"/>
        <w:gridCol w:w="1352"/>
        <w:gridCol w:w="1352"/>
        <w:gridCol w:w="1352"/>
        <w:gridCol w:w="1353"/>
      </w:tblGrid>
      <w:tr w:rsidR="002772D5" w:rsidRPr="00E6515F" w:rsidTr="001E6879">
        <w:trPr>
          <w:trHeight w:val="340"/>
        </w:trPr>
        <w:tc>
          <w:tcPr>
            <w:tcW w:w="1787" w:type="dxa"/>
            <w:shd w:val="clear" w:color="auto" w:fill="BFBFBF" w:themeFill="background1" w:themeFillShade="BF"/>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Leeftijdscategorie</w:t>
            </w:r>
          </w:p>
        </w:tc>
        <w:tc>
          <w:tcPr>
            <w:tcW w:w="1352" w:type="dxa"/>
            <w:shd w:val="clear" w:color="auto" w:fill="BFBFBF" w:themeFill="background1" w:themeFillShade="BF"/>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b/>
                <w:sz w:val="20"/>
                <w:szCs w:val="20"/>
                <w:lang w:val="nl-BE"/>
              </w:rPr>
              <w:t>Cash en voucher</w:t>
            </w:r>
          </w:p>
        </w:tc>
        <w:tc>
          <w:tcPr>
            <w:tcW w:w="1352" w:type="dxa"/>
            <w:shd w:val="clear" w:color="auto" w:fill="BFBFBF" w:themeFill="background1" w:themeFillShade="BF"/>
            <w:vAlign w:val="center"/>
          </w:tcPr>
          <w:p w:rsidR="002772D5" w:rsidRPr="00E6515F" w:rsidRDefault="008D7D83" w:rsidP="001E6879">
            <w:pPr>
              <w:widowControl w:val="0"/>
              <w:pBdr>
                <w:top w:val="nil"/>
                <w:left w:val="nil"/>
                <w:bottom w:val="nil"/>
                <w:right w:val="nil"/>
                <w:between w:val="nil"/>
              </w:pBdr>
              <w:jc w:val="center"/>
              <w:rPr>
                <w:sz w:val="20"/>
                <w:szCs w:val="20"/>
                <w:lang w:val="nl-BE"/>
              </w:rPr>
            </w:pPr>
            <w:r>
              <w:rPr>
                <w:b/>
                <w:sz w:val="20"/>
                <w:szCs w:val="20"/>
                <w:lang w:val="nl-BE"/>
              </w:rPr>
              <w:t>E</w:t>
            </w:r>
            <w:r w:rsidRPr="00E6515F">
              <w:rPr>
                <w:b/>
                <w:sz w:val="20"/>
                <w:szCs w:val="20"/>
                <w:lang w:val="nl-BE"/>
              </w:rPr>
              <w:t xml:space="preserve">nkel </w:t>
            </w:r>
            <w:r w:rsidR="002772D5" w:rsidRPr="00E6515F">
              <w:rPr>
                <w:b/>
                <w:sz w:val="20"/>
                <w:szCs w:val="20"/>
                <w:lang w:val="nl-BE"/>
              </w:rPr>
              <w:t>cash</w:t>
            </w:r>
          </w:p>
        </w:tc>
        <w:tc>
          <w:tcPr>
            <w:tcW w:w="1352" w:type="dxa"/>
            <w:shd w:val="clear" w:color="auto" w:fill="BFBFBF" w:themeFill="background1" w:themeFillShade="BF"/>
            <w:vAlign w:val="center"/>
          </w:tcPr>
          <w:p w:rsidR="002772D5" w:rsidRPr="00E6515F" w:rsidRDefault="008D7D83" w:rsidP="001E6879">
            <w:pPr>
              <w:widowControl w:val="0"/>
              <w:pBdr>
                <w:top w:val="nil"/>
                <w:left w:val="nil"/>
                <w:bottom w:val="nil"/>
                <w:right w:val="nil"/>
                <w:between w:val="nil"/>
              </w:pBdr>
              <w:jc w:val="center"/>
              <w:rPr>
                <w:sz w:val="20"/>
                <w:szCs w:val="20"/>
                <w:lang w:val="nl-BE"/>
              </w:rPr>
            </w:pPr>
            <w:r>
              <w:rPr>
                <w:b/>
                <w:sz w:val="20"/>
                <w:szCs w:val="20"/>
                <w:lang w:val="nl-BE"/>
              </w:rPr>
              <w:t>E</w:t>
            </w:r>
            <w:r w:rsidRPr="00E6515F">
              <w:rPr>
                <w:b/>
                <w:sz w:val="20"/>
                <w:szCs w:val="20"/>
                <w:lang w:val="nl-BE"/>
              </w:rPr>
              <w:t xml:space="preserve">nkel </w:t>
            </w:r>
            <w:r w:rsidR="002772D5" w:rsidRPr="00E6515F">
              <w:rPr>
                <w:b/>
                <w:sz w:val="20"/>
                <w:szCs w:val="20"/>
                <w:lang w:val="nl-BE"/>
              </w:rPr>
              <w:t>voucher</w:t>
            </w:r>
          </w:p>
        </w:tc>
        <w:tc>
          <w:tcPr>
            <w:tcW w:w="1353" w:type="dxa"/>
            <w:shd w:val="clear" w:color="auto" w:fill="BFBFBF" w:themeFill="background1" w:themeFillShade="BF"/>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b/>
                <w:i/>
                <w:sz w:val="20"/>
                <w:szCs w:val="20"/>
                <w:lang w:val="nl-BE"/>
              </w:rPr>
              <w:t>Totaal</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54</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142</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117</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313</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154</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224</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1.556</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1.934</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251</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240</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4.234</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4.725</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187</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275</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4.344</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4.806</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144</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430</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5.238</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5.812</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122</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509</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3.878</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4.509</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sz w:val="20"/>
                <w:szCs w:val="20"/>
                <w:lang w:val="nl-BE"/>
              </w:rPr>
            </w:pPr>
            <w:r w:rsidRPr="00E6515F">
              <w:rPr>
                <w:b/>
                <w:sz w:val="20"/>
                <w:szCs w:val="20"/>
                <w:lang w:val="nl-BE"/>
              </w:rPr>
              <w:t>+65 j</w:t>
            </w:r>
            <w:r w:rsidR="008D7D83">
              <w:rPr>
                <w:b/>
                <w:sz w:val="20"/>
                <w:szCs w:val="20"/>
                <w:lang w:val="nl-BE"/>
              </w:rPr>
              <w:t>.</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36</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240</w:t>
            </w:r>
          </w:p>
        </w:tc>
        <w:tc>
          <w:tcPr>
            <w:tcW w:w="1352" w:type="dxa"/>
            <w:vAlign w:val="center"/>
          </w:tcPr>
          <w:p w:rsidR="002772D5" w:rsidRPr="00E6515F" w:rsidRDefault="002772D5" w:rsidP="001E6879">
            <w:pPr>
              <w:widowControl w:val="0"/>
              <w:pBdr>
                <w:top w:val="nil"/>
                <w:left w:val="nil"/>
                <w:bottom w:val="nil"/>
                <w:right w:val="nil"/>
                <w:between w:val="nil"/>
              </w:pBdr>
              <w:jc w:val="center"/>
              <w:rPr>
                <w:sz w:val="20"/>
                <w:szCs w:val="20"/>
                <w:lang w:val="nl-BE"/>
              </w:rPr>
            </w:pPr>
            <w:r w:rsidRPr="00E6515F">
              <w:rPr>
                <w:sz w:val="20"/>
                <w:szCs w:val="20"/>
                <w:lang w:val="nl-BE"/>
              </w:rPr>
              <w:t>1.665</w:t>
            </w:r>
          </w:p>
        </w:tc>
        <w:tc>
          <w:tcPr>
            <w:tcW w:w="1353" w:type="dxa"/>
            <w:vAlign w:val="center"/>
          </w:tcPr>
          <w:p w:rsidR="002772D5" w:rsidRPr="00E6515F" w:rsidRDefault="002772D5" w:rsidP="001E6879">
            <w:pPr>
              <w:widowControl w:val="0"/>
              <w:pBdr>
                <w:top w:val="nil"/>
                <w:left w:val="nil"/>
                <w:bottom w:val="nil"/>
                <w:right w:val="nil"/>
                <w:between w:val="nil"/>
              </w:pBdr>
              <w:jc w:val="center"/>
              <w:rPr>
                <w:i/>
                <w:sz w:val="20"/>
                <w:szCs w:val="20"/>
                <w:lang w:val="nl-BE"/>
              </w:rPr>
            </w:pPr>
            <w:r w:rsidRPr="00E6515F">
              <w:rPr>
                <w:i/>
                <w:sz w:val="20"/>
                <w:szCs w:val="20"/>
                <w:lang w:val="nl-BE"/>
              </w:rPr>
              <w:t>1.941</w:t>
            </w:r>
          </w:p>
        </w:tc>
      </w:tr>
      <w:tr w:rsidR="002772D5" w:rsidRPr="00E6515F" w:rsidTr="001E6879">
        <w:trPr>
          <w:trHeight w:val="340"/>
        </w:trPr>
        <w:tc>
          <w:tcPr>
            <w:tcW w:w="1787" w:type="dxa"/>
            <w:vAlign w:val="center"/>
          </w:tcPr>
          <w:p w:rsidR="002772D5" w:rsidRPr="00E6515F" w:rsidRDefault="002772D5" w:rsidP="001E6879">
            <w:pPr>
              <w:widowControl w:val="0"/>
              <w:pBdr>
                <w:top w:val="nil"/>
                <w:left w:val="nil"/>
                <w:bottom w:val="nil"/>
                <w:right w:val="nil"/>
                <w:between w:val="nil"/>
              </w:pBdr>
              <w:rPr>
                <w:b/>
                <w:i/>
                <w:sz w:val="20"/>
                <w:szCs w:val="20"/>
                <w:lang w:val="nl-BE"/>
              </w:rPr>
            </w:pPr>
            <w:r w:rsidRPr="00E6515F">
              <w:rPr>
                <w:b/>
                <w:i/>
                <w:sz w:val="20"/>
                <w:szCs w:val="20"/>
                <w:lang w:val="nl-BE"/>
              </w:rPr>
              <w:t>Totaal</w:t>
            </w:r>
          </w:p>
        </w:tc>
        <w:tc>
          <w:tcPr>
            <w:tcW w:w="1352" w:type="dxa"/>
            <w:vAlign w:val="center"/>
          </w:tcPr>
          <w:p w:rsidR="002772D5" w:rsidRPr="00E6515F" w:rsidRDefault="002772D5" w:rsidP="001E6879">
            <w:pPr>
              <w:widowControl w:val="0"/>
              <w:pBdr>
                <w:top w:val="nil"/>
                <w:left w:val="nil"/>
                <w:bottom w:val="nil"/>
                <w:right w:val="nil"/>
                <w:between w:val="nil"/>
              </w:pBdr>
              <w:jc w:val="center"/>
              <w:rPr>
                <w:b/>
                <w:i/>
                <w:sz w:val="20"/>
                <w:szCs w:val="20"/>
                <w:lang w:val="nl-BE"/>
              </w:rPr>
            </w:pPr>
            <w:r w:rsidRPr="00E6515F">
              <w:rPr>
                <w:b/>
                <w:i/>
                <w:sz w:val="20"/>
                <w:szCs w:val="20"/>
                <w:lang w:val="nl-BE"/>
              </w:rPr>
              <w:t>948</w:t>
            </w:r>
          </w:p>
        </w:tc>
        <w:tc>
          <w:tcPr>
            <w:tcW w:w="1352" w:type="dxa"/>
            <w:vAlign w:val="center"/>
          </w:tcPr>
          <w:p w:rsidR="002772D5" w:rsidRPr="00E6515F" w:rsidRDefault="002772D5" w:rsidP="001E6879">
            <w:pPr>
              <w:widowControl w:val="0"/>
              <w:pBdr>
                <w:top w:val="nil"/>
                <w:left w:val="nil"/>
                <w:bottom w:val="nil"/>
                <w:right w:val="nil"/>
                <w:between w:val="nil"/>
              </w:pBdr>
              <w:jc w:val="center"/>
              <w:rPr>
                <w:b/>
                <w:i/>
                <w:sz w:val="20"/>
                <w:szCs w:val="20"/>
                <w:lang w:val="nl-BE"/>
              </w:rPr>
            </w:pPr>
            <w:r w:rsidRPr="00E6515F">
              <w:rPr>
                <w:b/>
                <w:i/>
                <w:sz w:val="20"/>
                <w:szCs w:val="20"/>
                <w:lang w:val="nl-BE"/>
              </w:rPr>
              <w:t>2.060</w:t>
            </w:r>
          </w:p>
        </w:tc>
        <w:tc>
          <w:tcPr>
            <w:tcW w:w="1352" w:type="dxa"/>
            <w:vAlign w:val="center"/>
          </w:tcPr>
          <w:p w:rsidR="002772D5" w:rsidRPr="00E6515F" w:rsidRDefault="002772D5" w:rsidP="001E6879">
            <w:pPr>
              <w:widowControl w:val="0"/>
              <w:pBdr>
                <w:top w:val="nil"/>
                <w:left w:val="nil"/>
                <w:bottom w:val="nil"/>
                <w:right w:val="nil"/>
                <w:between w:val="nil"/>
              </w:pBdr>
              <w:jc w:val="center"/>
              <w:rPr>
                <w:b/>
                <w:i/>
                <w:sz w:val="20"/>
                <w:szCs w:val="20"/>
                <w:lang w:val="nl-BE"/>
              </w:rPr>
            </w:pPr>
            <w:r w:rsidRPr="00E6515F">
              <w:rPr>
                <w:b/>
                <w:i/>
                <w:sz w:val="20"/>
                <w:szCs w:val="20"/>
                <w:lang w:val="nl-BE"/>
              </w:rPr>
              <w:t>21.032</w:t>
            </w:r>
          </w:p>
        </w:tc>
        <w:tc>
          <w:tcPr>
            <w:tcW w:w="1353" w:type="dxa"/>
            <w:vAlign w:val="center"/>
          </w:tcPr>
          <w:p w:rsidR="002772D5" w:rsidRPr="00E6515F" w:rsidRDefault="002772D5" w:rsidP="001E6879">
            <w:pPr>
              <w:widowControl w:val="0"/>
              <w:pBdr>
                <w:top w:val="nil"/>
                <w:left w:val="nil"/>
                <w:bottom w:val="nil"/>
                <w:right w:val="nil"/>
                <w:between w:val="nil"/>
              </w:pBdr>
              <w:jc w:val="center"/>
              <w:rPr>
                <w:b/>
                <w:i/>
                <w:sz w:val="20"/>
                <w:szCs w:val="20"/>
                <w:lang w:val="nl-BE"/>
              </w:rPr>
            </w:pPr>
            <w:r w:rsidRPr="00E6515F">
              <w:rPr>
                <w:b/>
                <w:i/>
                <w:sz w:val="20"/>
                <w:szCs w:val="20"/>
                <w:lang w:val="nl-BE"/>
              </w:rPr>
              <w:t>24.040</w:t>
            </w:r>
          </w:p>
        </w:tc>
      </w:tr>
    </w:tbl>
    <w:p w:rsidR="002772D5" w:rsidRPr="00E6515F" w:rsidRDefault="002772D5" w:rsidP="002772D5">
      <w:pPr>
        <w:rPr>
          <w:lang w:val="nl-BE"/>
        </w:rPr>
      </w:pPr>
    </w:p>
    <w:p w:rsidR="002772D5" w:rsidRPr="00E6515F" w:rsidRDefault="002772D5" w:rsidP="002772D5">
      <w:pPr>
        <w:jc w:val="both"/>
        <w:rPr>
          <w:lang w:val="nl-BE"/>
        </w:rPr>
      </w:pPr>
      <w:r w:rsidRPr="00E6515F">
        <w:rPr>
          <w:lang w:val="nl-BE"/>
        </w:rPr>
        <w:lastRenderedPageBreak/>
        <w:t>Dit is een overzicht op jaarbasis, dus het totaal kan verschillen met de totalen in de voorgaande tabellen. Hierbij zien we dat de grootste groep nog steeds enkel</w:t>
      </w:r>
      <w:r w:rsidR="008D7D83">
        <w:rPr>
          <w:lang w:val="nl-BE"/>
        </w:rPr>
        <w:t xml:space="preserve"> een</w:t>
      </w:r>
      <w:r w:rsidRPr="00E6515F">
        <w:rPr>
          <w:lang w:val="nl-BE"/>
        </w:rPr>
        <w:t xml:space="preserve"> beroep doet op een besteding via voucher. Het gaat hierbij om 88% van de groep. 9% van de groep zet echter enkel in via cash, al kan dat ook bij een vergunde zorgaanbieder (VZA) zijn. Bij enkel cash zijn de budgethouders die </w:t>
      </w:r>
      <w:r w:rsidR="008D7D83">
        <w:rPr>
          <w:lang w:val="nl-BE"/>
        </w:rPr>
        <w:t>alleen</w:t>
      </w:r>
      <w:r w:rsidR="008D7D83" w:rsidRPr="00E6515F">
        <w:rPr>
          <w:lang w:val="nl-BE"/>
        </w:rPr>
        <w:t xml:space="preserve"> </w:t>
      </w:r>
      <w:r w:rsidRPr="00E6515F">
        <w:rPr>
          <w:lang w:val="nl-BE"/>
        </w:rPr>
        <w:t xml:space="preserve">een vrij besteedbaar deel hebben opgevraagd niet mee gerekend. </w:t>
      </w:r>
    </w:p>
    <w:p w:rsidR="002772D5" w:rsidRPr="00E6515F" w:rsidRDefault="002772D5" w:rsidP="009D5BE4">
      <w:pPr>
        <w:jc w:val="both"/>
        <w:rPr>
          <w:lang w:val="nl-BE"/>
        </w:rPr>
      </w:pPr>
    </w:p>
    <w:p w:rsidR="00EC561E" w:rsidRPr="00E6515F" w:rsidRDefault="00655F0C"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14</w:t>
      </w:r>
      <w:r w:rsidRPr="00E6515F">
        <w:rPr>
          <w:lang w:val="nl-BE"/>
        </w:rPr>
        <w:fldChar w:fldCharType="end"/>
      </w:r>
      <w:r w:rsidR="00EC561E" w:rsidRPr="00E6515F">
        <w:rPr>
          <w:lang w:val="nl-BE"/>
        </w:rPr>
        <w:t>: Overzicht van verhouding type contracten van cash</w:t>
      </w:r>
      <w:r w:rsidR="008D7D83">
        <w:rPr>
          <w:lang w:val="nl-BE"/>
        </w:rPr>
        <w:t>-</w:t>
      </w:r>
      <w:proofErr w:type="spellStart"/>
      <w:r w:rsidR="00EC561E" w:rsidRPr="00E6515F">
        <w:rPr>
          <w:lang w:val="nl-BE"/>
        </w:rPr>
        <w:t>besteders</w:t>
      </w:r>
      <w:proofErr w:type="spellEnd"/>
      <w:r w:rsidR="00EC561E" w:rsidRPr="00E6515F">
        <w:rPr>
          <w:lang w:val="nl-BE"/>
        </w:rPr>
        <w:t xml:space="preserve"> 2017</w:t>
      </w:r>
    </w:p>
    <w:tbl>
      <w:tblPr>
        <w:tblpPr w:leftFromText="141" w:rightFromText="141" w:vertAnchor="text" w:horzAnchor="margin" w:tblpY="215"/>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616"/>
        <w:gridCol w:w="692"/>
        <w:gridCol w:w="692"/>
        <w:gridCol w:w="692"/>
        <w:gridCol w:w="616"/>
        <w:gridCol w:w="692"/>
        <w:gridCol w:w="616"/>
        <w:gridCol w:w="616"/>
        <w:gridCol w:w="616"/>
        <w:gridCol w:w="616"/>
        <w:gridCol w:w="1282"/>
      </w:tblGrid>
      <w:tr w:rsidR="00BC2325" w:rsidRPr="00E6515F" w:rsidTr="00BC2325">
        <w:trPr>
          <w:cantSplit/>
          <w:trHeight w:val="2685"/>
        </w:trPr>
        <w:tc>
          <w:tcPr>
            <w:tcW w:w="737" w:type="dxa"/>
            <w:shd w:val="clear" w:color="auto" w:fill="A6A6A6" w:themeFill="background1" w:themeFillShade="A6"/>
            <w:noWrap/>
            <w:textDirection w:val="btLr"/>
            <w:vAlign w:val="bottom"/>
            <w:hideMark/>
          </w:tcPr>
          <w:p w:rsidR="00BC2325" w:rsidRPr="00E6515F" w:rsidRDefault="00BC2325" w:rsidP="009D5BE4">
            <w:pPr>
              <w:spacing w:line="240" w:lineRule="auto"/>
              <w:ind w:left="113" w:right="113"/>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Budgetcategorie</w:t>
            </w:r>
          </w:p>
        </w:tc>
        <w:tc>
          <w:tcPr>
            <w:tcW w:w="616"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C</w:t>
            </w:r>
            <w:r w:rsidR="00BC2325" w:rsidRPr="00E6515F">
              <w:rPr>
                <w:rFonts w:asciiTheme="majorHAnsi" w:eastAsia="Times New Roman" w:hAnsiTheme="majorHAnsi" w:cs="Tahoma"/>
                <w:b/>
                <w:color w:val="000000"/>
                <w:sz w:val="20"/>
                <w:szCs w:val="20"/>
                <w:lang w:val="nl-BE"/>
              </w:rPr>
              <w:t>ash vergunde zorgaanbieder</w:t>
            </w:r>
          </w:p>
        </w:tc>
        <w:tc>
          <w:tcPr>
            <w:tcW w:w="683"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A</w:t>
            </w:r>
            <w:r w:rsidR="00BC2325" w:rsidRPr="00E6515F">
              <w:rPr>
                <w:rFonts w:asciiTheme="majorHAnsi" w:eastAsia="Times New Roman" w:hAnsiTheme="majorHAnsi" w:cs="Tahoma"/>
                <w:b/>
                <w:color w:val="000000"/>
                <w:sz w:val="20"/>
                <w:szCs w:val="20"/>
                <w:lang w:val="nl-BE"/>
              </w:rPr>
              <w:t>rbeidsovereenkomst en uitzendbureau</w:t>
            </w:r>
          </w:p>
        </w:tc>
        <w:tc>
          <w:tcPr>
            <w:tcW w:w="683"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B</w:t>
            </w:r>
            <w:r w:rsidR="00BC2325" w:rsidRPr="00E6515F">
              <w:rPr>
                <w:rFonts w:asciiTheme="majorHAnsi" w:eastAsia="Times New Roman" w:hAnsiTheme="majorHAnsi" w:cs="Tahoma"/>
                <w:b/>
                <w:color w:val="000000"/>
                <w:sz w:val="20"/>
                <w:szCs w:val="20"/>
                <w:lang w:val="nl-BE"/>
              </w:rPr>
              <w:t>ijstandsorganisatie inclusief lidmaatschap en startpakket</w:t>
            </w:r>
          </w:p>
        </w:tc>
        <w:tc>
          <w:tcPr>
            <w:tcW w:w="683"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D</w:t>
            </w:r>
            <w:r w:rsidR="00BC2325" w:rsidRPr="00E6515F">
              <w:rPr>
                <w:rFonts w:asciiTheme="majorHAnsi" w:eastAsia="Times New Roman" w:hAnsiTheme="majorHAnsi" w:cs="Tahoma"/>
                <w:b/>
                <w:color w:val="000000"/>
                <w:sz w:val="20"/>
                <w:szCs w:val="20"/>
                <w:lang w:val="nl-BE"/>
              </w:rPr>
              <w:t>ienstenscheque en wijkwerking</w:t>
            </w:r>
          </w:p>
        </w:tc>
        <w:tc>
          <w:tcPr>
            <w:tcW w:w="616"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E</w:t>
            </w:r>
            <w:r w:rsidR="00BC2325" w:rsidRPr="00E6515F">
              <w:rPr>
                <w:rFonts w:asciiTheme="majorHAnsi" w:eastAsia="Times New Roman" w:hAnsiTheme="majorHAnsi" w:cs="Tahoma"/>
                <w:b/>
                <w:color w:val="000000"/>
                <w:sz w:val="20"/>
                <w:szCs w:val="20"/>
                <w:lang w:val="nl-BE"/>
              </w:rPr>
              <w:t>rkend niet-VAPH</w:t>
            </w:r>
          </w:p>
        </w:tc>
        <w:tc>
          <w:tcPr>
            <w:tcW w:w="683"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F</w:t>
            </w:r>
            <w:r w:rsidR="00BC2325" w:rsidRPr="00E6515F">
              <w:rPr>
                <w:rFonts w:asciiTheme="majorHAnsi" w:eastAsia="Times New Roman" w:hAnsiTheme="majorHAnsi" w:cs="Tahoma"/>
                <w:b/>
                <w:color w:val="000000"/>
                <w:sz w:val="20"/>
                <w:szCs w:val="20"/>
                <w:lang w:val="nl-BE"/>
              </w:rPr>
              <w:t>amilielid en andere vrijwilligers</w:t>
            </w:r>
          </w:p>
        </w:tc>
        <w:tc>
          <w:tcPr>
            <w:tcW w:w="616" w:type="dxa"/>
            <w:shd w:val="clear" w:color="auto" w:fill="A6A6A6" w:themeFill="background1" w:themeFillShade="A6"/>
            <w:noWrap/>
            <w:textDirection w:val="btLr"/>
            <w:vAlign w:val="bottom"/>
            <w:hideMark/>
          </w:tcPr>
          <w:p w:rsidR="00BC2325" w:rsidRPr="00E6515F" w:rsidRDefault="00BC2325" w:rsidP="009D5BE4">
            <w:pPr>
              <w:spacing w:line="240" w:lineRule="auto"/>
              <w:ind w:left="113" w:right="113"/>
              <w:rPr>
                <w:rFonts w:asciiTheme="majorHAnsi" w:eastAsia="Times New Roman" w:hAnsiTheme="majorHAnsi" w:cs="Tahoma"/>
                <w:b/>
                <w:color w:val="000000"/>
                <w:sz w:val="20"/>
                <w:szCs w:val="20"/>
                <w:lang w:val="nl-BE"/>
              </w:rPr>
            </w:pPr>
            <w:proofErr w:type="spellStart"/>
            <w:r w:rsidRPr="00E6515F">
              <w:rPr>
                <w:rFonts w:asciiTheme="majorHAnsi" w:eastAsia="Times New Roman" w:hAnsiTheme="majorHAnsi" w:cs="Tahoma"/>
                <w:b/>
                <w:color w:val="000000"/>
                <w:sz w:val="20"/>
                <w:szCs w:val="20"/>
                <w:lang w:val="nl-BE"/>
              </w:rPr>
              <w:t>Groenezorginitiatieven</w:t>
            </w:r>
            <w:proofErr w:type="spellEnd"/>
          </w:p>
        </w:tc>
        <w:tc>
          <w:tcPr>
            <w:tcW w:w="616" w:type="dxa"/>
            <w:shd w:val="clear" w:color="auto" w:fill="A6A6A6" w:themeFill="background1" w:themeFillShade="A6"/>
            <w:noWrap/>
            <w:textDirection w:val="btLr"/>
            <w:vAlign w:val="bottom"/>
            <w:hideMark/>
          </w:tcPr>
          <w:p w:rsidR="00BC2325" w:rsidRPr="00E6515F" w:rsidRDefault="00BC2325" w:rsidP="009D5BE4">
            <w:pPr>
              <w:spacing w:line="240" w:lineRule="auto"/>
              <w:ind w:left="113" w:right="113"/>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Hulpverleners</w:t>
            </w:r>
          </w:p>
        </w:tc>
        <w:tc>
          <w:tcPr>
            <w:tcW w:w="616" w:type="dxa"/>
            <w:shd w:val="clear" w:color="auto" w:fill="A6A6A6" w:themeFill="background1" w:themeFillShade="A6"/>
            <w:noWrap/>
            <w:textDirection w:val="btLr"/>
            <w:vAlign w:val="bottom"/>
            <w:hideMark/>
          </w:tcPr>
          <w:p w:rsidR="00BC2325" w:rsidRPr="00E6515F" w:rsidRDefault="008D7D83" w:rsidP="009D5BE4">
            <w:pPr>
              <w:spacing w:line="240" w:lineRule="auto"/>
              <w:ind w:left="113" w:right="113"/>
              <w:rPr>
                <w:rFonts w:asciiTheme="majorHAnsi" w:eastAsia="Times New Roman" w:hAnsiTheme="majorHAnsi" w:cs="Tahoma"/>
                <w:b/>
                <w:color w:val="000000"/>
                <w:sz w:val="20"/>
                <w:szCs w:val="20"/>
                <w:lang w:val="nl-BE"/>
              </w:rPr>
            </w:pPr>
            <w:r>
              <w:rPr>
                <w:rFonts w:asciiTheme="majorHAnsi" w:eastAsia="Times New Roman" w:hAnsiTheme="majorHAnsi" w:cs="Tahoma"/>
                <w:b/>
                <w:color w:val="000000"/>
                <w:sz w:val="20"/>
                <w:szCs w:val="20"/>
                <w:lang w:val="nl-BE"/>
              </w:rPr>
              <w:t>R</w:t>
            </w:r>
            <w:r w:rsidR="00BC2325" w:rsidRPr="00E6515F">
              <w:rPr>
                <w:rFonts w:asciiTheme="majorHAnsi" w:eastAsia="Times New Roman" w:hAnsiTheme="majorHAnsi" w:cs="Tahoma"/>
                <w:b/>
                <w:color w:val="000000"/>
                <w:sz w:val="20"/>
                <w:szCs w:val="20"/>
                <w:lang w:val="nl-BE"/>
              </w:rPr>
              <w:t>echtspersoon maximum 15</w:t>
            </w:r>
          </w:p>
        </w:tc>
        <w:tc>
          <w:tcPr>
            <w:tcW w:w="616" w:type="dxa"/>
            <w:shd w:val="clear" w:color="auto" w:fill="A6A6A6" w:themeFill="background1" w:themeFillShade="A6"/>
            <w:noWrap/>
            <w:textDirection w:val="btLr"/>
            <w:vAlign w:val="bottom"/>
            <w:hideMark/>
          </w:tcPr>
          <w:p w:rsidR="00BC2325" w:rsidRPr="00E6515F" w:rsidRDefault="00BC2325" w:rsidP="009D5BE4">
            <w:pPr>
              <w:spacing w:line="240" w:lineRule="auto"/>
              <w:ind w:left="113" w:right="113"/>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Vervoerder</w:t>
            </w:r>
          </w:p>
        </w:tc>
        <w:tc>
          <w:tcPr>
            <w:tcW w:w="1282" w:type="dxa"/>
            <w:shd w:val="clear" w:color="auto" w:fill="A6A6A6" w:themeFill="background1" w:themeFillShade="A6"/>
            <w:noWrap/>
            <w:textDirection w:val="btLr"/>
            <w:vAlign w:val="bottom"/>
            <w:hideMark/>
          </w:tcPr>
          <w:p w:rsidR="00BC2325" w:rsidRPr="00E6515F" w:rsidRDefault="00BC2325" w:rsidP="009D5BE4">
            <w:pPr>
              <w:spacing w:line="240" w:lineRule="auto"/>
              <w:ind w:left="708" w:right="113" w:hanging="595"/>
              <w:rPr>
                <w:rFonts w:asciiTheme="majorHAnsi" w:eastAsia="Times New Roman" w:hAnsiTheme="majorHAnsi" w:cs="Tahoma"/>
                <w:b/>
                <w:i/>
                <w:color w:val="000000"/>
                <w:sz w:val="20"/>
                <w:szCs w:val="20"/>
                <w:lang w:val="nl-BE"/>
              </w:rPr>
            </w:pPr>
            <w:r w:rsidRPr="00E6515F">
              <w:rPr>
                <w:rFonts w:asciiTheme="majorHAnsi" w:eastAsia="Times New Roman" w:hAnsiTheme="majorHAnsi" w:cs="Tahoma"/>
                <w:b/>
                <w:i/>
                <w:color w:val="000000"/>
                <w:sz w:val="20"/>
                <w:szCs w:val="20"/>
                <w:lang w:val="nl-BE"/>
              </w:rPr>
              <w:t>Totaal</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147</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59</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37</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25</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13</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406</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II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156</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69</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55</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53</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16</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443</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III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63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160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378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192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142</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91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55</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1.165</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IV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85</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356</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577</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323</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109</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230</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174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91</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1.950</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V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178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319</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530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304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126</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203</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164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80</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1.910</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VI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141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819</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960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527</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118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425</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269</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83</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3.345</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VII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68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135</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18</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44</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13</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6</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347</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VIII</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57</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29</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7</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185</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IX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90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9</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7</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221</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X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72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349</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112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87</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142</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61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58</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905</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XI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4</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29</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XII </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11</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5</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jc w:val="right"/>
              <w:rPr>
                <w:rFonts w:asciiTheme="majorHAnsi" w:hAnsiTheme="majorHAnsi" w:cs="Tahoma"/>
                <w:color w:val="000000"/>
                <w:sz w:val="20"/>
                <w:szCs w:val="20"/>
                <w:lang w:val="nl-BE"/>
              </w:rPr>
            </w:pPr>
            <w:r w:rsidRPr="00E6515F">
              <w:rPr>
                <w:rFonts w:asciiTheme="majorHAnsi" w:hAnsiTheme="majorHAnsi" w:cs="Tahoma"/>
                <w:color w:val="000000"/>
                <w:sz w:val="20"/>
                <w:szCs w:val="20"/>
                <w:lang w:val="nl-BE"/>
              </w:rPr>
              <w:t>3</w:t>
            </w: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616" w:type="dxa"/>
            <w:shd w:val="clear" w:color="auto" w:fill="auto"/>
            <w:noWrap/>
            <w:vAlign w:val="bottom"/>
            <w:hideMark/>
          </w:tcPr>
          <w:p w:rsidR="00BC2325" w:rsidRPr="00E6515F" w:rsidRDefault="00BC2325" w:rsidP="009D5BE4">
            <w:pPr>
              <w:rPr>
                <w:rFonts w:asciiTheme="majorHAnsi" w:hAnsiTheme="majorHAnsi" w:cs="Tahoma"/>
                <w:color w:val="000000"/>
                <w:sz w:val="20"/>
                <w:szCs w:val="20"/>
                <w:lang w:val="nl-BE"/>
              </w:rPr>
            </w:pPr>
          </w:p>
        </w:tc>
        <w:tc>
          <w:tcPr>
            <w:tcW w:w="1282" w:type="dxa"/>
            <w:shd w:val="clear" w:color="auto" w:fill="auto"/>
            <w:noWrap/>
            <w:vAlign w:val="bottom"/>
            <w:hideMark/>
          </w:tcPr>
          <w:p w:rsidR="00BC2325" w:rsidRPr="00E6515F" w:rsidRDefault="00BC2325" w:rsidP="009D5BE4">
            <w:pPr>
              <w:jc w:val="right"/>
              <w:rPr>
                <w:rFonts w:asciiTheme="majorHAnsi" w:hAnsiTheme="majorHAnsi" w:cs="Tahoma"/>
                <w:i/>
                <w:color w:val="000000"/>
                <w:sz w:val="20"/>
                <w:szCs w:val="20"/>
                <w:lang w:val="nl-BE"/>
              </w:rPr>
            </w:pPr>
            <w:r w:rsidRPr="00E6515F">
              <w:rPr>
                <w:rFonts w:asciiTheme="majorHAnsi" w:hAnsiTheme="majorHAnsi" w:cs="Tahoma"/>
                <w:i/>
                <w:color w:val="000000"/>
                <w:sz w:val="20"/>
                <w:szCs w:val="20"/>
                <w:lang w:val="nl-BE"/>
              </w:rPr>
              <w:t>31</w:t>
            </w:r>
          </w:p>
        </w:tc>
      </w:tr>
      <w:tr w:rsidR="00BC2325" w:rsidRPr="00E6515F" w:rsidTr="00BC2325">
        <w:trPr>
          <w:trHeight w:val="340"/>
        </w:trPr>
        <w:tc>
          <w:tcPr>
            <w:tcW w:w="737" w:type="dxa"/>
            <w:shd w:val="clear" w:color="auto" w:fill="auto"/>
            <w:noWrap/>
            <w:vAlign w:val="bottom"/>
            <w:hideMark/>
          </w:tcPr>
          <w:p w:rsidR="00BC2325" w:rsidRPr="00E6515F" w:rsidRDefault="00BC2325" w:rsidP="009D5BE4">
            <w:pPr>
              <w:spacing w:line="240" w:lineRule="auto"/>
              <w:rPr>
                <w:rFonts w:asciiTheme="majorHAnsi" w:eastAsia="Times New Roman" w:hAnsiTheme="majorHAnsi" w:cs="Tahoma"/>
                <w:b/>
                <w:i/>
                <w:color w:val="000000"/>
                <w:sz w:val="20"/>
                <w:szCs w:val="20"/>
                <w:lang w:val="nl-BE"/>
              </w:rPr>
            </w:pPr>
            <w:r w:rsidRPr="00E6515F">
              <w:rPr>
                <w:rFonts w:asciiTheme="majorHAnsi" w:eastAsia="Times New Roman" w:hAnsiTheme="majorHAnsi" w:cs="Tahoma"/>
                <w:b/>
                <w:i/>
                <w:color w:val="000000"/>
                <w:sz w:val="20"/>
                <w:szCs w:val="20"/>
                <w:lang w:val="nl-BE"/>
              </w:rPr>
              <w:t>Totaal</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585</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1.913</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3.402</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1.724</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680</w:t>
            </w:r>
          </w:p>
        </w:tc>
        <w:tc>
          <w:tcPr>
            <w:tcW w:w="683"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1.327</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17</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856</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16</w:t>
            </w:r>
          </w:p>
        </w:tc>
        <w:tc>
          <w:tcPr>
            <w:tcW w:w="616"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417</w:t>
            </w:r>
          </w:p>
        </w:tc>
        <w:tc>
          <w:tcPr>
            <w:tcW w:w="1282" w:type="dxa"/>
            <w:shd w:val="clear" w:color="auto" w:fill="auto"/>
            <w:noWrap/>
            <w:vAlign w:val="bottom"/>
            <w:hideMark/>
          </w:tcPr>
          <w:p w:rsidR="00BC2325" w:rsidRPr="00E6515F" w:rsidRDefault="00BC2325" w:rsidP="009D5BE4">
            <w:pPr>
              <w:jc w:val="right"/>
              <w:rPr>
                <w:rFonts w:asciiTheme="majorHAnsi" w:hAnsiTheme="majorHAnsi" w:cs="Tahoma"/>
                <w:b/>
                <w:i/>
                <w:color w:val="000000"/>
                <w:sz w:val="20"/>
                <w:szCs w:val="20"/>
                <w:lang w:val="nl-BE"/>
              </w:rPr>
            </w:pPr>
            <w:r w:rsidRPr="00E6515F">
              <w:rPr>
                <w:rFonts w:asciiTheme="majorHAnsi" w:hAnsiTheme="majorHAnsi" w:cs="Tahoma"/>
                <w:b/>
                <w:i/>
                <w:color w:val="000000"/>
                <w:sz w:val="20"/>
                <w:szCs w:val="20"/>
                <w:lang w:val="nl-BE"/>
              </w:rPr>
              <w:t>10.937</w:t>
            </w:r>
          </w:p>
        </w:tc>
      </w:tr>
      <w:tr w:rsidR="00BC2325" w:rsidRPr="00E6515F" w:rsidTr="00BC2325">
        <w:trPr>
          <w:trHeight w:val="340"/>
        </w:trPr>
        <w:tc>
          <w:tcPr>
            <w:tcW w:w="737" w:type="dxa"/>
            <w:shd w:val="clear" w:color="auto" w:fill="auto"/>
            <w:noWrap/>
            <w:vAlign w:val="bottom"/>
          </w:tcPr>
          <w:p w:rsidR="00BC2325" w:rsidRPr="00E6515F" w:rsidRDefault="00BC2325" w:rsidP="009D5BE4">
            <w:pPr>
              <w:spacing w:line="240" w:lineRule="auto"/>
              <w:rPr>
                <w:rFonts w:asciiTheme="majorHAnsi" w:eastAsia="Times New Roman" w:hAnsiTheme="majorHAnsi" w:cs="Tahoma"/>
                <w:b/>
                <w:i/>
                <w:color w:val="000000"/>
                <w:sz w:val="20"/>
                <w:szCs w:val="20"/>
                <w:lang w:val="nl-BE"/>
              </w:rPr>
            </w:pPr>
            <w:r w:rsidRPr="00E6515F">
              <w:rPr>
                <w:rFonts w:asciiTheme="majorHAnsi" w:eastAsia="Times New Roman" w:hAnsiTheme="majorHAnsi" w:cs="Tahoma"/>
                <w:b/>
                <w:i/>
                <w:color w:val="000000"/>
                <w:sz w:val="20"/>
                <w:szCs w:val="20"/>
                <w:lang w:val="nl-BE"/>
              </w:rPr>
              <w:t>Totaal in %</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5,3%</w:t>
            </w:r>
          </w:p>
        </w:tc>
        <w:tc>
          <w:tcPr>
            <w:tcW w:w="683"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17,5%</w:t>
            </w:r>
          </w:p>
        </w:tc>
        <w:tc>
          <w:tcPr>
            <w:tcW w:w="683"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31,1%</w:t>
            </w:r>
          </w:p>
        </w:tc>
        <w:tc>
          <w:tcPr>
            <w:tcW w:w="683"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15,8%</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6,2%</w:t>
            </w:r>
          </w:p>
        </w:tc>
        <w:tc>
          <w:tcPr>
            <w:tcW w:w="683"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12,1%</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0,2%</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7,8%</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0,1%</w:t>
            </w:r>
          </w:p>
        </w:tc>
        <w:tc>
          <w:tcPr>
            <w:tcW w:w="616"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3,8%</w:t>
            </w:r>
          </w:p>
        </w:tc>
        <w:tc>
          <w:tcPr>
            <w:tcW w:w="1282" w:type="dxa"/>
            <w:shd w:val="clear" w:color="auto" w:fill="auto"/>
            <w:noWrap/>
            <w:vAlign w:val="bottom"/>
          </w:tcPr>
          <w:p w:rsidR="00BC2325" w:rsidRPr="00E6515F" w:rsidRDefault="00BC2325" w:rsidP="009D5BE4">
            <w:pPr>
              <w:jc w:val="right"/>
              <w:rPr>
                <w:rFonts w:asciiTheme="majorHAnsi" w:hAnsiTheme="majorHAnsi" w:cs="Tahoma"/>
                <w:b/>
                <w:i/>
                <w:color w:val="000000"/>
                <w:sz w:val="20"/>
                <w:szCs w:val="20"/>
                <w:lang w:val="nl-BE"/>
              </w:rPr>
            </w:pPr>
            <w:r w:rsidRPr="00E6515F">
              <w:rPr>
                <w:b/>
                <w:bCs/>
                <w:i/>
                <w:iCs/>
                <w:color w:val="000000"/>
                <w:lang w:val="nl-BE"/>
              </w:rPr>
              <w:t>100,0%</w:t>
            </w:r>
          </w:p>
        </w:tc>
      </w:tr>
    </w:tbl>
    <w:p w:rsidR="00CD1B8C" w:rsidRPr="00E6515F" w:rsidRDefault="00CD1B8C">
      <w:pPr>
        <w:rPr>
          <w:lang w:val="nl-BE"/>
        </w:rPr>
      </w:pPr>
    </w:p>
    <w:p w:rsidR="00655F0C" w:rsidRPr="00E6515F" w:rsidRDefault="00BC2325">
      <w:pPr>
        <w:rPr>
          <w:lang w:val="nl-BE"/>
        </w:rPr>
      </w:pPr>
      <w:r w:rsidRPr="00E6515F">
        <w:rPr>
          <w:lang w:val="nl-BE"/>
        </w:rPr>
        <w:t xml:space="preserve">In deze tabel geven we de lopende cashovereenkomsten weer op 31 december 2017. Bij cashbesteding heeft een budgethouder doorgaans meerdere overeenkomsten gelijktijdig lopen. </w:t>
      </w:r>
      <w:r w:rsidR="008D7D83">
        <w:rPr>
          <w:lang w:val="nl-BE"/>
        </w:rPr>
        <w:t>Daa</w:t>
      </w:r>
      <w:r w:rsidR="008D7D83" w:rsidRPr="00E6515F">
        <w:rPr>
          <w:lang w:val="nl-BE"/>
        </w:rPr>
        <w:t xml:space="preserve">rdoor </w:t>
      </w:r>
      <w:r w:rsidRPr="00E6515F">
        <w:rPr>
          <w:lang w:val="nl-BE"/>
        </w:rPr>
        <w:t xml:space="preserve">ligt het totaal aantal lopende overeenkomsten gevoelig hoger dan het aantal personen met cashbesteding. </w:t>
      </w:r>
    </w:p>
    <w:p w:rsidR="00CD1B8C" w:rsidRPr="00E6515F" w:rsidRDefault="00CD1B8C">
      <w:pPr>
        <w:rPr>
          <w:lang w:val="nl-BE"/>
        </w:rPr>
      </w:pPr>
    </w:p>
    <w:p w:rsidR="00073427" w:rsidRPr="00E6515F" w:rsidRDefault="00073427">
      <w:pPr>
        <w:rPr>
          <w:bCs/>
          <w:szCs w:val="18"/>
          <w:u w:val="single"/>
          <w:lang w:val="nl-BE"/>
        </w:rPr>
      </w:pPr>
      <w:r w:rsidRPr="00E6515F">
        <w:rPr>
          <w:lang w:val="nl-BE"/>
        </w:rPr>
        <w:br w:type="page"/>
      </w:r>
    </w:p>
    <w:p w:rsidR="00EC561E" w:rsidRPr="00E6515F" w:rsidRDefault="00655F0C" w:rsidP="00EC561E">
      <w:pPr>
        <w:pStyle w:val="Bijschrift"/>
        <w:keepNex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15</w:t>
      </w:r>
      <w:r w:rsidRPr="00E6515F">
        <w:rPr>
          <w:lang w:val="nl-BE"/>
        </w:rPr>
        <w:fldChar w:fldCharType="end"/>
      </w:r>
      <w:r w:rsidR="00EC561E" w:rsidRPr="00E6515F">
        <w:rPr>
          <w:lang w:val="nl-BE"/>
        </w:rPr>
        <w:t>: Ondersteuningsfunctie van het vouchergedeelte bij mensen die hun PVB inzetten via cash en voucher in 2017, opgesplitst naar leeftijdscategorie</w:t>
      </w:r>
    </w:p>
    <w:tbl>
      <w:tblPr>
        <w:tblStyle w:val="Tabelraster"/>
        <w:tblW w:w="8545" w:type="dxa"/>
        <w:tblLayout w:type="fixed"/>
        <w:tblLook w:val="0600" w:firstRow="0" w:lastRow="0" w:firstColumn="0" w:lastColumn="0" w:noHBand="1" w:noVBand="1"/>
      </w:tblPr>
      <w:tblGrid>
        <w:gridCol w:w="1951"/>
        <w:gridCol w:w="1559"/>
        <w:gridCol w:w="1843"/>
        <w:gridCol w:w="1985"/>
        <w:gridCol w:w="1207"/>
      </w:tblGrid>
      <w:tr w:rsidR="00CD1B8C" w:rsidRPr="00E6515F" w:rsidTr="0090276F">
        <w:trPr>
          <w:trHeight w:val="380"/>
        </w:trPr>
        <w:tc>
          <w:tcPr>
            <w:tcW w:w="1951" w:type="dxa"/>
            <w:shd w:val="clear" w:color="auto" w:fill="BFBFBF" w:themeFill="background1" w:themeFillShade="BF"/>
            <w:vAlign w:val="center"/>
          </w:tcPr>
          <w:p w:rsidR="00CD1B8C" w:rsidRPr="00E6515F" w:rsidRDefault="00E40B88" w:rsidP="00FF60A4">
            <w:pPr>
              <w:widowControl w:val="0"/>
              <w:pBdr>
                <w:top w:val="nil"/>
                <w:left w:val="nil"/>
                <w:bottom w:val="nil"/>
                <w:right w:val="nil"/>
                <w:between w:val="nil"/>
              </w:pBdr>
              <w:rPr>
                <w:b/>
                <w:sz w:val="20"/>
                <w:szCs w:val="20"/>
                <w:lang w:val="nl-BE"/>
              </w:rPr>
            </w:pPr>
            <w:r w:rsidRPr="00E6515F">
              <w:rPr>
                <w:b/>
                <w:sz w:val="20"/>
                <w:szCs w:val="20"/>
                <w:lang w:val="nl-BE"/>
              </w:rPr>
              <w:t>L</w:t>
            </w:r>
            <w:r w:rsidR="002859D7" w:rsidRPr="00E6515F">
              <w:rPr>
                <w:b/>
                <w:sz w:val="20"/>
                <w:szCs w:val="20"/>
                <w:lang w:val="nl-BE"/>
              </w:rPr>
              <w:t xml:space="preserve">eeftijdscategorie </w:t>
            </w:r>
          </w:p>
        </w:tc>
        <w:tc>
          <w:tcPr>
            <w:tcW w:w="1559" w:type="dxa"/>
            <w:shd w:val="clear" w:color="auto" w:fill="BFBFBF" w:themeFill="background1" w:themeFillShade="BF"/>
            <w:vAlign w:val="center"/>
          </w:tcPr>
          <w:p w:rsidR="00CD1B8C" w:rsidRPr="00E6515F" w:rsidRDefault="00E40B88" w:rsidP="00E40B88">
            <w:pPr>
              <w:widowControl w:val="0"/>
              <w:pBdr>
                <w:top w:val="nil"/>
                <w:left w:val="nil"/>
                <w:bottom w:val="nil"/>
                <w:right w:val="nil"/>
                <w:between w:val="nil"/>
              </w:pBdr>
              <w:jc w:val="center"/>
              <w:rPr>
                <w:sz w:val="20"/>
                <w:szCs w:val="20"/>
                <w:lang w:val="nl-BE"/>
              </w:rPr>
            </w:pPr>
            <w:r w:rsidRPr="00E6515F">
              <w:rPr>
                <w:b/>
                <w:sz w:val="20"/>
                <w:szCs w:val="20"/>
                <w:lang w:val="nl-BE"/>
              </w:rPr>
              <w:t>Individuele ondersteuning</w:t>
            </w:r>
          </w:p>
        </w:tc>
        <w:tc>
          <w:tcPr>
            <w:tcW w:w="1843" w:type="dxa"/>
            <w:shd w:val="clear" w:color="auto" w:fill="BFBFBF" w:themeFill="background1" w:themeFillShade="BF"/>
            <w:vAlign w:val="center"/>
          </w:tcPr>
          <w:p w:rsidR="00CD1B8C" w:rsidRPr="00E6515F" w:rsidRDefault="00E40B88" w:rsidP="00E40B88">
            <w:pPr>
              <w:widowControl w:val="0"/>
              <w:pBdr>
                <w:top w:val="nil"/>
                <w:left w:val="nil"/>
                <w:bottom w:val="nil"/>
                <w:right w:val="nil"/>
                <w:between w:val="nil"/>
              </w:pBdr>
              <w:jc w:val="center"/>
              <w:rPr>
                <w:sz w:val="20"/>
                <w:szCs w:val="20"/>
                <w:lang w:val="nl-BE"/>
              </w:rPr>
            </w:pPr>
            <w:proofErr w:type="spellStart"/>
            <w:r w:rsidRPr="00E6515F">
              <w:rPr>
                <w:b/>
                <w:sz w:val="20"/>
                <w:szCs w:val="20"/>
                <w:lang w:val="nl-BE"/>
              </w:rPr>
              <w:t>D</w:t>
            </w:r>
            <w:r w:rsidR="002859D7" w:rsidRPr="00E6515F">
              <w:rPr>
                <w:b/>
                <w:sz w:val="20"/>
                <w:szCs w:val="20"/>
                <w:lang w:val="nl-BE"/>
              </w:rPr>
              <w:t>agondersteuning</w:t>
            </w:r>
            <w:proofErr w:type="spellEnd"/>
            <w:r w:rsidR="002859D7" w:rsidRPr="00E6515F">
              <w:rPr>
                <w:b/>
                <w:sz w:val="20"/>
                <w:szCs w:val="20"/>
                <w:lang w:val="nl-BE"/>
              </w:rPr>
              <w:t xml:space="preserve"> </w:t>
            </w:r>
          </w:p>
        </w:tc>
        <w:tc>
          <w:tcPr>
            <w:tcW w:w="1985" w:type="dxa"/>
            <w:shd w:val="clear" w:color="auto" w:fill="BFBFBF" w:themeFill="background1" w:themeFillShade="BF"/>
            <w:vAlign w:val="center"/>
          </w:tcPr>
          <w:p w:rsidR="00CD1B8C" w:rsidRPr="00E6515F" w:rsidRDefault="00E40B88" w:rsidP="00E40B88">
            <w:pPr>
              <w:widowControl w:val="0"/>
              <w:pBdr>
                <w:top w:val="nil"/>
                <w:left w:val="nil"/>
                <w:bottom w:val="nil"/>
                <w:right w:val="nil"/>
                <w:between w:val="nil"/>
              </w:pBdr>
              <w:jc w:val="center"/>
              <w:rPr>
                <w:sz w:val="20"/>
                <w:szCs w:val="20"/>
                <w:lang w:val="nl-BE"/>
              </w:rPr>
            </w:pPr>
            <w:r w:rsidRPr="00E6515F">
              <w:rPr>
                <w:b/>
                <w:sz w:val="20"/>
                <w:szCs w:val="20"/>
                <w:lang w:val="nl-BE"/>
              </w:rPr>
              <w:t>W</w:t>
            </w:r>
            <w:r w:rsidR="002859D7" w:rsidRPr="00E6515F">
              <w:rPr>
                <w:b/>
                <w:sz w:val="20"/>
                <w:szCs w:val="20"/>
                <w:lang w:val="nl-BE"/>
              </w:rPr>
              <w:t xml:space="preserve">oonondersteuning </w:t>
            </w:r>
          </w:p>
        </w:tc>
        <w:tc>
          <w:tcPr>
            <w:tcW w:w="1207" w:type="dxa"/>
            <w:shd w:val="clear" w:color="auto" w:fill="BFBFBF" w:themeFill="background1" w:themeFillShade="BF"/>
            <w:vAlign w:val="center"/>
          </w:tcPr>
          <w:p w:rsidR="00CD1B8C" w:rsidRPr="00E6515F" w:rsidRDefault="00E40B88" w:rsidP="00E40B88">
            <w:pPr>
              <w:widowControl w:val="0"/>
              <w:pBdr>
                <w:top w:val="nil"/>
                <w:left w:val="nil"/>
                <w:bottom w:val="nil"/>
                <w:right w:val="nil"/>
                <w:between w:val="nil"/>
              </w:pBdr>
              <w:jc w:val="center"/>
              <w:rPr>
                <w:i/>
                <w:sz w:val="20"/>
                <w:szCs w:val="20"/>
                <w:lang w:val="nl-BE"/>
              </w:rPr>
            </w:pPr>
            <w:r w:rsidRPr="00E6515F">
              <w:rPr>
                <w:b/>
                <w:i/>
                <w:sz w:val="20"/>
                <w:szCs w:val="20"/>
                <w:lang w:val="nl-BE"/>
              </w:rPr>
              <w:t>T</w:t>
            </w:r>
            <w:r w:rsidR="002859D7" w:rsidRPr="00E6515F">
              <w:rPr>
                <w:b/>
                <w:i/>
                <w:sz w:val="20"/>
                <w:szCs w:val="20"/>
                <w:lang w:val="nl-BE"/>
              </w:rPr>
              <w:t xml:space="preserve">otaal </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18 </w:t>
            </w:r>
            <w:r w:rsidR="00380DEB">
              <w:rPr>
                <w:b/>
                <w:sz w:val="20"/>
                <w:szCs w:val="20"/>
                <w:lang w:val="nl-BE"/>
              </w:rPr>
              <w:t xml:space="preserve">t/m </w:t>
            </w:r>
            <w:r w:rsidRPr="00E6515F">
              <w:rPr>
                <w:b/>
                <w:sz w:val="20"/>
                <w:szCs w:val="20"/>
                <w:lang w:val="nl-BE"/>
              </w:rPr>
              <w:t>20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23</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15</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16</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54</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21 </w:t>
            </w:r>
            <w:r w:rsidR="00380DEB">
              <w:rPr>
                <w:b/>
                <w:sz w:val="20"/>
                <w:szCs w:val="20"/>
                <w:lang w:val="nl-BE"/>
              </w:rPr>
              <w:t xml:space="preserve">t/m </w:t>
            </w:r>
            <w:r w:rsidRPr="00E6515F">
              <w:rPr>
                <w:b/>
                <w:sz w:val="20"/>
                <w:szCs w:val="20"/>
                <w:lang w:val="nl-BE"/>
              </w:rPr>
              <w:t>25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38</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76</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40</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154</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26 </w:t>
            </w:r>
            <w:r w:rsidR="00380DEB">
              <w:rPr>
                <w:b/>
                <w:sz w:val="20"/>
                <w:szCs w:val="20"/>
                <w:lang w:val="nl-BE"/>
              </w:rPr>
              <w:t xml:space="preserve">t/m </w:t>
            </w:r>
            <w:r w:rsidRPr="00E6515F">
              <w:rPr>
                <w:b/>
                <w:sz w:val="20"/>
                <w:szCs w:val="20"/>
                <w:lang w:val="nl-BE"/>
              </w:rPr>
              <w:t>35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59</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107</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85</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251</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36 </w:t>
            </w:r>
            <w:r w:rsidR="00380DEB">
              <w:rPr>
                <w:b/>
                <w:sz w:val="20"/>
                <w:szCs w:val="20"/>
                <w:lang w:val="nl-BE"/>
              </w:rPr>
              <w:t xml:space="preserve">t/m </w:t>
            </w:r>
            <w:r w:rsidRPr="00E6515F">
              <w:rPr>
                <w:b/>
                <w:sz w:val="20"/>
                <w:szCs w:val="20"/>
                <w:lang w:val="nl-BE"/>
              </w:rPr>
              <w:t>45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46</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78</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63</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187</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46 </w:t>
            </w:r>
            <w:r w:rsidR="00380DEB">
              <w:rPr>
                <w:b/>
                <w:sz w:val="20"/>
                <w:szCs w:val="20"/>
                <w:lang w:val="nl-BE"/>
              </w:rPr>
              <w:t xml:space="preserve">t/m </w:t>
            </w:r>
            <w:r w:rsidRPr="00E6515F">
              <w:rPr>
                <w:b/>
                <w:sz w:val="20"/>
                <w:szCs w:val="20"/>
                <w:lang w:val="nl-BE"/>
              </w:rPr>
              <w:t>55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52</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47</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45</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144</w:t>
            </w:r>
          </w:p>
        </w:tc>
      </w:tr>
      <w:tr w:rsidR="00CD1B8C" w:rsidRPr="00E6515F" w:rsidTr="0090276F">
        <w:trPr>
          <w:trHeight w:val="380"/>
        </w:trPr>
        <w:tc>
          <w:tcPr>
            <w:tcW w:w="1951" w:type="dxa"/>
            <w:vAlign w:val="center"/>
          </w:tcPr>
          <w:p w:rsidR="00CD1B8C" w:rsidRPr="00E6515F" w:rsidRDefault="0090276F" w:rsidP="00E40B88">
            <w:pPr>
              <w:widowControl w:val="0"/>
              <w:pBdr>
                <w:top w:val="nil"/>
                <w:left w:val="nil"/>
                <w:bottom w:val="nil"/>
                <w:right w:val="nil"/>
                <w:between w:val="nil"/>
              </w:pBdr>
              <w:rPr>
                <w:b/>
                <w:sz w:val="20"/>
                <w:szCs w:val="20"/>
                <w:lang w:val="nl-BE"/>
              </w:rPr>
            </w:pPr>
            <w:r w:rsidRPr="00E6515F">
              <w:rPr>
                <w:b/>
                <w:sz w:val="20"/>
                <w:szCs w:val="20"/>
                <w:lang w:val="nl-BE"/>
              </w:rPr>
              <w:t xml:space="preserve"> 56 </w:t>
            </w:r>
            <w:r w:rsidR="00380DEB">
              <w:rPr>
                <w:b/>
                <w:sz w:val="20"/>
                <w:szCs w:val="20"/>
                <w:lang w:val="nl-BE"/>
              </w:rPr>
              <w:t xml:space="preserve">t/m </w:t>
            </w:r>
            <w:r w:rsidRPr="00E6515F">
              <w:rPr>
                <w:b/>
                <w:sz w:val="20"/>
                <w:szCs w:val="20"/>
                <w:lang w:val="nl-BE"/>
              </w:rPr>
              <w:t>65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44</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33</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45</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122</w:t>
            </w:r>
          </w:p>
        </w:tc>
      </w:tr>
      <w:tr w:rsidR="00CD1B8C" w:rsidRPr="00E6515F" w:rsidTr="0090276F">
        <w:trPr>
          <w:trHeight w:val="380"/>
        </w:trPr>
        <w:tc>
          <w:tcPr>
            <w:tcW w:w="1951" w:type="dxa"/>
            <w:vAlign w:val="center"/>
          </w:tcPr>
          <w:p w:rsidR="00CD1B8C" w:rsidRPr="00E6515F" w:rsidRDefault="002859D7" w:rsidP="00E40B88">
            <w:pPr>
              <w:widowControl w:val="0"/>
              <w:pBdr>
                <w:top w:val="nil"/>
                <w:left w:val="nil"/>
                <w:bottom w:val="nil"/>
                <w:right w:val="nil"/>
                <w:between w:val="nil"/>
              </w:pBdr>
              <w:rPr>
                <w:b/>
                <w:sz w:val="20"/>
                <w:szCs w:val="20"/>
                <w:lang w:val="nl-BE"/>
              </w:rPr>
            </w:pPr>
            <w:r w:rsidRPr="00E6515F">
              <w:rPr>
                <w:b/>
                <w:sz w:val="20"/>
                <w:szCs w:val="20"/>
                <w:lang w:val="nl-BE"/>
              </w:rPr>
              <w:t xml:space="preserve"> </w:t>
            </w:r>
            <w:r w:rsidR="004D0F2C" w:rsidRPr="00E6515F">
              <w:rPr>
                <w:b/>
                <w:sz w:val="20"/>
                <w:szCs w:val="20"/>
                <w:lang w:val="nl-BE"/>
              </w:rPr>
              <w:t>+</w:t>
            </w:r>
            <w:r w:rsidR="00E40B88" w:rsidRPr="00E6515F">
              <w:rPr>
                <w:b/>
                <w:sz w:val="20"/>
                <w:szCs w:val="20"/>
                <w:lang w:val="nl-BE"/>
              </w:rPr>
              <w:t>6</w:t>
            </w:r>
            <w:r w:rsidR="0090276F" w:rsidRPr="00E6515F">
              <w:rPr>
                <w:b/>
                <w:sz w:val="20"/>
                <w:szCs w:val="20"/>
                <w:lang w:val="nl-BE"/>
              </w:rPr>
              <w:t>5 j</w:t>
            </w:r>
            <w:r w:rsidR="008D7D83">
              <w:rPr>
                <w:b/>
                <w:sz w:val="20"/>
                <w:szCs w:val="20"/>
                <w:lang w:val="nl-BE"/>
              </w:rPr>
              <w:t>.</w:t>
            </w:r>
          </w:p>
        </w:tc>
        <w:tc>
          <w:tcPr>
            <w:tcW w:w="1559"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13</w:t>
            </w:r>
          </w:p>
        </w:tc>
        <w:tc>
          <w:tcPr>
            <w:tcW w:w="1843"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10</w:t>
            </w:r>
          </w:p>
        </w:tc>
        <w:tc>
          <w:tcPr>
            <w:tcW w:w="1985" w:type="dxa"/>
            <w:vAlign w:val="center"/>
          </w:tcPr>
          <w:p w:rsidR="00CD1B8C" w:rsidRPr="00E6515F" w:rsidRDefault="002859D7" w:rsidP="00E40B88">
            <w:pPr>
              <w:widowControl w:val="0"/>
              <w:pBdr>
                <w:top w:val="nil"/>
                <w:left w:val="nil"/>
                <w:bottom w:val="nil"/>
                <w:right w:val="nil"/>
                <w:between w:val="nil"/>
              </w:pBdr>
              <w:jc w:val="center"/>
              <w:rPr>
                <w:sz w:val="20"/>
                <w:szCs w:val="20"/>
                <w:lang w:val="nl-BE"/>
              </w:rPr>
            </w:pPr>
            <w:r w:rsidRPr="00E6515F">
              <w:rPr>
                <w:sz w:val="20"/>
                <w:szCs w:val="20"/>
                <w:lang w:val="nl-BE"/>
              </w:rPr>
              <w:t>13</w:t>
            </w:r>
          </w:p>
        </w:tc>
        <w:tc>
          <w:tcPr>
            <w:tcW w:w="1207" w:type="dxa"/>
            <w:vAlign w:val="center"/>
          </w:tcPr>
          <w:p w:rsidR="00CD1B8C" w:rsidRPr="00E6515F" w:rsidRDefault="002859D7" w:rsidP="00E40B88">
            <w:pPr>
              <w:widowControl w:val="0"/>
              <w:pBdr>
                <w:top w:val="nil"/>
                <w:left w:val="nil"/>
                <w:bottom w:val="nil"/>
                <w:right w:val="nil"/>
                <w:between w:val="nil"/>
              </w:pBdr>
              <w:jc w:val="center"/>
              <w:rPr>
                <w:i/>
                <w:sz w:val="20"/>
                <w:szCs w:val="20"/>
                <w:lang w:val="nl-BE"/>
              </w:rPr>
            </w:pPr>
            <w:r w:rsidRPr="00E6515F">
              <w:rPr>
                <w:i/>
                <w:sz w:val="20"/>
                <w:szCs w:val="20"/>
                <w:lang w:val="nl-BE"/>
              </w:rPr>
              <w:t>36</w:t>
            </w:r>
          </w:p>
        </w:tc>
      </w:tr>
      <w:tr w:rsidR="00CD1B8C" w:rsidRPr="00E6515F" w:rsidTr="0090276F">
        <w:trPr>
          <w:trHeight w:val="380"/>
        </w:trPr>
        <w:tc>
          <w:tcPr>
            <w:tcW w:w="1951" w:type="dxa"/>
            <w:vAlign w:val="center"/>
          </w:tcPr>
          <w:p w:rsidR="00CD1B8C" w:rsidRPr="00E6515F" w:rsidRDefault="00E40B88" w:rsidP="00E40B88">
            <w:pPr>
              <w:widowControl w:val="0"/>
              <w:pBdr>
                <w:top w:val="nil"/>
                <w:left w:val="nil"/>
                <w:bottom w:val="nil"/>
                <w:right w:val="nil"/>
                <w:between w:val="nil"/>
              </w:pBdr>
              <w:rPr>
                <w:b/>
                <w:i/>
                <w:sz w:val="20"/>
                <w:szCs w:val="20"/>
                <w:lang w:val="nl-BE"/>
              </w:rPr>
            </w:pPr>
            <w:r w:rsidRPr="00E6515F">
              <w:rPr>
                <w:b/>
                <w:i/>
                <w:sz w:val="20"/>
                <w:szCs w:val="20"/>
                <w:lang w:val="nl-BE"/>
              </w:rPr>
              <w:t>T</w:t>
            </w:r>
            <w:r w:rsidR="002859D7" w:rsidRPr="00E6515F">
              <w:rPr>
                <w:b/>
                <w:i/>
                <w:sz w:val="20"/>
                <w:szCs w:val="20"/>
                <w:lang w:val="nl-BE"/>
              </w:rPr>
              <w:t xml:space="preserve">otaal </w:t>
            </w:r>
          </w:p>
        </w:tc>
        <w:tc>
          <w:tcPr>
            <w:tcW w:w="1559" w:type="dxa"/>
            <w:vAlign w:val="center"/>
          </w:tcPr>
          <w:p w:rsidR="00CD1B8C" w:rsidRPr="00E6515F" w:rsidRDefault="002859D7" w:rsidP="00E40B88">
            <w:pPr>
              <w:widowControl w:val="0"/>
              <w:pBdr>
                <w:top w:val="nil"/>
                <w:left w:val="nil"/>
                <w:bottom w:val="nil"/>
                <w:right w:val="nil"/>
                <w:between w:val="nil"/>
              </w:pBdr>
              <w:jc w:val="center"/>
              <w:rPr>
                <w:b/>
                <w:i/>
                <w:sz w:val="20"/>
                <w:szCs w:val="20"/>
                <w:lang w:val="nl-BE"/>
              </w:rPr>
            </w:pPr>
            <w:r w:rsidRPr="00E6515F">
              <w:rPr>
                <w:b/>
                <w:i/>
                <w:sz w:val="20"/>
                <w:szCs w:val="20"/>
                <w:lang w:val="nl-BE"/>
              </w:rPr>
              <w:t>275</w:t>
            </w:r>
          </w:p>
        </w:tc>
        <w:tc>
          <w:tcPr>
            <w:tcW w:w="1843" w:type="dxa"/>
            <w:vAlign w:val="center"/>
          </w:tcPr>
          <w:p w:rsidR="00CD1B8C" w:rsidRPr="00E6515F" w:rsidRDefault="002859D7" w:rsidP="00E40B88">
            <w:pPr>
              <w:widowControl w:val="0"/>
              <w:pBdr>
                <w:top w:val="nil"/>
                <w:left w:val="nil"/>
                <w:bottom w:val="nil"/>
                <w:right w:val="nil"/>
                <w:between w:val="nil"/>
              </w:pBdr>
              <w:jc w:val="center"/>
              <w:rPr>
                <w:b/>
                <w:i/>
                <w:sz w:val="20"/>
                <w:szCs w:val="20"/>
                <w:lang w:val="nl-BE"/>
              </w:rPr>
            </w:pPr>
            <w:r w:rsidRPr="00E6515F">
              <w:rPr>
                <w:b/>
                <w:i/>
                <w:sz w:val="20"/>
                <w:szCs w:val="20"/>
                <w:lang w:val="nl-BE"/>
              </w:rPr>
              <w:t>366</w:t>
            </w:r>
          </w:p>
        </w:tc>
        <w:tc>
          <w:tcPr>
            <w:tcW w:w="1985" w:type="dxa"/>
            <w:vAlign w:val="center"/>
          </w:tcPr>
          <w:p w:rsidR="00CD1B8C" w:rsidRPr="00E6515F" w:rsidRDefault="002859D7" w:rsidP="00E40B88">
            <w:pPr>
              <w:widowControl w:val="0"/>
              <w:pBdr>
                <w:top w:val="nil"/>
                <w:left w:val="nil"/>
                <w:bottom w:val="nil"/>
                <w:right w:val="nil"/>
                <w:between w:val="nil"/>
              </w:pBdr>
              <w:jc w:val="center"/>
              <w:rPr>
                <w:b/>
                <w:i/>
                <w:sz w:val="20"/>
                <w:szCs w:val="20"/>
                <w:lang w:val="nl-BE"/>
              </w:rPr>
            </w:pPr>
            <w:r w:rsidRPr="00E6515F">
              <w:rPr>
                <w:b/>
                <w:i/>
                <w:sz w:val="20"/>
                <w:szCs w:val="20"/>
                <w:lang w:val="nl-BE"/>
              </w:rPr>
              <w:t>307</w:t>
            </w:r>
          </w:p>
        </w:tc>
        <w:tc>
          <w:tcPr>
            <w:tcW w:w="1207" w:type="dxa"/>
            <w:vAlign w:val="center"/>
          </w:tcPr>
          <w:p w:rsidR="00CD1B8C" w:rsidRPr="00E6515F" w:rsidRDefault="002859D7" w:rsidP="00E40B88">
            <w:pPr>
              <w:widowControl w:val="0"/>
              <w:pBdr>
                <w:top w:val="nil"/>
                <w:left w:val="nil"/>
                <w:bottom w:val="nil"/>
                <w:right w:val="nil"/>
                <w:between w:val="nil"/>
              </w:pBdr>
              <w:jc w:val="center"/>
              <w:rPr>
                <w:b/>
                <w:i/>
                <w:sz w:val="20"/>
                <w:szCs w:val="20"/>
                <w:lang w:val="nl-BE"/>
              </w:rPr>
            </w:pPr>
            <w:r w:rsidRPr="00E6515F">
              <w:rPr>
                <w:b/>
                <w:i/>
                <w:sz w:val="20"/>
                <w:szCs w:val="20"/>
                <w:lang w:val="nl-BE"/>
              </w:rPr>
              <w:t>948</w:t>
            </w:r>
          </w:p>
        </w:tc>
      </w:tr>
    </w:tbl>
    <w:p w:rsidR="00CD1B8C" w:rsidRPr="00E6515F" w:rsidRDefault="00CD1B8C">
      <w:pPr>
        <w:rPr>
          <w:lang w:val="nl-BE"/>
        </w:rPr>
      </w:pPr>
    </w:p>
    <w:p w:rsidR="00743AC9" w:rsidRPr="00E6515F" w:rsidRDefault="00743AC9" w:rsidP="009D5BE4">
      <w:pPr>
        <w:jc w:val="both"/>
        <w:rPr>
          <w:lang w:val="nl-BE"/>
        </w:rPr>
      </w:pPr>
      <w:r w:rsidRPr="00E6515F">
        <w:rPr>
          <w:lang w:val="nl-BE"/>
        </w:rPr>
        <w:t xml:space="preserve">We zien dat mensen die zowel in cash als in voucher besteden, hun gedeelte in voucher veelal inzetten in de vorm van </w:t>
      </w:r>
      <w:proofErr w:type="spellStart"/>
      <w:r w:rsidRPr="00E6515F">
        <w:rPr>
          <w:lang w:val="nl-BE"/>
        </w:rPr>
        <w:t>dagondersteuning</w:t>
      </w:r>
      <w:proofErr w:type="spellEnd"/>
      <w:r w:rsidRPr="00E6515F">
        <w:rPr>
          <w:lang w:val="nl-BE"/>
        </w:rPr>
        <w:t>, namelijk 39%. Daarnaast zetten mensen hun voucher ook in via woonondersteuning (32%) of individuele ondersteuning (29%).</w:t>
      </w:r>
    </w:p>
    <w:p w:rsidR="00743AC9" w:rsidRPr="00E6515F" w:rsidRDefault="00743AC9">
      <w:pPr>
        <w:rPr>
          <w:lang w:val="nl-BE"/>
        </w:rPr>
      </w:pPr>
    </w:p>
    <w:p w:rsidR="00CD1B8C" w:rsidRPr="00E6515F" w:rsidRDefault="002859D7" w:rsidP="00EC561E">
      <w:pPr>
        <w:pStyle w:val="Kop1"/>
        <w:widowControl w:val="0"/>
        <w:numPr>
          <w:ilvl w:val="1"/>
          <w:numId w:val="1"/>
        </w:numPr>
        <w:pBdr>
          <w:top w:val="nil"/>
          <w:left w:val="nil"/>
          <w:bottom w:val="nil"/>
          <w:right w:val="nil"/>
          <w:between w:val="nil"/>
        </w:pBdr>
        <w:rPr>
          <w:sz w:val="34"/>
          <w:szCs w:val="34"/>
          <w:lang w:val="nl-BE"/>
        </w:rPr>
      </w:pPr>
      <w:bookmarkStart w:id="34" w:name="_Toc536797803"/>
      <w:bookmarkStart w:id="35" w:name="_Toc528227887"/>
      <w:r w:rsidRPr="00E6515F">
        <w:rPr>
          <w:sz w:val="34"/>
          <w:szCs w:val="34"/>
          <w:lang w:val="nl-BE"/>
        </w:rPr>
        <w:t>Gegevens met betrekking tot observatie-</w:t>
      </w:r>
      <w:r w:rsidR="008D7D83">
        <w:rPr>
          <w:sz w:val="34"/>
          <w:szCs w:val="34"/>
          <w:lang w:val="nl-BE"/>
        </w:rPr>
        <w:t>, diagnose- en behandelings</w:t>
      </w:r>
      <w:r w:rsidRPr="00E6515F">
        <w:rPr>
          <w:sz w:val="34"/>
          <w:szCs w:val="34"/>
          <w:lang w:val="nl-BE"/>
        </w:rPr>
        <w:t>units</w:t>
      </w:r>
      <w:bookmarkEnd w:id="34"/>
      <w:r w:rsidRPr="00E6515F">
        <w:rPr>
          <w:sz w:val="34"/>
          <w:szCs w:val="34"/>
          <w:lang w:val="nl-BE"/>
        </w:rPr>
        <w:t xml:space="preserve"> </w:t>
      </w:r>
      <w:bookmarkEnd w:id="35"/>
    </w:p>
    <w:p w:rsidR="00EC561E" w:rsidRPr="00E6515F" w:rsidRDefault="00EC561E" w:rsidP="00EC561E">
      <w:pPr>
        <w:rPr>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16</w:t>
      </w:r>
      <w:r w:rsidRPr="00E6515F">
        <w:rPr>
          <w:lang w:val="nl-BE"/>
        </w:rPr>
        <w:fldChar w:fldCharType="end"/>
      </w:r>
      <w:r w:rsidRPr="00E6515F">
        <w:rPr>
          <w:lang w:val="nl-BE"/>
        </w:rPr>
        <w:t>: Evolutie van het aantal gebruikers ODB per leeftijdscategorie</w:t>
      </w:r>
    </w:p>
    <w:tbl>
      <w:tblPr>
        <w:tblStyle w:val="af5"/>
        <w:tblW w:w="6096"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1985"/>
        <w:gridCol w:w="1134"/>
        <w:gridCol w:w="1134"/>
        <w:gridCol w:w="1843"/>
      </w:tblGrid>
      <w:tr w:rsidR="00CD1B8C" w:rsidRPr="00E6515F" w:rsidTr="0090276F">
        <w:tc>
          <w:tcPr>
            <w:tcW w:w="198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Leeftijdscategorie</w:t>
            </w:r>
          </w:p>
        </w:tc>
        <w:tc>
          <w:tcPr>
            <w:tcW w:w="113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90276F">
            <w:pPr>
              <w:widowControl w:val="0"/>
              <w:spacing w:line="240" w:lineRule="auto"/>
              <w:jc w:val="center"/>
              <w:rPr>
                <w:b/>
                <w:sz w:val="20"/>
                <w:szCs w:val="20"/>
                <w:lang w:val="nl-BE"/>
              </w:rPr>
            </w:pPr>
            <w:r w:rsidRPr="00E6515F">
              <w:rPr>
                <w:b/>
                <w:sz w:val="20"/>
                <w:szCs w:val="20"/>
                <w:lang w:val="nl-BE"/>
              </w:rPr>
              <w:t>2013</w:t>
            </w:r>
          </w:p>
        </w:tc>
        <w:tc>
          <w:tcPr>
            <w:tcW w:w="113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90276F">
            <w:pPr>
              <w:widowControl w:val="0"/>
              <w:spacing w:line="240" w:lineRule="auto"/>
              <w:jc w:val="center"/>
              <w:rPr>
                <w:b/>
                <w:sz w:val="20"/>
                <w:szCs w:val="20"/>
                <w:lang w:val="nl-BE"/>
              </w:rPr>
            </w:pPr>
            <w:r w:rsidRPr="00E6515F">
              <w:rPr>
                <w:b/>
                <w:sz w:val="20"/>
                <w:szCs w:val="20"/>
                <w:lang w:val="nl-BE"/>
              </w:rPr>
              <w:t>2017</w:t>
            </w:r>
          </w:p>
        </w:tc>
        <w:tc>
          <w:tcPr>
            <w:tcW w:w="1843"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90276F">
            <w:pPr>
              <w:widowControl w:val="0"/>
              <w:spacing w:line="240" w:lineRule="auto"/>
              <w:jc w:val="center"/>
              <w:rPr>
                <w:b/>
                <w:sz w:val="20"/>
                <w:szCs w:val="20"/>
                <w:lang w:val="nl-BE"/>
              </w:rPr>
            </w:pPr>
            <w:r w:rsidRPr="00E6515F">
              <w:rPr>
                <w:b/>
                <w:sz w:val="20"/>
                <w:szCs w:val="20"/>
                <w:lang w:val="nl-BE"/>
              </w:rPr>
              <w:t xml:space="preserve">2018 (jan </w:t>
            </w:r>
            <w:r w:rsidR="00380DEB">
              <w:rPr>
                <w:b/>
                <w:sz w:val="20"/>
                <w:szCs w:val="20"/>
                <w:lang w:val="nl-BE"/>
              </w:rPr>
              <w:t xml:space="preserve">t/m </w:t>
            </w:r>
            <w:r w:rsidRPr="00E6515F">
              <w:rPr>
                <w:b/>
                <w:sz w:val="20"/>
                <w:szCs w:val="20"/>
                <w:lang w:val="nl-BE"/>
              </w:rPr>
              <w:t>juni)</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5</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6</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7</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3</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10</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4</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3</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17</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10</w:t>
            </w:r>
          </w:p>
        </w:tc>
      </w:tr>
      <w:tr w:rsidR="00CD1B8C" w:rsidRPr="00E6515F" w:rsidTr="0090276F">
        <w:trPr>
          <w:trHeight w:val="60"/>
        </w:trPr>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4</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12</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10</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4</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10</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5</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8D7D83">
              <w:rPr>
                <w:b/>
                <w:sz w:val="20"/>
                <w:szCs w:val="20"/>
                <w:lang w:val="nl-BE"/>
              </w:rPr>
              <w:t xml:space="preserve"> </w:t>
            </w:r>
            <w:r w:rsidRPr="00E6515F">
              <w:rPr>
                <w:b/>
                <w:sz w:val="20"/>
                <w:szCs w:val="20"/>
                <w:lang w:val="nl-BE"/>
              </w:rPr>
              <w:t>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rsidP="0090276F">
            <w:pPr>
              <w:widowControl w:val="0"/>
              <w:spacing w:line="240" w:lineRule="auto"/>
              <w:jc w:val="center"/>
              <w:rPr>
                <w:sz w:val="20"/>
                <w:szCs w:val="20"/>
                <w:lang w:val="nl-BE"/>
              </w:rPr>
            </w:pP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2</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3</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rPr>
                <w:b/>
                <w:sz w:val="20"/>
                <w:szCs w:val="20"/>
                <w:lang w:val="nl-BE"/>
              </w:rPr>
            </w:pPr>
            <w:r w:rsidRPr="00E6515F">
              <w:rPr>
                <w:b/>
                <w:sz w:val="20"/>
                <w:szCs w:val="20"/>
                <w:lang w:val="nl-BE"/>
              </w:rPr>
              <w:t>+65 j</w:t>
            </w:r>
            <w:r w:rsidR="008D7D83">
              <w:rPr>
                <w:b/>
                <w:sz w:val="20"/>
                <w:szCs w:val="20"/>
                <w:lang w:val="nl-BE"/>
              </w:rPr>
              <w:t>.</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rsidP="0090276F">
            <w:pPr>
              <w:widowControl w:val="0"/>
              <w:spacing w:line="240" w:lineRule="auto"/>
              <w:jc w:val="center"/>
              <w:rPr>
                <w:sz w:val="20"/>
                <w:szCs w:val="20"/>
                <w:lang w:val="nl-BE"/>
              </w:rPr>
            </w:pP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2</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sz w:val="20"/>
                <w:szCs w:val="20"/>
                <w:lang w:val="nl-BE"/>
              </w:rPr>
            </w:pPr>
            <w:r w:rsidRPr="00E6515F">
              <w:rPr>
                <w:sz w:val="20"/>
                <w:szCs w:val="20"/>
                <w:lang w:val="nl-BE"/>
              </w:rPr>
              <w:t>2</w:t>
            </w:r>
          </w:p>
        </w:tc>
      </w:tr>
      <w:tr w:rsidR="00CD1B8C" w:rsidRPr="00E6515F" w:rsidTr="0090276F">
        <w:tc>
          <w:tcPr>
            <w:tcW w:w="198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4D0F2C" w:rsidP="0090276F">
            <w:pPr>
              <w:widowControl w:val="0"/>
              <w:spacing w:line="240" w:lineRule="auto"/>
              <w:rPr>
                <w:b/>
                <w:i/>
                <w:sz w:val="20"/>
                <w:szCs w:val="20"/>
                <w:lang w:val="nl-BE"/>
              </w:rPr>
            </w:pPr>
            <w:r w:rsidRPr="00E6515F">
              <w:rPr>
                <w:b/>
                <w:i/>
                <w:sz w:val="20"/>
                <w:szCs w:val="20"/>
                <w:lang w:val="nl-BE"/>
              </w:rPr>
              <w:t>T</w:t>
            </w:r>
            <w:r w:rsidR="002859D7" w:rsidRPr="00E6515F">
              <w:rPr>
                <w:b/>
                <w:i/>
                <w:sz w:val="20"/>
                <w:szCs w:val="20"/>
                <w:lang w:val="nl-BE"/>
              </w:rPr>
              <w:t>otaal</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b/>
                <w:i/>
                <w:sz w:val="20"/>
                <w:szCs w:val="20"/>
                <w:lang w:val="nl-BE"/>
              </w:rPr>
            </w:pPr>
            <w:r w:rsidRPr="00E6515F">
              <w:rPr>
                <w:b/>
                <w:i/>
                <w:sz w:val="20"/>
                <w:szCs w:val="20"/>
                <w:lang w:val="nl-BE"/>
              </w:rPr>
              <w:t>19</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b/>
                <w:i/>
                <w:sz w:val="20"/>
                <w:szCs w:val="20"/>
                <w:lang w:val="nl-BE"/>
              </w:rPr>
            </w:pPr>
            <w:r w:rsidRPr="00E6515F">
              <w:rPr>
                <w:b/>
                <w:i/>
                <w:sz w:val="20"/>
                <w:szCs w:val="20"/>
                <w:lang w:val="nl-BE"/>
              </w:rPr>
              <w:t>59</w:t>
            </w:r>
          </w:p>
        </w:tc>
        <w:tc>
          <w:tcPr>
            <w:tcW w:w="1843"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90276F">
            <w:pPr>
              <w:widowControl w:val="0"/>
              <w:spacing w:line="240" w:lineRule="auto"/>
              <w:jc w:val="center"/>
              <w:rPr>
                <w:b/>
                <w:i/>
                <w:sz w:val="20"/>
                <w:szCs w:val="20"/>
                <w:lang w:val="nl-BE"/>
              </w:rPr>
            </w:pPr>
            <w:r w:rsidRPr="00E6515F">
              <w:rPr>
                <w:b/>
                <w:i/>
                <w:sz w:val="20"/>
                <w:szCs w:val="20"/>
                <w:lang w:val="nl-BE"/>
              </w:rPr>
              <w:t>41</w:t>
            </w:r>
          </w:p>
        </w:tc>
      </w:tr>
    </w:tbl>
    <w:p w:rsidR="00CD1B8C" w:rsidRPr="00E6515F" w:rsidRDefault="002859D7">
      <w:pPr>
        <w:rPr>
          <w:sz w:val="20"/>
          <w:szCs w:val="20"/>
          <w:lang w:val="nl-BE"/>
        </w:rPr>
      </w:pPr>
      <w:r w:rsidRPr="00E6515F">
        <w:rPr>
          <w:sz w:val="20"/>
          <w:szCs w:val="20"/>
          <w:lang w:val="nl-BE"/>
        </w:rPr>
        <w:t xml:space="preserve"> </w:t>
      </w:r>
    </w:p>
    <w:p w:rsidR="00CD1B8C" w:rsidRPr="00E6515F" w:rsidRDefault="002859D7" w:rsidP="009D5BE4">
      <w:pPr>
        <w:jc w:val="both"/>
        <w:rPr>
          <w:lang w:val="nl-BE"/>
        </w:rPr>
      </w:pPr>
      <w:r w:rsidRPr="00E6515F">
        <w:rPr>
          <w:lang w:val="nl-BE"/>
        </w:rPr>
        <w:t>We zien een stijgende evolutie in het aantal personen dat ondersteund wordt door een observatie</w:t>
      </w:r>
      <w:r w:rsidR="008D7D83">
        <w:rPr>
          <w:lang w:val="nl-BE"/>
        </w:rPr>
        <w:noBreakHyphen/>
      </w:r>
      <w:r w:rsidRPr="00E6515F">
        <w:rPr>
          <w:lang w:val="nl-BE"/>
        </w:rPr>
        <w:t xml:space="preserve">, diagnose- en behandelingsunit (ODB). Voor 2008 worden geen cijfers gegeven omdat er toen nog geen capaciteit </w:t>
      </w:r>
      <w:r w:rsidR="008D7D83">
        <w:rPr>
          <w:lang w:val="nl-BE"/>
        </w:rPr>
        <w:t>observatie-, diagnose- en behandelingsunits</w:t>
      </w:r>
      <w:r w:rsidR="008D7D83" w:rsidRPr="00E6515F">
        <w:rPr>
          <w:lang w:val="nl-BE"/>
        </w:rPr>
        <w:t xml:space="preserve"> </w:t>
      </w:r>
      <w:r w:rsidRPr="00E6515F">
        <w:rPr>
          <w:lang w:val="nl-BE"/>
        </w:rPr>
        <w:t xml:space="preserve">was. Meer informatie over erkenningen, doelstellingen en oprichting van </w:t>
      </w:r>
      <w:r w:rsidR="008D7D83">
        <w:rPr>
          <w:lang w:val="nl-BE"/>
        </w:rPr>
        <w:t>observatie-, diagnose- en behandelingsunits</w:t>
      </w:r>
      <w:r w:rsidRPr="00E6515F">
        <w:rPr>
          <w:lang w:val="nl-BE"/>
        </w:rPr>
        <w:t xml:space="preserve"> wordt gegeven in deel </w:t>
      </w:r>
      <w:r w:rsidR="0013775C" w:rsidRPr="00E6515F">
        <w:rPr>
          <w:lang w:val="nl-BE"/>
        </w:rPr>
        <w:fldChar w:fldCharType="begin"/>
      </w:r>
      <w:r w:rsidR="0013775C" w:rsidRPr="00E6515F">
        <w:rPr>
          <w:lang w:val="nl-BE"/>
        </w:rPr>
        <w:instrText xml:space="preserve"> REF _Ref528756326 \r \h </w:instrText>
      </w:r>
      <w:r w:rsidR="0013775C" w:rsidRPr="00E6515F">
        <w:rPr>
          <w:lang w:val="nl-BE"/>
        </w:rPr>
      </w:r>
      <w:r w:rsidR="0013775C" w:rsidRPr="00E6515F">
        <w:rPr>
          <w:lang w:val="nl-BE"/>
        </w:rPr>
        <w:fldChar w:fldCharType="separate"/>
      </w:r>
      <w:r w:rsidR="0062760A">
        <w:rPr>
          <w:lang w:val="nl-BE"/>
        </w:rPr>
        <w:t>8.2.3</w:t>
      </w:r>
      <w:r w:rsidR="0013775C" w:rsidRPr="00E6515F">
        <w:rPr>
          <w:lang w:val="nl-BE"/>
        </w:rPr>
        <w:fldChar w:fldCharType="end"/>
      </w:r>
      <w:r w:rsidR="0013775C" w:rsidRPr="00E6515F">
        <w:rPr>
          <w:lang w:val="nl-BE"/>
        </w:rPr>
        <w:t>.</w:t>
      </w:r>
      <w:r w:rsidR="004A35A5" w:rsidRPr="00E6515F">
        <w:rPr>
          <w:lang w:val="nl-BE"/>
        </w:rPr>
        <w:t xml:space="preserve"> In 2018 zien we een lager aantal gebruikers dan in 2017. </w:t>
      </w:r>
      <w:r w:rsidR="008D7D83" w:rsidRPr="00E6515F">
        <w:rPr>
          <w:lang w:val="nl-BE"/>
        </w:rPr>
        <w:t>D</w:t>
      </w:r>
      <w:r w:rsidR="008D7D83">
        <w:rPr>
          <w:lang w:val="nl-BE"/>
        </w:rPr>
        <w:t>a</w:t>
      </w:r>
      <w:r w:rsidR="008D7D83" w:rsidRPr="00E6515F">
        <w:rPr>
          <w:lang w:val="nl-BE"/>
        </w:rPr>
        <w:t xml:space="preserve">t </w:t>
      </w:r>
      <w:r w:rsidR="004A35A5" w:rsidRPr="00E6515F">
        <w:rPr>
          <w:lang w:val="nl-BE"/>
        </w:rPr>
        <w:t xml:space="preserve">betekent echter niet dat er minder mensen gebruik </w:t>
      </w:r>
      <w:r w:rsidR="008D7D83">
        <w:rPr>
          <w:lang w:val="nl-BE"/>
        </w:rPr>
        <w:t>maakten</w:t>
      </w:r>
      <w:r w:rsidR="008D7D83" w:rsidRPr="00E6515F">
        <w:rPr>
          <w:lang w:val="nl-BE"/>
        </w:rPr>
        <w:t xml:space="preserve"> </w:t>
      </w:r>
      <w:r w:rsidR="004A35A5" w:rsidRPr="00E6515F">
        <w:rPr>
          <w:lang w:val="nl-BE"/>
        </w:rPr>
        <w:t xml:space="preserve">van </w:t>
      </w:r>
      <w:r w:rsidR="008D7D83">
        <w:rPr>
          <w:lang w:val="nl-BE"/>
        </w:rPr>
        <w:t>die</w:t>
      </w:r>
      <w:r w:rsidR="008D7D83" w:rsidRPr="00E6515F">
        <w:rPr>
          <w:lang w:val="nl-BE"/>
        </w:rPr>
        <w:t xml:space="preserve"> </w:t>
      </w:r>
      <w:r w:rsidR="004A35A5" w:rsidRPr="00E6515F">
        <w:rPr>
          <w:lang w:val="nl-BE"/>
        </w:rPr>
        <w:t xml:space="preserve">units in 2018. De gebruikte parameterperiode in 2013 en 2017 is een volledig jaar, terwijl </w:t>
      </w:r>
      <w:r w:rsidR="008D7D83">
        <w:rPr>
          <w:lang w:val="nl-BE"/>
        </w:rPr>
        <w:t>dat</w:t>
      </w:r>
      <w:r w:rsidR="008D7D83" w:rsidRPr="00E6515F">
        <w:rPr>
          <w:lang w:val="nl-BE"/>
        </w:rPr>
        <w:t xml:space="preserve"> </w:t>
      </w:r>
      <w:r w:rsidR="004A35A5" w:rsidRPr="00E6515F">
        <w:rPr>
          <w:lang w:val="nl-BE"/>
        </w:rPr>
        <w:t xml:space="preserve">in 2018 een half jaar is. Gezien de gemiddelde </w:t>
      </w:r>
      <w:r w:rsidR="004A35A5" w:rsidRPr="00E6515F">
        <w:rPr>
          <w:lang w:val="nl-BE"/>
        </w:rPr>
        <w:lastRenderedPageBreak/>
        <w:t xml:space="preserve">verblijfsduur in een unit eerder laag is, </w:t>
      </w:r>
      <w:r w:rsidR="00873A39">
        <w:rPr>
          <w:lang w:val="nl-BE"/>
        </w:rPr>
        <w:t xml:space="preserve">ligt </w:t>
      </w:r>
      <w:r w:rsidR="004A35A5" w:rsidRPr="00E6515F">
        <w:rPr>
          <w:lang w:val="nl-BE"/>
        </w:rPr>
        <w:t xml:space="preserve">het aantal gebruikers op jaarbasis in 2018 </w:t>
      </w:r>
      <w:r w:rsidR="00873A39">
        <w:rPr>
          <w:lang w:val="nl-BE"/>
        </w:rPr>
        <w:t>hoger</w:t>
      </w:r>
      <w:r w:rsidR="004A35A5" w:rsidRPr="00E6515F">
        <w:rPr>
          <w:lang w:val="nl-BE"/>
        </w:rPr>
        <w:t xml:space="preserve"> in vergelijking met het aantal op basis van een half jaar. </w:t>
      </w:r>
    </w:p>
    <w:p w:rsidR="00CD1B8C" w:rsidRPr="00E6515F" w:rsidRDefault="00CD1B8C">
      <w:pPr>
        <w:rPr>
          <w:b/>
          <w:sz w:val="28"/>
          <w:szCs w:val="28"/>
          <w:lang w:val="nl-BE"/>
        </w:rPr>
      </w:pPr>
    </w:p>
    <w:p w:rsidR="00CD1B8C" w:rsidRPr="00E6515F" w:rsidRDefault="002859D7" w:rsidP="00743AC9">
      <w:pPr>
        <w:pStyle w:val="Kop1"/>
        <w:widowControl w:val="0"/>
        <w:numPr>
          <w:ilvl w:val="1"/>
          <w:numId w:val="1"/>
        </w:numPr>
        <w:pBdr>
          <w:top w:val="nil"/>
          <w:left w:val="nil"/>
          <w:bottom w:val="nil"/>
          <w:right w:val="nil"/>
          <w:between w:val="nil"/>
        </w:pBdr>
        <w:rPr>
          <w:sz w:val="34"/>
          <w:szCs w:val="34"/>
          <w:lang w:val="nl-BE"/>
        </w:rPr>
      </w:pPr>
      <w:bookmarkStart w:id="36" w:name="_Toc528227888"/>
      <w:bookmarkStart w:id="37" w:name="_Toc536797804"/>
      <w:r w:rsidRPr="00E6515F">
        <w:rPr>
          <w:sz w:val="34"/>
          <w:szCs w:val="34"/>
          <w:lang w:val="nl-BE"/>
        </w:rPr>
        <w:t>Gegevens met betrekking tot units voor geïnterneerden</w:t>
      </w:r>
      <w:bookmarkEnd w:id="36"/>
      <w:bookmarkEnd w:id="37"/>
      <w:r w:rsidRPr="00E6515F">
        <w:rPr>
          <w:sz w:val="34"/>
          <w:szCs w:val="34"/>
          <w:lang w:val="nl-BE"/>
        </w:rPr>
        <w:t xml:space="preserve"> </w:t>
      </w:r>
    </w:p>
    <w:p w:rsidR="00CD1B8C" w:rsidRPr="00E6515F" w:rsidRDefault="00CD1B8C">
      <w:pPr>
        <w:rPr>
          <w:rFonts w:ascii="Arial" w:eastAsia="Arial" w:hAnsi="Arial" w:cs="Arial"/>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17</w:t>
      </w:r>
      <w:r w:rsidRPr="00E6515F">
        <w:rPr>
          <w:lang w:val="nl-BE"/>
        </w:rPr>
        <w:fldChar w:fldCharType="end"/>
      </w:r>
      <w:r w:rsidRPr="00E6515F">
        <w:rPr>
          <w:lang w:val="nl-BE"/>
        </w:rPr>
        <w:t>: Evolutie van het aantal gebruikers per leeftijdscategorie</w:t>
      </w:r>
    </w:p>
    <w:tbl>
      <w:tblPr>
        <w:tblStyle w:val="af6"/>
        <w:tblW w:w="6521"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173"/>
        <w:gridCol w:w="1087"/>
        <w:gridCol w:w="1087"/>
        <w:gridCol w:w="1087"/>
        <w:gridCol w:w="1087"/>
      </w:tblGrid>
      <w:tr w:rsidR="00CD1B8C" w:rsidRPr="00E6515F" w:rsidTr="00EC561E">
        <w:tc>
          <w:tcPr>
            <w:tcW w:w="2173"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8834AD">
            <w:pPr>
              <w:widowControl w:val="0"/>
              <w:rPr>
                <w:b/>
                <w:sz w:val="20"/>
                <w:szCs w:val="20"/>
                <w:lang w:val="nl-BE"/>
              </w:rPr>
            </w:pPr>
            <w:r w:rsidRPr="00E6515F">
              <w:rPr>
                <w:b/>
                <w:sz w:val="20"/>
                <w:szCs w:val="20"/>
                <w:lang w:val="nl-BE"/>
              </w:rPr>
              <w:t>Leeftijdscategorie</w:t>
            </w:r>
          </w:p>
        </w:tc>
        <w:tc>
          <w:tcPr>
            <w:tcW w:w="10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2008</w:t>
            </w:r>
          </w:p>
        </w:tc>
        <w:tc>
          <w:tcPr>
            <w:tcW w:w="10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2013</w:t>
            </w:r>
          </w:p>
        </w:tc>
        <w:tc>
          <w:tcPr>
            <w:tcW w:w="10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2017</w:t>
            </w:r>
          </w:p>
        </w:tc>
        <w:tc>
          <w:tcPr>
            <w:tcW w:w="10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widowControl w:val="0"/>
              <w:jc w:val="center"/>
              <w:rPr>
                <w:b/>
                <w:sz w:val="20"/>
                <w:szCs w:val="20"/>
                <w:lang w:val="nl-BE"/>
              </w:rPr>
            </w:pPr>
            <w:r w:rsidRPr="00E6515F">
              <w:rPr>
                <w:b/>
                <w:sz w:val="20"/>
                <w:szCs w:val="20"/>
                <w:lang w:val="nl-BE"/>
              </w:rPr>
              <w:t xml:space="preserve">2018 (jan </w:t>
            </w:r>
            <w:r w:rsidR="00380DEB">
              <w:rPr>
                <w:b/>
                <w:sz w:val="20"/>
                <w:szCs w:val="20"/>
                <w:lang w:val="nl-BE"/>
              </w:rPr>
              <w:t xml:space="preserve">t/m </w:t>
            </w:r>
            <w:r w:rsidRPr="00E6515F">
              <w:rPr>
                <w:b/>
                <w:sz w:val="20"/>
                <w:szCs w:val="20"/>
                <w:lang w:val="nl-BE"/>
              </w:rPr>
              <w:t>juni)</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18 </w:t>
            </w:r>
            <w:r w:rsidR="00380DEB">
              <w:rPr>
                <w:b/>
                <w:sz w:val="20"/>
                <w:szCs w:val="20"/>
                <w:lang w:val="nl-BE"/>
              </w:rPr>
              <w:t xml:space="preserve">t/m </w:t>
            </w:r>
            <w:r w:rsidRPr="00E6515F">
              <w:rPr>
                <w:b/>
                <w:sz w:val="20"/>
                <w:szCs w:val="20"/>
                <w:lang w:val="nl-BE"/>
              </w:rPr>
              <w:t>20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5</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4</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18</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16</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9</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11</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10</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14</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14</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8E1DCB">
              <w:rPr>
                <w:b/>
                <w:sz w:val="20"/>
                <w:szCs w:val="20"/>
                <w:lang w:val="nl-BE"/>
              </w:rPr>
              <w:t xml:space="preserve"> </w:t>
            </w:r>
            <w:r w:rsidRPr="00E6515F">
              <w:rPr>
                <w:b/>
                <w:sz w:val="20"/>
                <w:szCs w:val="20"/>
                <w:lang w:val="nl-BE"/>
              </w:rPr>
              <w:t>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1</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3</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sz w:val="20"/>
                <w:szCs w:val="20"/>
                <w:lang w:val="nl-BE"/>
              </w:rPr>
            </w:pPr>
            <w:r w:rsidRPr="00E6515F">
              <w:rPr>
                <w:sz w:val="20"/>
                <w:szCs w:val="20"/>
                <w:lang w:val="nl-BE"/>
              </w:rPr>
              <w:t>7</w:t>
            </w: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rPr>
                <w:b/>
                <w:sz w:val="20"/>
                <w:szCs w:val="20"/>
                <w:lang w:val="nl-BE"/>
              </w:rPr>
            </w:pPr>
            <w:r w:rsidRPr="00E6515F">
              <w:rPr>
                <w:b/>
                <w:sz w:val="20"/>
                <w:szCs w:val="20"/>
                <w:lang w:val="nl-BE"/>
              </w:rPr>
              <w:t>+65 j</w:t>
            </w:r>
            <w:r w:rsidR="008E1DCB">
              <w:rPr>
                <w:b/>
                <w:sz w:val="20"/>
                <w:szCs w:val="20"/>
                <w:lang w:val="nl-BE"/>
              </w:rPr>
              <w:t>.</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pPr>
              <w:widowControl w:val="0"/>
              <w:jc w:val="center"/>
              <w:rPr>
                <w:sz w:val="20"/>
                <w:szCs w:val="20"/>
                <w:lang w:val="nl-BE"/>
              </w:rPr>
            </w:pPr>
          </w:p>
        </w:tc>
      </w:tr>
      <w:tr w:rsidR="00CD1B8C" w:rsidRPr="00E6515F" w:rsidTr="00EC561E">
        <w:tc>
          <w:tcPr>
            <w:tcW w:w="2173"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8834AD" w:rsidP="008834AD">
            <w:pPr>
              <w:widowControl w:val="0"/>
              <w:rPr>
                <w:b/>
                <w:i/>
                <w:sz w:val="20"/>
                <w:szCs w:val="20"/>
                <w:lang w:val="nl-BE"/>
              </w:rPr>
            </w:pPr>
            <w:r w:rsidRPr="00E6515F">
              <w:rPr>
                <w:b/>
                <w:i/>
                <w:sz w:val="20"/>
                <w:szCs w:val="20"/>
                <w:lang w:val="nl-BE"/>
              </w:rPr>
              <w:t>T</w:t>
            </w:r>
            <w:r w:rsidR="002859D7" w:rsidRPr="00E6515F">
              <w:rPr>
                <w:b/>
                <w:i/>
                <w:sz w:val="20"/>
                <w:szCs w:val="20"/>
                <w:lang w:val="nl-BE"/>
              </w:rPr>
              <w:t>otaal</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32</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35</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54</w:t>
            </w:r>
          </w:p>
        </w:tc>
        <w:tc>
          <w:tcPr>
            <w:tcW w:w="108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jc w:val="center"/>
              <w:rPr>
                <w:b/>
                <w:i/>
                <w:sz w:val="20"/>
                <w:szCs w:val="20"/>
                <w:lang w:val="nl-BE"/>
              </w:rPr>
            </w:pPr>
            <w:r w:rsidRPr="00E6515F">
              <w:rPr>
                <w:b/>
                <w:i/>
                <w:sz w:val="20"/>
                <w:szCs w:val="20"/>
                <w:lang w:val="nl-BE"/>
              </w:rPr>
              <w:t>52</w:t>
            </w:r>
          </w:p>
        </w:tc>
      </w:tr>
    </w:tbl>
    <w:p w:rsidR="00CD1B8C" w:rsidRPr="00E6515F" w:rsidRDefault="00CD1B8C">
      <w:pPr>
        <w:rPr>
          <w:lang w:val="nl-BE"/>
        </w:rPr>
      </w:pPr>
    </w:p>
    <w:p w:rsidR="00CD1B8C" w:rsidRPr="00E6515F" w:rsidRDefault="002859D7">
      <w:pPr>
        <w:jc w:val="both"/>
        <w:rPr>
          <w:lang w:val="nl-BE"/>
        </w:rPr>
      </w:pPr>
      <w:r w:rsidRPr="00E6515F">
        <w:rPr>
          <w:lang w:val="nl-BE"/>
        </w:rPr>
        <w:t>We zien een stijgend</w:t>
      </w:r>
      <w:r w:rsidR="00873A39">
        <w:rPr>
          <w:lang w:val="nl-BE"/>
        </w:rPr>
        <w:t>e</w:t>
      </w:r>
      <w:r w:rsidRPr="00E6515F">
        <w:rPr>
          <w:lang w:val="nl-BE"/>
        </w:rPr>
        <w:t xml:space="preserve"> evolutie in het aantal personen dat in unit</w:t>
      </w:r>
      <w:r w:rsidR="008E1DCB">
        <w:rPr>
          <w:lang w:val="nl-BE"/>
        </w:rPr>
        <w:t>s</w:t>
      </w:r>
      <w:r w:rsidRPr="00E6515F">
        <w:rPr>
          <w:lang w:val="nl-BE"/>
        </w:rPr>
        <w:t xml:space="preserve"> voor geïnterneerden ondersteund wordt. </w:t>
      </w:r>
      <w:r w:rsidR="008E1DCB">
        <w:rPr>
          <w:lang w:val="nl-BE"/>
        </w:rPr>
        <w:t>Het gaat om</w:t>
      </w:r>
      <w:r w:rsidRPr="00E6515F">
        <w:rPr>
          <w:lang w:val="nl-BE"/>
        </w:rPr>
        <w:t xml:space="preserve"> mensen die in een residentiële setting ondersteund worden. Naast </w:t>
      </w:r>
      <w:r w:rsidR="008E1DCB" w:rsidRPr="00E6515F">
        <w:rPr>
          <w:lang w:val="nl-BE"/>
        </w:rPr>
        <w:t>d</w:t>
      </w:r>
      <w:r w:rsidR="008E1DCB">
        <w:rPr>
          <w:lang w:val="nl-BE"/>
        </w:rPr>
        <w:t>ie</w:t>
      </w:r>
      <w:r w:rsidR="008E1DCB" w:rsidRPr="00E6515F">
        <w:rPr>
          <w:lang w:val="nl-BE"/>
        </w:rPr>
        <w:t xml:space="preserve"> </w:t>
      </w:r>
      <w:r w:rsidRPr="00E6515F">
        <w:rPr>
          <w:lang w:val="nl-BE"/>
        </w:rPr>
        <w:t>residentiële units is er ook de mogelijkheid voor geïnterneerden om ondersteuning te krijgen in de gevangenis. Meer informatie over geïnterneerden, erkenningen van units geïnterneerden en de ondersteuningsmogelijkheden van geïnter</w:t>
      </w:r>
      <w:r w:rsidR="0013775C" w:rsidRPr="00E6515F">
        <w:rPr>
          <w:lang w:val="nl-BE"/>
        </w:rPr>
        <w:t xml:space="preserve">neerden wordt gegeven in deel </w:t>
      </w:r>
      <w:r w:rsidR="0013775C" w:rsidRPr="00E6515F">
        <w:rPr>
          <w:lang w:val="nl-BE"/>
        </w:rPr>
        <w:fldChar w:fldCharType="begin"/>
      </w:r>
      <w:r w:rsidR="0013775C" w:rsidRPr="00E6515F">
        <w:rPr>
          <w:lang w:val="nl-BE"/>
        </w:rPr>
        <w:instrText xml:space="preserve"> REF _Ref528756353 \r \h </w:instrText>
      </w:r>
      <w:r w:rsidR="0013775C" w:rsidRPr="00E6515F">
        <w:rPr>
          <w:lang w:val="nl-BE"/>
        </w:rPr>
      </w:r>
      <w:r w:rsidR="0013775C" w:rsidRPr="00E6515F">
        <w:rPr>
          <w:lang w:val="nl-BE"/>
        </w:rPr>
        <w:fldChar w:fldCharType="separate"/>
      </w:r>
      <w:r w:rsidR="0062760A">
        <w:rPr>
          <w:lang w:val="nl-BE"/>
        </w:rPr>
        <w:t>8.2.4</w:t>
      </w:r>
      <w:r w:rsidR="0013775C" w:rsidRPr="00E6515F">
        <w:rPr>
          <w:lang w:val="nl-BE"/>
        </w:rPr>
        <w:fldChar w:fldCharType="end"/>
      </w:r>
      <w:r w:rsidR="0013775C" w:rsidRPr="00E6515F">
        <w:rPr>
          <w:lang w:val="nl-BE"/>
        </w:rPr>
        <w:t>.</w:t>
      </w:r>
      <w:r w:rsidRPr="00E6515F">
        <w:rPr>
          <w:lang w:val="nl-BE"/>
        </w:rPr>
        <w:t xml:space="preserve"> </w:t>
      </w:r>
    </w:p>
    <w:p w:rsidR="00CD1B8C" w:rsidRPr="00E6515F" w:rsidRDefault="00CD1B8C">
      <w:pPr>
        <w:jc w:val="both"/>
        <w:rPr>
          <w:lang w:val="nl-BE"/>
        </w:rPr>
      </w:pPr>
    </w:p>
    <w:p w:rsidR="00CD1B8C" w:rsidRPr="00E6515F" w:rsidRDefault="002859D7" w:rsidP="00743AC9">
      <w:pPr>
        <w:pStyle w:val="Kop1"/>
        <w:widowControl w:val="0"/>
        <w:numPr>
          <w:ilvl w:val="1"/>
          <w:numId w:val="1"/>
        </w:numPr>
        <w:pBdr>
          <w:top w:val="nil"/>
          <w:left w:val="nil"/>
          <w:bottom w:val="nil"/>
          <w:right w:val="nil"/>
          <w:between w:val="nil"/>
        </w:pBdr>
        <w:rPr>
          <w:sz w:val="34"/>
          <w:szCs w:val="34"/>
          <w:lang w:val="nl-BE"/>
        </w:rPr>
      </w:pPr>
      <w:bookmarkStart w:id="38" w:name="_Toc528227889"/>
      <w:bookmarkStart w:id="39" w:name="_Toc536797805"/>
      <w:r w:rsidRPr="00E6515F">
        <w:rPr>
          <w:sz w:val="34"/>
          <w:szCs w:val="34"/>
          <w:lang w:val="nl-BE"/>
        </w:rPr>
        <w:t>Gegevens met betrekking tot hulpmiddelen</w:t>
      </w:r>
      <w:bookmarkEnd w:id="38"/>
      <w:r w:rsidR="008E1DCB">
        <w:rPr>
          <w:sz w:val="34"/>
          <w:szCs w:val="34"/>
          <w:lang w:val="nl-BE"/>
        </w:rPr>
        <w:t xml:space="preserve"> en aanpassingen</w:t>
      </w:r>
      <w:bookmarkEnd w:id="39"/>
    </w:p>
    <w:p w:rsidR="00CD1B8C" w:rsidRPr="00E6515F" w:rsidRDefault="00CD1B8C">
      <w:pPr>
        <w:rPr>
          <w:lang w:val="nl-BE"/>
        </w:rPr>
      </w:pPr>
    </w:p>
    <w:p w:rsidR="00CD1B8C" w:rsidRPr="00E6515F" w:rsidRDefault="002859D7" w:rsidP="009D5BE4">
      <w:pPr>
        <w:jc w:val="both"/>
        <w:rPr>
          <w:lang w:val="nl-BE"/>
        </w:rPr>
      </w:pPr>
      <w:r w:rsidRPr="00E6515F">
        <w:rPr>
          <w:lang w:val="nl-BE"/>
        </w:rPr>
        <w:t>Hulpmiddelen en aanpassingen kunnen een persoon met een handicap helpen om activiteiten waarbij hij moeilijkheden ondervindt, uit te voeren: een traplift om de trap te overbruggen, een beeldschermloep om tekst vergroot te lezen, een trilwekker om gewekt te worden, een aangepaste woning, auto, computer of fiets</w:t>
      </w:r>
      <w:r w:rsidR="008E1DCB">
        <w:rPr>
          <w:lang w:val="nl-BE"/>
        </w:rPr>
        <w:t xml:space="preserve"> </w:t>
      </w:r>
      <w:r w:rsidRPr="00E6515F">
        <w:rPr>
          <w:lang w:val="nl-BE"/>
        </w:rPr>
        <w:t xml:space="preserve">... Het </w:t>
      </w:r>
      <w:r w:rsidR="00627480" w:rsidRPr="00E6515F">
        <w:rPr>
          <w:lang w:val="nl-BE"/>
        </w:rPr>
        <w:t>VAPH</w:t>
      </w:r>
      <w:r w:rsidRPr="00E6515F">
        <w:rPr>
          <w:lang w:val="nl-BE"/>
        </w:rPr>
        <w:t xml:space="preserve"> geeft tegemoetkomingen voor hulpmiddelen en aanpassingen. Ook voor blindengeleidehonden, incontinentiemateriaal en pedagogische hulp kan een persoon met een handicap bij het </w:t>
      </w:r>
      <w:r w:rsidR="00627480" w:rsidRPr="00E6515F">
        <w:rPr>
          <w:lang w:val="nl-BE"/>
        </w:rPr>
        <w:t>VAPH</w:t>
      </w:r>
      <w:r w:rsidRPr="00E6515F">
        <w:rPr>
          <w:lang w:val="nl-BE"/>
        </w:rPr>
        <w:t xml:space="preserve"> terecht. </w:t>
      </w:r>
    </w:p>
    <w:p w:rsidR="00CD1B8C" w:rsidRPr="00E6515F" w:rsidRDefault="00CD1B8C">
      <w:pPr>
        <w:rPr>
          <w:lang w:val="nl-BE"/>
        </w:rPr>
      </w:pPr>
    </w:p>
    <w:p w:rsidR="00073427" w:rsidRPr="00E6515F" w:rsidRDefault="002859D7">
      <w:pPr>
        <w:rPr>
          <w:b/>
          <w:sz w:val="30"/>
          <w:szCs w:val="30"/>
          <w:lang w:val="nl-BE"/>
        </w:rPr>
      </w:pPr>
      <w:r w:rsidRPr="00E6515F">
        <w:rPr>
          <w:lang w:val="nl-BE"/>
        </w:rPr>
        <w:t xml:space="preserve">De hulpmiddelen worden gebundeld in de refertelijst. </w:t>
      </w:r>
      <w:r w:rsidR="008E1DCB" w:rsidRPr="00E6515F">
        <w:rPr>
          <w:lang w:val="nl-BE"/>
        </w:rPr>
        <w:t>D</w:t>
      </w:r>
      <w:r w:rsidR="008E1DCB">
        <w:rPr>
          <w:lang w:val="nl-BE"/>
        </w:rPr>
        <w:t>ie</w:t>
      </w:r>
      <w:r w:rsidR="008E1DCB" w:rsidRPr="00E6515F">
        <w:rPr>
          <w:lang w:val="nl-BE"/>
        </w:rPr>
        <w:t xml:space="preserve"> </w:t>
      </w:r>
      <w:r w:rsidRPr="00E6515F">
        <w:rPr>
          <w:lang w:val="nl-BE"/>
        </w:rPr>
        <w:t>lijst geeft een overzicht van de tegemoetkomingen (refertebedragen) voor verschillende hulpmiddelen en aanpassingen met de bijhorende refertetermijnen.</w:t>
      </w:r>
      <w:bookmarkStart w:id="40" w:name="_g8fomk2fjoi2" w:colFirst="0" w:colLast="0"/>
      <w:bookmarkStart w:id="41" w:name="_8zy24gjnj23k" w:colFirst="0" w:colLast="0"/>
      <w:bookmarkStart w:id="42" w:name="_Toc528227890"/>
      <w:bookmarkEnd w:id="40"/>
      <w:bookmarkEnd w:id="41"/>
    </w:p>
    <w:p w:rsidR="0079403F" w:rsidRPr="00E6515F" w:rsidRDefault="0079403F" w:rsidP="00691346">
      <w:pPr>
        <w:pStyle w:val="Kop1"/>
        <w:widowControl w:val="0"/>
        <w:numPr>
          <w:ilvl w:val="2"/>
          <w:numId w:val="1"/>
        </w:numPr>
        <w:pBdr>
          <w:top w:val="nil"/>
          <w:left w:val="nil"/>
          <w:bottom w:val="nil"/>
          <w:right w:val="nil"/>
          <w:between w:val="nil"/>
        </w:pBdr>
        <w:rPr>
          <w:sz w:val="30"/>
          <w:szCs w:val="30"/>
          <w:lang w:val="nl-BE"/>
        </w:rPr>
      </w:pPr>
      <w:bookmarkStart w:id="43" w:name="_Toc536797806"/>
      <w:r w:rsidRPr="00E6515F">
        <w:rPr>
          <w:sz w:val="30"/>
          <w:szCs w:val="30"/>
          <w:lang w:val="nl-BE"/>
        </w:rPr>
        <w:lastRenderedPageBreak/>
        <w:t>Aantal actieve gebruikers van hulpmiddelen</w:t>
      </w:r>
      <w:r w:rsidR="008E1DCB">
        <w:rPr>
          <w:sz w:val="30"/>
          <w:szCs w:val="30"/>
          <w:lang w:val="nl-BE"/>
        </w:rPr>
        <w:t xml:space="preserve"> en aanpassingen</w:t>
      </w:r>
      <w:bookmarkEnd w:id="43"/>
    </w:p>
    <w:p w:rsidR="000C6D5F" w:rsidRPr="00E6515F" w:rsidRDefault="00F53E86" w:rsidP="00F53E86">
      <w:pPr>
        <w:pStyle w:val="Bijschrif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18</w:t>
      </w:r>
      <w:r w:rsidRPr="00E6515F">
        <w:rPr>
          <w:lang w:val="nl-BE"/>
        </w:rPr>
        <w:fldChar w:fldCharType="end"/>
      </w:r>
      <w:r w:rsidRPr="00E6515F">
        <w:rPr>
          <w:lang w:val="nl-BE"/>
        </w:rPr>
        <w:t xml:space="preserve">: </w:t>
      </w:r>
      <w:r w:rsidR="000C6D5F" w:rsidRPr="00E6515F">
        <w:rPr>
          <w:lang w:val="nl-BE"/>
        </w:rPr>
        <w:t xml:space="preserve">Aantal actieve gebruikers </w:t>
      </w:r>
      <w:r w:rsidR="00866A2E" w:rsidRPr="00E6515F">
        <w:rPr>
          <w:lang w:val="nl-BE"/>
        </w:rPr>
        <w:t xml:space="preserve">van hulpmiddelen en aanpassingen </w:t>
      </w:r>
      <w:r w:rsidR="000C6D5F" w:rsidRPr="00E6515F">
        <w:rPr>
          <w:lang w:val="nl-BE"/>
        </w:rPr>
        <w:t>in 2013 en 2017</w:t>
      </w:r>
    </w:p>
    <w:tbl>
      <w:tblPr>
        <w:tblW w:w="37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088"/>
        <w:gridCol w:w="1089"/>
      </w:tblGrid>
      <w:tr w:rsidR="00A62A3F" w:rsidRPr="00E6515F" w:rsidTr="00B74E9A">
        <w:trPr>
          <w:trHeight w:val="340"/>
        </w:trPr>
        <w:tc>
          <w:tcPr>
            <w:tcW w:w="1622" w:type="dxa"/>
            <w:shd w:val="clear" w:color="auto" w:fill="BFBFBF" w:themeFill="background1" w:themeFillShade="BF"/>
            <w:noWrap/>
            <w:vAlign w:val="center"/>
            <w:hideMark/>
          </w:tcPr>
          <w:p w:rsidR="00A62A3F" w:rsidRPr="00E6515F" w:rsidRDefault="00A62A3F" w:rsidP="00B74E9A">
            <w:pPr>
              <w:spacing w:line="240" w:lineRule="auto"/>
              <w:rPr>
                <w:rFonts w:asciiTheme="majorHAnsi" w:eastAsia="Times New Roman" w:hAnsiTheme="majorHAnsi" w:cs="Tahoma"/>
                <w:b/>
                <w:bCs/>
                <w:color w:val="000000"/>
                <w:sz w:val="20"/>
                <w:szCs w:val="20"/>
                <w:lang w:val="nl-BE"/>
              </w:rPr>
            </w:pPr>
            <w:r w:rsidRPr="00E6515F">
              <w:rPr>
                <w:rFonts w:asciiTheme="majorHAnsi" w:eastAsia="Times New Roman" w:hAnsiTheme="majorHAnsi" w:cs="Tahoma"/>
                <w:b/>
                <w:bCs/>
                <w:color w:val="000000"/>
                <w:sz w:val="20"/>
                <w:szCs w:val="20"/>
                <w:lang w:val="nl-BE"/>
              </w:rPr>
              <w:t>Leeftijdscategorie</w:t>
            </w:r>
          </w:p>
        </w:tc>
        <w:tc>
          <w:tcPr>
            <w:tcW w:w="1088" w:type="dxa"/>
            <w:shd w:val="clear" w:color="auto" w:fill="BFBFBF" w:themeFill="background1" w:themeFillShade="BF"/>
            <w:noWrap/>
            <w:vAlign w:val="center"/>
            <w:hideMark/>
          </w:tcPr>
          <w:p w:rsidR="00A62A3F" w:rsidRPr="00E6515F" w:rsidRDefault="00791F13" w:rsidP="00B74E9A">
            <w:pPr>
              <w:spacing w:line="240" w:lineRule="auto"/>
              <w:jc w:val="center"/>
              <w:rPr>
                <w:rFonts w:asciiTheme="majorHAnsi" w:eastAsia="Times New Roman" w:hAnsiTheme="majorHAnsi" w:cs="Tahoma"/>
                <w:b/>
                <w:bCs/>
                <w:color w:val="000000"/>
                <w:sz w:val="20"/>
                <w:szCs w:val="20"/>
                <w:lang w:val="nl-BE"/>
              </w:rPr>
            </w:pPr>
            <w:r w:rsidRPr="00E6515F">
              <w:rPr>
                <w:rFonts w:asciiTheme="majorHAnsi" w:eastAsia="Times New Roman" w:hAnsiTheme="majorHAnsi" w:cs="Tahoma"/>
                <w:b/>
                <w:bCs/>
                <w:color w:val="000000"/>
                <w:sz w:val="20"/>
                <w:szCs w:val="20"/>
                <w:lang w:val="nl-BE"/>
              </w:rPr>
              <w:t>2013*</w:t>
            </w:r>
          </w:p>
        </w:tc>
        <w:tc>
          <w:tcPr>
            <w:tcW w:w="1089" w:type="dxa"/>
            <w:shd w:val="clear" w:color="auto" w:fill="BFBFBF" w:themeFill="background1" w:themeFillShade="BF"/>
            <w:vAlign w:val="center"/>
          </w:tcPr>
          <w:p w:rsidR="00A62A3F" w:rsidRPr="00E6515F" w:rsidRDefault="00791F13" w:rsidP="00B74E9A">
            <w:pPr>
              <w:spacing w:line="240" w:lineRule="auto"/>
              <w:jc w:val="center"/>
              <w:rPr>
                <w:rFonts w:asciiTheme="majorHAnsi" w:eastAsia="Times New Roman" w:hAnsiTheme="majorHAnsi" w:cs="Tahoma"/>
                <w:b/>
                <w:bCs/>
                <w:color w:val="000000"/>
                <w:sz w:val="20"/>
                <w:szCs w:val="20"/>
                <w:lang w:val="nl-BE"/>
              </w:rPr>
            </w:pPr>
            <w:r w:rsidRPr="00E6515F">
              <w:rPr>
                <w:rFonts w:asciiTheme="majorHAnsi" w:eastAsia="Times New Roman" w:hAnsiTheme="majorHAnsi" w:cs="Tahoma"/>
                <w:b/>
                <w:bCs/>
                <w:color w:val="000000"/>
                <w:sz w:val="20"/>
                <w:szCs w:val="20"/>
                <w:lang w:val="nl-BE"/>
              </w:rPr>
              <w:t>2017**</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0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6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557</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440</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7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12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2.344</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2.247</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13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17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2.367</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2.284</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18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20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1.287</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1.306</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21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25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1.969</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2.019</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26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35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3.410</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3.556</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36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45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4.269</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4.220</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46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55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7.498</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7.257</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 xml:space="preserve">56 </w:t>
            </w:r>
            <w:r w:rsidR="00380DEB">
              <w:rPr>
                <w:rFonts w:asciiTheme="majorHAnsi" w:eastAsia="Times New Roman" w:hAnsiTheme="majorHAnsi" w:cs="Tahoma"/>
                <w:b/>
                <w:color w:val="000000"/>
                <w:sz w:val="20"/>
                <w:szCs w:val="20"/>
                <w:lang w:val="nl-BE"/>
              </w:rPr>
              <w:t xml:space="preserve">t/m </w:t>
            </w:r>
            <w:r w:rsidRPr="00E6515F">
              <w:rPr>
                <w:rFonts w:asciiTheme="majorHAnsi" w:eastAsia="Times New Roman" w:hAnsiTheme="majorHAnsi" w:cs="Tahoma"/>
                <w:b/>
                <w:color w:val="000000"/>
                <w:sz w:val="20"/>
                <w:szCs w:val="20"/>
                <w:lang w:val="nl-BE"/>
              </w:rPr>
              <w:t>65</w:t>
            </w:r>
            <w:r w:rsidR="008E1DCB">
              <w:rPr>
                <w:rFonts w:asciiTheme="majorHAnsi" w:eastAsia="Times New Roman" w:hAnsiTheme="majorHAnsi" w:cs="Tahoma"/>
                <w:b/>
                <w:color w:val="000000"/>
                <w:sz w:val="20"/>
                <w:szCs w:val="20"/>
                <w:lang w:val="nl-BE"/>
              </w:rPr>
              <w:t xml:space="preserve"> </w:t>
            </w:r>
            <w:r w:rsidRPr="00E6515F">
              <w:rPr>
                <w:rFonts w:asciiTheme="majorHAnsi" w:eastAsia="Times New Roman" w:hAnsiTheme="majorHAnsi" w:cs="Tahoma"/>
                <w:b/>
                <w:color w:val="000000"/>
                <w:sz w:val="20"/>
                <w:szCs w:val="20"/>
                <w:lang w:val="nl-BE"/>
              </w:rPr>
              <w:t>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10.810</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11.427</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color w:val="000000"/>
                <w:sz w:val="20"/>
                <w:szCs w:val="20"/>
                <w:lang w:val="nl-BE"/>
              </w:rPr>
            </w:pPr>
            <w:r w:rsidRPr="00E6515F">
              <w:rPr>
                <w:rFonts w:asciiTheme="majorHAnsi" w:eastAsia="Times New Roman" w:hAnsiTheme="majorHAnsi" w:cs="Tahoma"/>
                <w:b/>
                <w:color w:val="000000"/>
                <w:sz w:val="20"/>
                <w:szCs w:val="20"/>
                <w:lang w:val="nl-BE"/>
              </w:rPr>
              <w:t>+65 j</w:t>
            </w:r>
            <w:r w:rsidR="008E1DCB">
              <w:rPr>
                <w:rFonts w:asciiTheme="majorHAnsi" w:eastAsia="Times New Roman" w:hAnsiTheme="majorHAnsi" w:cs="Tahoma"/>
                <w:b/>
                <w:color w:val="000000"/>
                <w:sz w:val="20"/>
                <w:szCs w:val="20"/>
                <w:lang w:val="nl-BE"/>
              </w:rPr>
              <w:t>.</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9.505</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color w:val="000000"/>
                <w:sz w:val="20"/>
                <w:szCs w:val="20"/>
                <w:lang w:val="nl-BE"/>
              </w:rPr>
            </w:pPr>
            <w:r w:rsidRPr="00E6515F">
              <w:rPr>
                <w:rFonts w:asciiTheme="majorHAnsi" w:eastAsia="Times New Roman" w:hAnsiTheme="majorHAnsi" w:cs="Tahoma"/>
                <w:color w:val="000000"/>
                <w:sz w:val="20"/>
                <w:szCs w:val="20"/>
                <w:lang w:val="nl-BE"/>
              </w:rPr>
              <w:t>11.866</w:t>
            </w:r>
          </w:p>
        </w:tc>
      </w:tr>
      <w:tr w:rsidR="00B74E9A" w:rsidRPr="00E6515F" w:rsidTr="00B74E9A">
        <w:trPr>
          <w:trHeight w:val="340"/>
        </w:trPr>
        <w:tc>
          <w:tcPr>
            <w:tcW w:w="1622" w:type="dxa"/>
            <w:shd w:val="clear" w:color="auto" w:fill="auto"/>
            <w:noWrap/>
            <w:vAlign w:val="center"/>
            <w:hideMark/>
          </w:tcPr>
          <w:p w:rsidR="00B74E9A" w:rsidRPr="00E6515F" w:rsidRDefault="00B74E9A" w:rsidP="00B74E9A">
            <w:pPr>
              <w:spacing w:line="240" w:lineRule="auto"/>
              <w:rPr>
                <w:rFonts w:asciiTheme="majorHAnsi" w:eastAsia="Times New Roman" w:hAnsiTheme="majorHAnsi" w:cs="Tahoma"/>
                <w:b/>
                <w:bCs/>
                <w:i/>
                <w:color w:val="000000"/>
                <w:sz w:val="20"/>
                <w:szCs w:val="20"/>
                <w:lang w:val="nl-BE"/>
              </w:rPr>
            </w:pPr>
            <w:r w:rsidRPr="00E6515F">
              <w:rPr>
                <w:rFonts w:asciiTheme="majorHAnsi" w:eastAsia="Times New Roman" w:hAnsiTheme="majorHAnsi" w:cs="Tahoma"/>
                <w:b/>
                <w:bCs/>
                <w:i/>
                <w:color w:val="000000"/>
                <w:sz w:val="20"/>
                <w:szCs w:val="20"/>
                <w:lang w:val="nl-BE"/>
              </w:rPr>
              <w:t>Totaal</w:t>
            </w:r>
          </w:p>
        </w:tc>
        <w:tc>
          <w:tcPr>
            <w:tcW w:w="1088" w:type="dxa"/>
            <w:shd w:val="clear" w:color="auto" w:fill="auto"/>
            <w:noWrap/>
            <w:vAlign w:val="center"/>
            <w:hideMark/>
          </w:tcPr>
          <w:p w:rsidR="00B74E9A" w:rsidRPr="00E6515F" w:rsidRDefault="00B74E9A" w:rsidP="00B74E9A">
            <w:pPr>
              <w:spacing w:line="240" w:lineRule="auto"/>
              <w:jc w:val="center"/>
              <w:rPr>
                <w:rFonts w:asciiTheme="majorHAnsi" w:eastAsia="Times New Roman" w:hAnsiTheme="majorHAnsi" w:cs="Tahoma"/>
                <w:b/>
                <w:bCs/>
                <w:i/>
                <w:color w:val="000000"/>
                <w:sz w:val="20"/>
                <w:szCs w:val="20"/>
                <w:lang w:val="nl-BE"/>
              </w:rPr>
            </w:pPr>
            <w:r w:rsidRPr="00E6515F">
              <w:rPr>
                <w:rFonts w:asciiTheme="majorHAnsi" w:eastAsia="Times New Roman" w:hAnsiTheme="majorHAnsi" w:cs="Tahoma"/>
                <w:b/>
                <w:bCs/>
                <w:i/>
                <w:color w:val="000000"/>
                <w:sz w:val="20"/>
                <w:szCs w:val="20"/>
                <w:lang w:val="nl-BE"/>
              </w:rPr>
              <w:t>44.016</w:t>
            </w:r>
          </w:p>
        </w:tc>
        <w:tc>
          <w:tcPr>
            <w:tcW w:w="1089" w:type="dxa"/>
            <w:vAlign w:val="center"/>
          </w:tcPr>
          <w:p w:rsidR="00B74E9A" w:rsidRPr="00E6515F" w:rsidRDefault="00B74E9A" w:rsidP="00BC2325">
            <w:pPr>
              <w:spacing w:line="240" w:lineRule="auto"/>
              <w:jc w:val="center"/>
              <w:rPr>
                <w:rFonts w:asciiTheme="majorHAnsi" w:eastAsia="Times New Roman" w:hAnsiTheme="majorHAnsi" w:cs="Tahoma"/>
                <w:b/>
                <w:i/>
                <w:color w:val="000000"/>
                <w:sz w:val="20"/>
                <w:szCs w:val="20"/>
                <w:lang w:val="nl-BE"/>
              </w:rPr>
            </w:pPr>
            <w:r w:rsidRPr="00E6515F">
              <w:rPr>
                <w:rFonts w:asciiTheme="majorHAnsi" w:eastAsia="Times New Roman" w:hAnsiTheme="majorHAnsi" w:cs="Tahoma"/>
                <w:b/>
                <w:i/>
                <w:color w:val="000000"/>
                <w:sz w:val="20"/>
                <w:szCs w:val="20"/>
                <w:lang w:val="nl-BE"/>
              </w:rPr>
              <w:t>46.622</w:t>
            </w:r>
          </w:p>
        </w:tc>
      </w:tr>
    </w:tbl>
    <w:p w:rsidR="00A3030A" w:rsidRPr="00E6515F" w:rsidRDefault="00791F13" w:rsidP="000C6D5F">
      <w:pPr>
        <w:rPr>
          <w:rFonts w:asciiTheme="majorHAnsi" w:hAnsiTheme="majorHAnsi"/>
          <w:sz w:val="18"/>
          <w:lang w:val="nl-BE"/>
        </w:rPr>
      </w:pPr>
      <w:r w:rsidRPr="00E6515F">
        <w:rPr>
          <w:rFonts w:asciiTheme="majorHAnsi" w:hAnsiTheme="majorHAnsi"/>
          <w:sz w:val="18"/>
          <w:lang w:val="nl-BE"/>
        </w:rPr>
        <w:t>*</w:t>
      </w:r>
      <w:r w:rsidR="008E1DCB">
        <w:rPr>
          <w:rFonts w:asciiTheme="majorHAnsi" w:hAnsiTheme="majorHAnsi"/>
          <w:sz w:val="18"/>
          <w:lang w:val="nl-BE"/>
        </w:rPr>
        <w:t xml:space="preserve"> </w:t>
      </w:r>
      <w:r w:rsidRPr="00E6515F">
        <w:rPr>
          <w:rFonts w:asciiTheme="majorHAnsi" w:hAnsiTheme="majorHAnsi"/>
          <w:sz w:val="18"/>
          <w:lang w:val="nl-BE"/>
        </w:rPr>
        <w:t>Referentiedatum: 31</w:t>
      </w:r>
      <w:r w:rsidR="008E1DCB">
        <w:rPr>
          <w:rFonts w:asciiTheme="majorHAnsi" w:hAnsiTheme="majorHAnsi"/>
          <w:sz w:val="18"/>
          <w:lang w:val="nl-BE"/>
        </w:rPr>
        <w:t>.</w:t>
      </w:r>
      <w:r w:rsidRPr="00E6515F">
        <w:rPr>
          <w:rFonts w:asciiTheme="majorHAnsi" w:hAnsiTheme="majorHAnsi"/>
          <w:sz w:val="18"/>
          <w:lang w:val="nl-BE"/>
        </w:rPr>
        <w:t>12</w:t>
      </w:r>
      <w:r w:rsidR="008E1DCB">
        <w:rPr>
          <w:rFonts w:asciiTheme="majorHAnsi" w:hAnsiTheme="majorHAnsi"/>
          <w:sz w:val="18"/>
          <w:lang w:val="nl-BE"/>
        </w:rPr>
        <w:t>.</w:t>
      </w:r>
      <w:r w:rsidRPr="00E6515F">
        <w:rPr>
          <w:rFonts w:asciiTheme="majorHAnsi" w:hAnsiTheme="majorHAnsi"/>
          <w:sz w:val="18"/>
          <w:lang w:val="nl-BE"/>
        </w:rPr>
        <w:t>2013</w:t>
      </w:r>
    </w:p>
    <w:p w:rsidR="00791F13" w:rsidRPr="00E6515F" w:rsidRDefault="00791F13" w:rsidP="000C6D5F">
      <w:pPr>
        <w:rPr>
          <w:sz w:val="18"/>
          <w:lang w:val="nl-BE"/>
        </w:rPr>
      </w:pPr>
      <w:r w:rsidRPr="00E6515F">
        <w:rPr>
          <w:sz w:val="18"/>
          <w:lang w:val="nl-BE"/>
        </w:rPr>
        <w:t>**</w:t>
      </w:r>
      <w:r w:rsidR="008E1DCB">
        <w:rPr>
          <w:sz w:val="18"/>
          <w:lang w:val="nl-BE"/>
        </w:rPr>
        <w:t xml:space="preserve"> </w:t>
      </w:r>
      <w:r w:rsidRPr="00E6515F">
        <w:rPr>
          <w:sz w:val="18"/>
          <w:lang w:val="nl-BE"/>
        </w:rPr>
        <w:t>Referentiedatum: 31</w:t>
      </w:r>
      <w:r w:rsidR="008E1DCB">
        <w:rPr>
          <w:sz w:val="18"/>
          <w:lang w:val="nl-BE"/>
        </w:rPr>
        <w:t>.</w:t>
      </w:r>
      <w:r w:rsidRPr="00E6515F">
        <w:rPr>
          <w:sz w:val="18"/>
          <w:lang w:val="nl-BE"/>
        </w:rPr>
        <w:t>12</w:t>
      </w:r>
      <w:r w:rsidR="008E1DCB">
        <w:rPr>
          <w:sz w:val="18"/>
          <w:lang w:val="nl-BE"/>
        </w:rPr>
        <w:t>.</w:t>
      </w:r>
      <w:r w:rsidRPr="00E6515F">
        <w:rPr>
          <w:sz w:val="18"/>
          <w:lang w:val="nl-BE"/>
        </w:rPr>
        <w:t>2017</w:t>
      </w:r>
    </w:p>
    <w:p w:rsidR="00791F13" w:rsidRPr="00E6515F" w:rsidRDefault="00791F13" w:rsidP="000C6D5F">
      <w:pPr>
        <w:rPr>
          <w:lang w:val="nl-BE"/>
        </w:rPr>
      </w:pPr>
    </w:p>
    <w:p w:rsidR="000C6D5F" w:rsidRPr="00E6515F" w:rsidRDefault="008E1DCB" w:rsidP="000C6D5F">
      <w:pPr>
        <w:jc w:val="both"/>
        <w:rPr>
          <w:lang w:val="nl-BE"/>
        </w:rPr>
      </w:pPr>
      <w:r>
        <w:rPr>
          <w:lang w:val="nl-BE"/>
        </w:rPr>
        <w:t>De b</w:t>
      </w:r>
      <w:r w:rsidRPr="00E6515F">
        <w:rPr>
          <w:lang w:val="nl-BE"/>
        </w:rPr>
        <w:t xml:space="preserve">ovenstaande </w:t>
      </w:r>
      <w:r w:rsidR="00791F13" w:rsidRPr="00E6515F">
        <w:rPr>
          <w:lang w:val="nl-BE"/>
        </w:rPr>
        <w:t xml:space="preserve">tabel geeft een overzicht van het aantal actieve gebruikers van hulpmiddelen </w:t>
      </w:r>
      <w:r w:rsidR="00866A2E" w:rsidRPr="00E6515F">
        <w:rPr>
          <w:lang w:val="nl-BE"/>
        </w:rPr>
        <w:t xml:space="preserve">en aanpassingen </w:t>
      </w:r>
      <w:r w:rsidR="00791F13" w:rsidRPr="00E6515F">
        <w:rPr>
          <w:lang w:val="nl-BE"/>
        </w:rPr>
        <w:t>voor 2013 en 2017. 2008 wordt niet meegenomen in de tabel omdat er geen rapporteringsgeg</w:t>
      </w:r>
      <w:r w:rsidR="00866A2E" w:rsidRPr="00E6515F">
        <w:rPr>
          <w:lang w:val="nl-BE"/>
        </w:rPr>
        <w:t>evens beschikbaar zijn voor 2008</w:t>
      </w:r>
      <w:r w:rsidR="00791F13" w:rsidRPr="00E6515F">
        <w:rPr>
          <w:lang w:val="nl-BE"/>
        </w:rPr>
        <w:t xml:space="preserve">. </w:t>
      </w:r>
      <w:r w:rsidR="0079403F" w:rsidRPr="00E6515F">
        <w:rPr>
          <w:lang w:val="nl-BE"/>
        </w:rPr>
        <w:t>Een actieve gebruiker is gedefinieerd als een persoon met een handicap die een uitbetaling voor hulpmiddelen</w:t>
      </w:r>
      <w:r w:rsidR="00791F13" w:rsidRPr="00E6515F">
        <w:rPr>
          <w:lang w:val="nl-BE"/>
        </w:rPr>
        <w:t xml:space="preserve"> en aanpassingen gekregen heeft in de 10 jaar voor de referentiedatum en niet overleden is voor de referentiedatum. </w:t>
      </w:r>
    </w:p>
    <w:p w:rsidR="0079403F" w:rsidRPr="00E6515F" w:rsidRDefault="0079403F" w:rsidP="000C6D5F">
      <w:pPr>
        <w:jc w:val="both"/>
        <w:rPr>
          <w:lang w:val="nl-BE"/>
        </w:rPr>
      </w:pPr>
    </w:p>
    <w:p w:rsidR="00121F5E" w:rsidRPr="00E6515F" w:rsidRDefault="00121F5E">
      <w:pPr>
        <w:rPr>
          <w:b/>
          <w:sz w:val="30"/>
          <w:szCs w:val="30"/>
          <w:lang w:val="nl-BE"/>
        </w:rPr>
      </w:pPr>
      <w:r w:rsidRPr="00E6515F">
        <w:rPr>
          <w:sz w:val="30"/>
          <w:szCs w:val="30"/>
          <w:lang w:val="nl-BE"/>
        </w:rPr>
        <w:br w:type="page"/>
      </w:r>
    </w:p>
    <w:p w:rsidR="00CD1B8C" w:rsidRPr="00E6515F" w:rsidRDefault="002859D7" w:rsidP="00691346">
      <w:pPr>
        <w:pStyle w:val="Kop1"/>
        <w:widowControl w:val="0"/>
        <w:numPr>
          <w:ilvl w:val="2"/>
          <w:numId w:val="1"/>
        </w:numPr>
        <w:pBdr>
          <w:top w:val="nil"/>
          <w:left w:val="nil"/>
          <w:bottom w:val="nil"/>
          <w:right w:val="nil"/>
          <w:between w:val="nil"/>
        </w:pBdr>
        <w:rPr>
          <w:sz w:val="30"/>
          <w:szCs w:val="30"/>
          <w:lang w:val="nl-BE"/>
        </w:rPr>
      </w:pPr>
      <w:bookmarkStart w:id="44" w:name="_Toc536797807"/>
      <w:r w:rsidRPr="00E6515F">
        <w:rPr>
          <w:sz w:val="30"/>
          <w:szCs w:val="30"/>
          <w:lang w:val="nl-BE"/>
        </w:rPr>
        <w:lastRenderedPageBreak/>
        <w:t>Evolutie van het aantal personen die goedkeuring kregen voor hulpmiddelen</w:t>
      </w:r>
      <w:bookmarkEnd w:id="42"/>
      <w:r w:rsidR="008E1DCB">
        <w:rPr>
          <w:sz w:val="30"/>
          <w:szCs w:val="30"/>
          <w:lang w:val="nl-BE"/>
        </w:rPr>
        <w:t xml:space="preserve"> en aanpassingen</w:t>
      </w:r>
      <w:bookmarkEnd w:id="44"/>
    </w:p>
    <w:p w:rsidR="00CD1B8C" w:rsidRPr="00E6515F" w:rsidRDefault="00CD1B8C">
      <w:pPr>
        <w:rPr>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19</w:t>
      </w:r>
      <w:r w:rsidRPr="00E6515F">
        <w:rPr>
          <w:lang w:val="nl-BE"/>
        </w:rPr>
        <w:fldChar w:fldCharType="end"/>
      </w:r>
      <w:r w:rsidRPr="00E6515F">
        <w:rPr>
          <w:lang w:val="nl-BE"/>
        </w:rPr>
        <w:t>: Evolutie van aantal personen per leeftijdscategorie per jaar dat een goedkeuring kreeg voor hulpmiddelen</w:t>
      </w:r>
      <w:r w:rsidR="008E1DCB">
        <w:rPr>
          <w:lang w:val="nl-BE"/>
        </w:rPr>
        <w:t xml:space="preserve"> en aanpassingen</w:t>
      </w:r>
      <w:r w:rsidRPr="00E6515F">
        <w:rPr>
          <w:lang w:val="nl-BE"/>
        </w:rPr>
        <w:t xml:space="preserve"> excl. incontinentiemateriaal</w:t>
      </w:r>
    </w:p>
    <w:tbl>
      <w:tblPr>
        <w:tblStyle w:val="af7"/>
        <w:tblW w:w="53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54"/>
        <w:gridCol w:w="1077"/>
        <w:gridCol w:w="1077"/>
        <w:gridCol w:w="1077"/>
      </w:tblGrid>
      <w:tr w:rsidR="00CD1B8C" w:rsidRPr="00E6515F" w:rsidTr="008834AD">
        <w:trPr>
          <w:trHeight w:val="284"/>
        </w:trPr>
        <w:tc>
          <w:tcPr>
            <w:tcW w:w="2154"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696A8E">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Leeftijdscategorie</w:t>
            </w:r>
          </w:p>
        </w:tc>
        <w:tc>
          <w:tcPr>
            <w:tcW w:w="107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2008</w:t>
            </w:r>
          </w:p>
        </w:tc>
        <w:tc>
          <w:tcPr>
            <w:tcW w:w="107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2013</w:t>
            </w:r>
          </w:p>
        </w:tc>
        <w:tc>
          <w:tcPr>
            <w:tcW w:w="107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2017</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0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6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514</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547</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474</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7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12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740</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686</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731</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13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17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594</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561</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492</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18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20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305</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316</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350</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21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25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430</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466</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503</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26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35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998</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996</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978</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36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45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1.537</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1.463</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1.334</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46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55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2.531</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2.558</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2.482</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56 </w:t>
            </w:r>
            <w:r w:rsidR="00380DEB">
              <w:rPr>
                <w:rFonts w:asciiTheme="majorHAnsi" w:eastAsia="Arial" w:hAnsiTheme="majorHAnsi" w:cs="Arial"/>
                <w:b/>
                <w:sz w:val="20"/>
                <w:szCs w:val="20"/>
                <w:lang w:val="nl-BE"/>
              </w:rPr>
              <w:t xml:space="preserve">t/m </w:t>
            </w:r>
            <w:r w:rsidRPr="00E6515F">
              <w:rPr>
                <w:rFonts w:asciiTheme="majorHAnsi" w:eastAsia="Arial" w:hAnsiTheme="majorHAnsi" w:cs="Arial"/>
                <w:b/>
                <w:sz w:val="20"/>
                <w:szCs w:val="20"/>
                <w:lang w:val="nl-BE"/>
              </w:rPr>
              <w:t>65</w:t>
            </w:r>
            <w:r w:rsidR="008E1DCB">
              <w:rPr>
                <w:rFonts w:asciiTheme="majorHAnsi" w:eastAsia="Arial" w:hAnsiTheme="majorHAnsi" w:cs="Arial"/>
                <w:b/>
                <w:sz w:val="20"/>
                <w:szCs w:val="20"/>
                <w:lang w:val="nl-BE"/>
              </w:rPr>
              <w:t xml:space="preserve"> </w:t>
            </w:r>
            <w:r w:rsidRPr="00E6515F">
              <w:rPr>
                <w:rFonts w:asciiTheme="majorHAnsi" w:eastAsia="Arial" w:hAnsiTheme="majorHAnsi" w:cs="Arial"/>
                <w:b/>
                <w:sz w:val="20"/>
                <w:szCs w:val="20"/>
                <w:lang w:val="nl-BE"/>
              </w:rPr>
              <w:t>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3.378</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3.608</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3.817</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+65 j</w:t>
            </w:r>
            <w:r w:rsidR="008E1DCB">
              <w:rPr>
                <w:rFonts w:asciiTheme="majorHAnsi" w:eastAsia="Arial" w:hAnsiTheme="majorHAnsi" w:cs="Arial"/>
                <w:b/>
                <w:sz w:val="20"/>
                <w:szCs w:val="20"/>
                <w:lang w:val="nl-BE"/>
              </w:rPr>
              <w:t>.</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1.084</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1.452</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1.932</w:t>
            </w:r>
          </w:p>
        </w:tc>
      </w:tr>
      <w:tr w:rsidR="00CD1B8C" w:rsidRPr="00E6515F" w:rsidTr="008834AD">
        <w:trPr>
          <w:trHeight w:val="284"/>
        </w:trPr>
        <w:tc>
          <w:tcPr>
            <w:tcW w:w="2154"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Totaal</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12.111</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12.653</w:t>
            </w:r>
          </w:p>
        </w:tc>
        <w:tc>
          <w:tcPr>
            <w:tcW w:w="1077"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B92798">
            <w:pPr>
              <w:spacing w:line="240" w:lineRule="auto"/>
              <w:jc w:val="cente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13.093</w:t>
            </w:r>
          </w:p>
        </w:tc>
      </w:tr>
    </w:tbl>
    <w:p w:rsidR="00B92798" w:rsidRPr="00E6515F" w:rsidRDefault="00B92798" w:rsidP="009D5BE4">
      <w:pPr>
        <w:jc w:val="both"/>
        <w:rPr>
          <w:highlight w:val="white"/>
          <w:lang w:val="nl-BE"/>
        </w:rPr>
      </w:pPr>
    </w:p>
    <w:p w:rsidR="00CD1B8C" w:rsidRPr="00E6515F" w:rsidRDefault="00073427" w:rsidP="009D5BE4">
      <w:pPr>
        <w:jc w:val="both"/>
        <w:rPr>
          <w:lang w:val="nl-BE"/>
        </w:rPr>
      </w:pPr>
      <w:r w:rsidRPr="00E6515F">
        <w:rPr>
          <w:highlight w:val="white"/>
          <w:lang w:val="nl-BE"/>
        </w:rPr>
        <w:t xml:space="preserve">In </w:t>
      </w:r>
      <w:r w:rsidR="002859D7" w:rsidRPr="00E6515F">
        <w:rPr>
          <w:highlight w:val="white"/>
          <w:lang w:val="nl-BE"/>
        </w:rPr>
        <w:t xml:space="preserve">deze tabel wordt incontinentiemateriaal niet meegerekend, aangezien er in 2011 een omschakeling geweest is in de wijze waarop </w:t>
      </w:r>
      <w:r w:rsidR="008E1DCB" w:rsidRPr="00E6515F">
        <w:rPr>
          <w:highlight w:val="white"/>
          <w:lang w:val="nl-BE"/>
        </w:rPr>
        <w:t>d</w:t>
      </w:r>
      <w:r w:rsidR="008E1DCB">
        <w:rPr>
          <w:highlight w:val="white"/>
          <w:lang w:val="nl-BE"/>
        </w:rPr>
        <w:t>a</w:t>
      </w:r>
      <w:r w:rsidR="008E1DCB" w:rsidRPr="00E6515F">
        <w:rPr>
          <w:highlight w:val="white"/>
          <w:lang w:val="nl-BE"/>
        </w:rPr>
        <w:t xml:space="preserve">t </w:t>
      </w:r>
      <w:r w:rsidR="002859D7" w:rsidRPr="00E6515F">
        <w:rPr>
          <w:highlight w:val="white"/>
          <w:lang w:val="nl-BE"/>
        </w:rPr>
        <w:t xml:space="preserve">moet aangevraagd worden. Er werd van een eenmalige beslissing waarbij je elk jaar opnieuw facturen moest indienen, </w:t>
      </w:r>
      <w:r w:rsidR="00346DD7">
        <w:rPr>
          <w:highlight w:val="white"/>
          <w:lang w:val="nl-BE"/>
        </w:rPr>
        <w:t>overgeschakel</w:t>
      </w:r>
      <w:r w:rsidR="008E1DCB">
        <w:rPr>
          <w:highlight w:val="white"/>
          <w:lang w:val="nl-BE"/>
        </w:rPr>
        <w:t>d</w:t>
      </w:r>
      <w:r w:rsidR="008E1DCB" w:rsidRPr="00E6515F">
        <w:rPr>
          <w:highlight w:val="white"/>
          <w:lang w:val="nl-BE"/>
        </w:rPr>
        <w:t xml:space="preserve"> </w:t>
      </w:r>
      <w:r w:rsidR="002859D7" w:rsidRPr="00E6515F">
        <w:rPr>
          <w:highlight w:val="white"/>
          <w:lang w:val="nl-BE"/>
        </w:rPr>
        <w:t>naar een forfaitsysteem. Alle mensen die al een terugbetaling voor incontinentiemateriaal kregen, werd gevraagd uiterlijk op 1 januari 2013 een nieuwe attest in te dienen</w:t>
      </w:r>
      <w:r w:rsidR="008E1DCB">
        <w:rPr>
          <w:highlight w:val="white"/>
          <w:lang w:val="nl-BE"/>
        </w:rPr>
        <w:t>,</w:t>
      </w:r>
      <w:r w:rsidR="002859D7" w:rsidRPr="00E6515F">
        <w:rPr>
          <w:highlight w:val="white"/>
          <w:lang w:val="nl-BE"/>
        </w:rPr>
        <w:t xml:space="preserve"> waarop zij een nieuwe goedkeuring ontvingen. </w:t>
      </w:r>
      <w:r w:rsidR="008E1DCB" w:rsidRPr="00E6515F">
        <w:rPr>
          <w:highlight w:val="white"/>
          <w:lang w:val="nl-BE"/>
        </w:rPr>
        <w:t>D</w:t>
      </w:r>
      <w:r w:rsidR="008E1DCB">
        <w:rPr>
          <w:highlight w:val="white"/>
          <w:lang w:val="nl-BE"/>
        </w:rPr>
        <w:t>ie</w:t>
      </w:r>
      <w:r w:rsidR="008E1DCB" w:rsidRPr="00E6515F">
        <w:rPr>
          <w:highlight w:val="white"/>
          <w:lang w:val="nl-BE"/>
        </w:rPr>
        <w:t xml:space="preserve"> </w:t>
      </w:r>
      <w:r w:rsidR="002859D7" w:rsidRPr="00E6515F">
        <w:rPr>
          <w:highlight w:val="white"/>
          <w:lang w:val="nl-BE"/>
        </w:rPr>
        <w:t>wijziging zorgt ervoor dat de vergelijking tussen 2008 en 2013 een vertekend beeld geeft.</w:t>
      </w:r>
      <w:r w:rsidR="002859D7" w:rsidRPr="00E6515F">
        <w:rPr>
          <w:rFonts w:ascii="Arial" w:eastAsia="Arial" w:hAnsi="Arial" w:cs="Arial"/>
          <w:color w:val="222222"/>
          <w:highlight w:val="white"/>
          <w:lang w:val="nl-BE"/>
        </w:rPr>
        <w:t xml:space="preserve"> </w:t>
      </w:r>
    </w:p>
    <w:p w:rsidR="00CD1B8C" w:rsidRPr="00E6515F" w:rsidRDefault="00CD1B8C">
      <w:pPr>
        <w:rPr>
          <w:lang w:val="nl-BE"/>
        </w:rPr>
      </w:pPr>
    </w:p>
    <w:p w:rsidR="00CD1B8C" w:rsidRPr="00E6515F" w:rsidRDefault="002859D7" w:rsidP="009D5BE4">
      <w:pPr>
        <w:jc w:val="both"/>
        <w:rPr>
          <w:lang w:val="nl-BE"/>
        </w:rPr>
      </w:pPr>
      <w:r w:rsidRPr="00E6515F">
        <w:rPr>
          <w:lang w:val="nl-BE"/>
        </w:rPr>
        <w:t xml:space="preserve">Er is een stijgende evolutie in het aantal goedkeuringen per jaar van aanvragen </w:t>
      </w:r>
      <w:r w:rsidR="008E1DCB">
        <w:rPr>
          <w:lang w:val="nl-BE"/>
        </w:rPr>
        <w:t xml:space="preserve">voor </w:t>
      </w:r>
      <w:r w:rsidRPr="00E6515F">
        <w:rPr>
          <w:lang w:val="nl-BE"/>
        </w:rPr>
        <w:t>hulpmiddelen</w:t>
      </w:r>
      <w:r w:rsidR="008E1DCB">
        <w:rPr>
          <w:lang w:val="nl-BE"/>
        </w:rPr>
        <w:t xml:space="preserve"> en aanpassingen</w:t>
      </w:r>
      <w:r w:rsidRPr="00E6515F">
        <w:rPr>
          <w:lang w:val="nl-BE"/>
        </w:rPr>
        <w:t xml:space="preserve">. </w:t>
      </w:r>
    </w:p>
    <w:p w:rsidR="00CD1B8C" w:rsidRPr="00E6515F" w:rsidRDefault="00CD1B8C">
      <w:pPr>
        <w:rPr>
          <w:lang w:val="nl-BE"/>
        </w:rPr>
      </w:pPr>
    </w:p>
    <w:p w:rsidR="00121F5E" w:rsidRPr="00E6515F" w:rsidRDefault="00121F5E">
      <w:pPr>
        <w:rPr>
          <w:b/>
          <w:sz w:val="30"/>
          <w:szCs w:val="30"/>
          <w:lang w:val="nl-BE"/>
        </w:rPr>
      </w:pPr>
      <w:bookmarkStart w:id="45" w:name="_Toc528227891"/>
      <w:r w:rsidRPr="00E6515F">
        <w:rPr>
          <w:sz w:val="30"/>
          <w:szCs w:val="30"/>
          <w:lang w:val="nl-BE"/>
        </w:rPr>
        <w:br w:type="page"/>
      </w:r>
    </w:p>
    <w:p w:rsidR="00CD1B8C" w:rsidRPr="00E6515F" w:rsidRDefault="002859D7" w:rsidP="00743AC9">
      <w:pPr>
        <w:pStyle w:val="Kop1"/>
        <w:widowControl w:val="0"/>
        <w:numPr>
          <w:ilvl w:val="2"/>
          <w:numId w:val="1"/>
        </w:numPr>
        <w:pBdr>
          <w:top w:val="nil"/>
          <w:left w:val="nil"/>
          <w:bottom w:val="nil"/>
          <w:right w:val="nil"/>
          <w:between w:val="nil"/>
        </w:pBdr>
        <w:rPr>
          <w:sz w:val="30"/>
          <w:szCs w:val="30"/>
          <w:lang w:val="nl-BE"/>
        </w:rPr>
      </w:pPr>
      <w:bookmarkStart w:id="46" w:name="_Toc536797808"/>
      <w:r w:rsidRPr="00E6515F">
        <w:rPr>
          <w:sz w:val="30"/>
          <w:szCs w:val="30"/>
          <w:lang w:val="nl-BE"/>
        </w:rPr>
        <w:lastRenderedPageBreak/>
        <w:t xml:space="preserve">Verder info met betrekking tot </w:t>
      </w:r>
      <w:r w:rsidR="00C164EF" w:rsidRPr="00E6515F">
        <w:rPr>
          <w:sz w:val="30"/>
          <w:szCs w:val="30"/>
          <w:lang w:val="nl-BE"/>
        </w:rPr>
        <w:t>goedkeuringen</w:t>
      </w:r>
      <w:r w:rsidRPr="00E6515F">
        <w:rPr>
          <w:sz w:val="30"/>
          <w:szCs w:val="30"/>
          <w:lang w:val="nl-BE"/>
        </w:rPr>
        <w:t xml:space="preserve"> </w:t>
      </w:r>
      <w:r w:rsidR="00C164EF" w:rsidRPr="00E6515F">
        <w:rPr>
          <w:sz w:val="30"/>
          <w:szCs w:val="30"/>
          <w:lang w:val="nl-BE"/>
        </w:rPr>
        <w:t>hulpmiddelen</w:t>
      </w:r>
      <w:r w:rsidR="001F0497">
        <w:rPr>
          <w:sz w:val="30"/>
          <w:szCs w:val="30"/>
          <w:lang w:val="nl-BE"/>
        </w:rPr>
        <w:t xml:space="preserve"> en aanpassingen</w:t>
      </w:r>
      <w:r w:rsidR="00C164EF" w:rsidRPr="00E6515F">
        <w:rPr>
          <w:sz w:val="30"/>
          <w:szCs w:val="30"/>
          <w:lang w:val="nl-BE"/>
        </w:rPr>
        <w:t xml:space="preserve"> </w:t>
      </w:r>
      <w:r w:rsidRPr="00E6515F">
        <w:rPr>
          <w:sz w:val="30"/>
          <w:szCs w:val="30"/>
          <w:lang w:val="nl-BE"/>
        </w:rPr>
        <w:t>2017</w:t>
      </w:r>
      <w:bookmarkEnd w:id="45"/>
      <w:bookmarkEnd w:id="46"/>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20</w:t>
      </w:r>
      <w:r w:rsidRPr="00E6515F">
        <w:rPr>
          <w:lang w:val="nl-BE"/>
        </w:rPr>
        <w:fldChar w:fldCharType="end"/>
      </w:r>
      <w:r w:rsidRPr="00E6515F">
        <w:rPr>
          <w:lang w:val="nl-BE"/>
        </w:rPr>
        <w:t>: Overzicht van het aantal personen met een goedkeuring voor hulpmiddelen in 2017 dat ook gebruik maakte van andere VAPH-ondersteuning in 2017</w:t>
      </w:r>
    </w:p>
    <w:tbl>
      <w:tblPr>
        <w:tblStyle w:val="af8"/>
        <w:tblW w:w="62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7"/>
        <w:gridCol w:w="1795"/>
        <w:gridCol w:w="1795"/>
      </w:tblGrid>
      <w:tr w:rsidR="00CD1B8C" w:rsidRPr="00E6515F" w:rsidTr="00EC561E">
        <w:trPr>
          <w:trHeight w:val="284"/>
        </w:trPr>
        <w:tc>
          <w:tcPr>
            <w:tcW w:w="2647"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Ondersteuningsfuncties</w:t>
            </w:r>
          </w:p>
        </w:tc>
        <w:tc>
          <w:tcPr>
            <w:tcW w:w="179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jc w:val="cente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Aantal 2017</w:t>
            </w:r>
          </w:p>
        </w:tc>
        <w:tc>
          <w:tcPr>
            <w:tcW w:w="1795"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jc w:val="cente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Percentage 2017</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Cash</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754</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6%</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proofErr w:type="spellStart"/>
            <w:r w:rsidRPr="00E6515F">
              <w:rPr>
                <w:rFonts w:asciiTheme="majorHAnsi" w:eastAsia="Arial" w:hAnsiTheme="majorHAnsi" w:cs="Arial"/>
                <w:b/>
                <w:sz w:val="20"/>
                <w:szCs w:val="20"/>
                <w:lang w:val="nl-BE"/>
              </w:rPr>
              <w:t>Dagondersteuning</w:t>
            </w:r>
            <w:proofErr w:type="spellEnd"/>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749</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6%</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8834AD">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I</w:t>
            </w:r>
            <w:r w:rsidR="002859D7" w:rsidRPr="00E6515F">
              <w:rPr>
                <w:rFonts w:asciiTheme="majorHAnsi" w:eastAsia="Arial" w:hAnsiTheme="majorHAnsi" w:cs="Arial"/>
                <w:b/>
                <w:sz w:val="20"/>
                <w:szCs w:val="20"/>
                <w:lang w:val="nl-BE"/>
              </w:rPr>
              <w:t>ndividuele ondersteuning</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213</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2%</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PAB</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179</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PAB + DO</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100</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RTH</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991</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8%</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Woonondersteuning</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1.686</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13%</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sz w:val="20"/>
                <w:szCs w:val="20"/>
                <w:lang w:val="nl-BE"/>
              </w:rPr>
            </w:pPr>
            <w:r w:rsidRPr="00E6515F">
              <w:rPr>
                <w:rFonts w:asciiTheme="majorHAnsi" w:eastAsia="Arial" w:hAnsiTheme="majorHAnsi" w:cs="Arial"/>
                <w:b/>
                <w:sz w:val="20"/>
                <w:szCs w:val="20"/>
                <w:lang w:val="nl-BE"/>
              </w:rPr>
              <w:t xml:space="preserve">Geen andere </w:t>
            </w:r>
            <w:r w:rsidR="00627480" w:rsidRPr="00E6515F">
              <w:rPr>
                <w:rFonts w:asciiTheme="majorHAnsi" w:eastAsia="Arial" w:hAnsiTheme="majorHAnsi" w:cs="Arial"/>
                <w:b/>
                <w:sz w:val="20"/>
                <w:szCs w:val="20"/>
                <w:lang w:val="nl-BE"/>
              </w:rPr>
              <w:t>VAPH</w:t>
            </w:r>
            <w:r w:rsidRPr="00E6515F">
              <w:rPr>
                <w:rFonts w:asciiTheme="majorHAnsi" w:eastAsia="Arial" w:hAnsiTheme="majorHAnsi" w:cs="Arial"/>
                <w:b/>
                <w:sz w:val="20"/>
                <w:szCs w:val="20"/>
                <w:lang w:val="nl-BE"/>
              </w:rPr>
              <w:t>-ondersteuning</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8.421</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sz w:val="20"/>
                <w:szCs w:val="20"/>
                <w:lang w:val="nl-BE"/>
              </w:rPr>
            </w:pPr>
            <w:r w:rsidRPr="00E6515F">
              <w:rPr>
                <w:rFonts w:asciiTheme="majorHAnsi" w:eastAsia="Arial" w:hAnsiTheme="majorHAnsi" w:cs="Arial"/>
                <w:sz w:val="20"/>
                <w:szCs w:val="20"/>
                <w:lang w:val="nl-BE"/>
              </w:rPr>
              <w:t>64%</w:t>
            </w:r>
          </w:p>
        </w:tc>
      </w:tr>
      <w:tr w:rsidR="00CD1B8C" w:rsidRPr="00E6515F" w:rsidTr="00EC561E">
        <w:trPr>
          <w:trHeight w:val="284"/>
        </w:trPr>
        <w:tc>
          <w:tcPr>
            <w:tcW w:w="264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Totaal</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13.093</w:t>
            </w:r>
          </w:p>
        </w:tc>
        <w:tc>
          <w:tcPr>
            <w:tcW w:w="1795"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pPr>
              <w:jc w:val="center"/>
              <w:rPr>
                <w:rFonts w:asciiTheme="majorHAnsi" w:eastAsia="Arial" w:hAnsiTheme="majorHAnsi" w:cs="Arial"/>
                <w:b/>
                <w:i/>
                <w:sz w:val="20"/>
                <w:szCs w:val="20"/>
                <w:lang w:val="nl-BE"/>
              </w:rPr>
            </w:pPr>
            <w:r w:rsidRPr="00E6515F">
              <w:rPr>
                <w:rFonts w:asciiTheme="majorHAnsi" w:eastAsia="Arial" w:hAnsiTheme="majorHAnsi" w:cs="Arial"/>
                <w:b/>
                <w:i/>
                <w:sz w:val="20"/>
                <w:szCs w:val="20"/>
                <w:lang w:val="nl-BE"/>
              </w:rPr>
              <w:t>100%</w:t>
            </w:r>
          </w:p>
        </w:tc>
      </w:tr>
    </w:tbl>
    <w:p w:rsidR="00CD1B8C" w:rsidRPr="00E6515F" w:rsidRDefault="00CD1B8C">
      <w:pPr>
        <w:rPr>
          <w:b/>
          <w:lang w:val="nl-BE"/>
        </w:rPr>
      </w:pPr>
    </w:p>
    <w:p w:rsidR="000343CD" w:rsidRPr="00E6515F" w:rsidRDefault="002859D7" w:rsidP="009D5BE4">
      <w:pPr>
        <w:jc w:val="both"/>
        <w:rPr>
          <w:lang w:val="nl-BE"/>
        </w:rPr>
      </w:pPr>
      <w:r w:rsidRPr="00E6515F">
        <w:rPr>
          <w:lang w:val="nl-BE"/>
        </w:rPr>
        <w:t xml:space="preserve">We zien dat de meerderheid van de mensen die een goedkeuring voor </w:t>
      </w:r>
      <w:r w:rsidR="001F0497">
        <w:rPr>
          <w:lang w:val="nl-BE"/>
        </w:rPr>
        <w:t>hulp</w:t>
      </w:r>
      <w:r w:rsidRPr="00E6515F">
        <w:rPr>
          <w:lang w:val="nl-BE"/>
        </w:rPr>
        <w:t xml:space="preserve">middelen </w:t>
      </w:r>
      <w:r w:rsidR="001F0497">
        <w:rPr>
          <w:lang w:val="nl-BE"/>
        </w:rPr>
        <w:t xml:space="preserve">en aanpassingen </w:t>
      </w:r>
      <w:r w:rsidRPr="00E6515F">
        <w:rPr>
          <w:lang w:val="nl-BE"/>
        </w:rPr>
        <w:t xml:space="preserve">ontvingen in 2017 geen gebruik </w:t>
      </w:r>
      <w:r w:rsidR="001F0497">
        <w:rPr>
          <w:lang w:val="nl-BE"/>
        </w:rPr>
        <w:t>maakt</w:t>
      </w:r>
      <w:r w:rsidR="00346DD7">
        <w:rPr>
          <w:lang w:val="nl-BE"/>
        </w:rPr>
        <w:t>e</w:t>
      </w:r>
      <w:r w:rsidR="001F0497" w:rsidRPr="00E6515F">
        <w:rPr>
          <w:lang w:val="nl-BE"/>
        </w:rPr>
        <w:t xml:space="preserve"> </w:t>
      </w:r>
      <w:r w:rsidRPr="00E6515F">
        <w:rPr>
          <w:lang w:val="nl-BE"/>
        </w:rPr>
        <w:t xml:space="preserve">van andere vormen van </w:t>
      </w:r>
      <w:r w:rsidR="00627480" w:rsidRPr="00E6515F">
        <w:rPr>
          <w:lang w:val="nl-BE"/>
        </w:rPr>
        <w:t>VAPH</w:t>
      </w:r>
      <w:r w:rsidRPr="00E6515F">
        <w:rPr>
          <w:lang w:val="nl-BE"/>
        </w:rPr>
        <w:t>-ondersteuning, namelijk 64%. Diegene</w:t>
      </w:r>
      <w:r w:rsidR="001F0497">
        <w:rPr>
          <w:lang w:val="nl-BE"/>
        </w:rPr>
        <w:t>n</w:t>
      </w:r>
      <w:r w:rsidRPr="00E6515F">
        <w:rPr>
          <w:lang w:val="nl-BE"/>
        </w:rPr>
        <w:t xml:space="preserve"> die wel combine</w:t>
      </w:r>
      <w:r w:rsidR="00346DD7">
        <w:rPr>
          <w:lang w:val="nl-BE"/>
        </w:rPr>
        <w:t>e</w:t>
      </w:r>
      <w:r w:rsidRPr="00E6515F">
        <w:rPr>
          <w:lang w:val="nl-BE"/>
        </w:rPr>
        <w:t>r</w:t>
      </w:r>
      <w:r w:rsidR="00346DD7">
        <w:rPr>
          <w:lang w:val="nl-BE"/>
        </w:rPr>
        <w:t>d</w:t>
      </w:r>
      <w:r w:rsidRPr="00E6515F">
        <w:rPr>
          <w:lang w:val="nl-BE"/>
        </w:rPr>
        <w:t xml:space="preserve">en met </w:t>
      </w:r>
      <w:r w:rsidR="00627480" w:rsidRPr="00E6515F">
        <w:rPr>
          <w:lang w:val="nl-BE"/>
        </w:rPr>
        <w:t>VAPH</w:t>
      </w:r>
      <w:r w:rsidRPr="00E6515F">
        <w:rPr>
          <w:lang w:val="nl-BE"/>
        </w:rPr>
        <w:t>-ondersteuning, combine</w:t>
      </w:r>
      <w:r w:rsidR="00346DD7">
        <w:rPr>
          <w:lang w:val="nl-BE"/>
        </w:rPr>
        <w:t>e</w:t>
      </w:r>
      <w:r w:rsidRPr="00E6515F">
        <w:rPr>
          <w:lang w:val="nl-BE"/>
        </w:rPr>
        <w:t>r</w:t>
      </w:r>
      <w:r w:rsidR="00346DD7">
        <w:rPr>
          <w:lang w:val="nl-BE"/>
        </w:rPr>
        <w:t>d</w:t>
      </w:r>
      <w:r w:rsidRPr="00E6515F">
        <w:rPr>
          <w:lang w:val="nl-BE"/>
        </w:rPr>
        <w:t xml:space="preserve">en voornamelijk met woonondersteuning en in mindere mate ook met </w:t>
      </w:r>
      <w:r w:rsidR="00DD02E4">
        <w:rPr>
          <w:lang w:val="nl-BE"/>
        </w:rPr>
        <w:t>rechtstreeks toegankelijke hulp</w:t>
      </w:r>
      <w:r w:rsidRPr="00E6515F">
        <w:rPr>
          <w:lang w:val="nl-BE"/>
        </w:rPr>
        <w:t xml:space="preserve">, </w:t>
      </w:r>
      <w:r w:rsidR="00DD02E4">
        <w:rPr>
          <w:lang w:val="nl-BE"/>
        </w:rPr>
        <w:t>persoonsvolgend budget</w:t>
      </w:r>
      <w:r w:rsidRPr="00E6515F">
        <w:rPr>
          <w:lang w:val="nl-BE"/>
        </w:rPr>
        <w:t xml:space="preserve"> ingezet via cash-overeenkomsten en </w:t>
      </w:r>
      <w:proofErr w:type="spellStart"/>
      <w:r w:rsidRPr="00E6515F">
        <w:rPr>
          <w:lang w:val="nl-BE"/>
        </w:rPr>
        <w:t>dagondersteuning</w:t>
      </w:r>
      <w:proofErr w:type="spellEnd"/>
      <w:r w:rsidRPr="00E6515F">
        <w:rPr>
          <w:lang w:val="nl-BE"/>
        </w:rPr>
        <w:t xml:space="preserve">. </w:t>
      </w:r>
    </w:p>
    <w:p w:rsidR="000343CD" w:rsidRPr="00E6515F" w:rsidRDefault="000343CD">
      <w:pPr>
        <w:rPr>
          <w:lang w:val="nl-BE"/>
        </w:rPr>
      </w:pPr>
      <w:r w:rsidRPr="00E6515F">
        <w:rPr>
          <w:lang w:val="nl-BE"/>
        </w:rPr>
        <w:br w:type="page"/>
      </w:r>
    </w:p>
    <w:p w:rsidR="00B757A4" w:rsidRPr="00E6515F" w:rsidRDefault="00B757A4" w:rsidP="00B757A4">
      <w:pPr>
        <w:pStyle w:val="Kop1"/>
        <w:widowControl w:val="0"/>
        <w:numPr>
          <w:ilvl w:val="0"/>
          <w:numId w:val="1"/>
        </w:numPr>
        <w:pBdr>
          <w:top w:val="nil"/>
          <w:left w:val="nil"/>
          <w:bottom w:val="nil"/>
          <w:right w:val="nil"/>
          <w:between w:val="nil"/>
        </w:pBdr>
        <w:ind w:left="544" w:hanging="570"/>
        <w:rPr>
          <w:lang w:val="nl-BE"/>
        </w:rPr>
      </w:pPr>
      <w:bookmarkStart w:id="47" w:name="_fd1dd8h2j1qs" w:colFirst="0" w:colLast="0"/>
      <w:bookmarkStart w:id="48" w:name="_Toc528227892"/>
      <w:bookmarkStart w:id="49" w:name="_Toc536797809"/>
      <w:bookmarkEnd w:id="47"/>
      <w:r w:rsidRPr="00E6515F">
        <w:rPr>
          <w:lang w:val="nl-BE"/>
        </w:rPr>
        <w:lastRenderedPageBreak/>
        <w:t xml:space="preserve">Gegevens met betrekking tot vragen naar </w:t>
      </w:r>
      <w:r w:rsidR="00E87F05" w:rsidRPr="00E6515F">
        <w:rPr>
          <w:lang w:val="nl-BE"/>
        </w:rPr>
        <w:t>niet</w:t>
      </w:r>
      <w:r w:rsidR="001F0497">
        <w:rPr>
          <w:lang w:val="nl-BE"/>
        </w:rPr>
        <w:noBreakHyphen/>
      </w:r>
      <w:r w:rsidR="00E87F05" w:rsidRPr="00E6515F">
        <w:rPr>
          <w:lang w:val="nl-BE"/>
        </w:rPr>
        <w:t>rechtstreeks toegankelijke hulp</w:t>
      </w:r>
      <w:bookmarkEnd w:id="48"/>
      <w:bookmarkEnd w:id="49"/>
    </w:p>
    <w:p w:rsidR="00E87F05" w:rsidRPr="00E6515F" w:rsidRDefault="00C164EF" w:rsidP="00073427">
      <w:pPr>
        <w:jc w:val="both"/>
        <w:rPr>
          <w:lang w:val="nl-BE"/>
        </w:rPr>
      </w:pPr>
      <w:r w:rsidRPr="00E6515F">
        <w:rPr>
          <w:lang w:val="nl-BE"/>
        </w:rPr>
        <w:t xml:space="preserve">Naast het feit dat er steeds meer mensen gebruik maken </w:t>
      </w:r>
      <w:r w:rsidR="00E87F05" w:rsidRPr="00E6515F">
        <w:rPr>
          <w:lang w:val="nl-BE"/>
        </w:rPr>
        <w:t>van niet</w:t>
      </w:r>
      <w:r w:rsidR="001F0497">
        <w:rPr>
          <w:lang w:val="nl-BE"/>
        </w:rPr>
        <w:t>-</w:t>
      </w:r>
      <w:r w:rsidR="00E87F05" w:rsidRPr="00E6515F">
        <w:rPr>
          <w:lang w:val="nl-BE"/>
        </w:rPr>
        <w:t>rechtstreeks toegankelijke hulp</w:t>
      </w:r>
      <w:r w:rsidR="001F0497">
        <w:rPr>
          <w:lang w:val="nl-BE"/>
        </w:rPr>
        <w:t xml:space="preserve"> (</w:t>
      </w:r>
      <w:proofErr w:type="spellStart"/>
      <w:r w:rsidR="001F0497">
        <w:rPr>
          <w:lang w:val="nl-BE"/>
        </w:rPr>
        <w:t>nRTH</w:t>
      </w:r>
      <w:proofErr w:type="spellEnd"/>
      <w:r w:rsidR="001F0497">
        <w:rPr>
          <w:lang w:val="nl-BE"/>
        </w:rPr>
        <w:t>)</w:t>
      </w:r>
      <w:r w:rsidR="00E87F05" w:rsidRPr="00E6515F">
        <w:rPr>
          <w:lang w:val="nl-BE"/>
        </w:rPr>
        <w:t>, zijn er ook mensen die nog een vraag hebben naar niet</w:t>
      </w:r>
      <w:r w:rsidR="001F0497">
        <w:rPr>
          <w:lang w:val="nl-BE"/>
        </w:rPr>
        <w:t>-</w:t>
      </w:r>
      <w:r w:rsidR="00E87F05" w:rsidRPr="00E6515F">
        <w:rPr>
          <w:lang w:val="nl-BE"/>
        </w:rPr>
        <w:t xml:space="preserve">rechtstreeks toegankelijke hulp. </w:t>
      </w:r>
      <w:r w:rsidR="001F0497">
        <w:rPr>
          <w:lang w:val="nl-BE"/>
        </w:rPr>
        <w:t>Het kan gaan om</w:t>
      </w:r>
      <w:r w:rsidR="00E87F05" w:rsidRPr="00E6515F">
        <w:rPr>
          <w:lang w:val="nl-BE"/>
        </w:rPr>
        <w:t xml:space="preserve"> mensen die nog geen </w:t>
      </w:r>
      <w:r w:rsidR="00DD02E4">
        <w:rPr>
          <w:lang w:val="nl-BE"/>
        </w:rPr>
        <w:t>persoonsvolgend budget</w:t>
      </w:r>
      <w:r w:rsidR="00E87F05" w:rsidRPr="00E6515F">
        <w:rPr>
          <w:lang w:val="nl-BE"/>
        </w:rPr>
        <w:t xml:space="preserve"> hebben, maar het kan ook gaan </w:t>
      </w:r>
      <w:r w:rsidR="001F0497">
        <w:rPr>
          <w:lang w:val="nl-BE"/>
        </w:rPr>
        <w:t>om</w:t>
      </w:r>
      <w:r w:rsidR="001F0497" w:rsidRPr="00E6515F">
        <w:rPr>
          <w:lang w:val="nl-BE"/>
        </w:rPr>
        <w:t xml:space="preserve"> </w:t>
      </w:r>
      <w:r w:rsidR="00E87F05" w:rsidRPr="00E6515F">
        <w:rPr>
          <w:lang w:val="nl-BE"/>
        </w:rPr>
        <w:t xml:space="preserve">mensen die al een </w:t>
      </w:r>
      <w:r w:rsidR="00DD02E4">
        <w:rPr>
          <w:lang w:val="nl-BE"/>
        </w:rPr>
        <w:t>persoonsvolgend budget</w:t>
      </w:r>
      <w:r w:rsidR="00E87F05" w:rsidRPr="00E6515F">
        <w:rPr>
          <w:lang w:val="nl-BE"/>
        </w:rPr>
        <w:t xml:space="preserve"> hebben, maar vraag hebben naar bijkomende ondersteuning, een hoger </w:t>
      </w:r>
      <w:r w:rsidR="00DD02E4">
        <w:rPr>
          <w:lang w:val="nl-BE"/>
        </w:rPr>
        <w:t>persoonsvolgend budget</w:t>
      </w:r>
      <w:r w:rsidR="00E87F05" w:rsidRPr="00E6515F">
        <w:rPr>
          <w:lang w:val="nl-BE"/>
        </w:rPr>
        <w:t xml:space="preserve"> dus. Een groot deel van de mensen die nog geen </w:t>
      </w:r>
      <w:r w:rsidR="00DD02E4">
        <w:rPr>
          <w:lang w:val="nl-BE"/>
        </w:rPr>
        <w:t>persoonsvolgend budget</w:t>
      </w:r>
      <w:r w:rsidR="00E87F05" w:rsidRPr="00E6515F">
        <w:rPr>
          <w:lang w:val="nl-BE"/>
        </w:rPr>
        <w:t xml:space="preserve"> hebben en wachten op een </w:t>
      </w:r>
      <w:r w:rsidR="00DD02E4">
        <w:rPr>
          <w:lang w:val="nl-BE"/>
        </w:rPr>
        <w:t>persoonsvolgend budget</w:t>
      </w:r>
      <w:r w:rsidR="001F0497">
        <w:rPr>
          <w:lang w:val="nl-BE"/>
        </w:rPr>
        <w:t>,</w:t>
      </w:r>
      <w:r w:rsidR="00E87F05" w:rsidRPr="00E6515F">
        <w:rPr>
          <w:lang w:val="nl-BE"/>
        </w:rPr>
        <w:t xml:space="preserve"> </w:t>
      </w:r>
      <w:r w:rsidR="004710CF">
        <w:rPr>
          <w:lang w:val="nl-BE"/>
        </w:rPr>
        <w:t>heeft al</w:t>
      </w:r>
      <w:r w:rsidR="00E87F05" w:rsidRPr="00E6515F">
        <w:rPr>
          <w:lang w:val="nl-BE"/>
        </w:rPr>
        <w:t xml:space="preserve"> een andere vorm van ondersteuning, zoals </w:t>
      </w:r>
      <w:r w:rsidR="004710CF">
        <w:rPr>
          <w:lang w:val="nl-BE"/>
        </w:rPr>
        <w:t>rechtstreeks toegankelijke hulp</w:t>
      </w:r>
      <w:r w:rsidR="004710CF" w:rsidRPr="00E6515F">
        <w:rPr>
          <w:lang w:val="nl-BE"/>
        </w:rPr>
        <w:t xml:space="preserve"> </w:t>
      </w:r>
      <w:r w:rsidR="00E87F05" w:rsidRPr="00E6515F">
        <w:rPr>
          <w:lang w:val="nl-BE"/>
        </w:rPr>
        <w:t>of een zorgbudget</w:t>
      </w:r>
      <w:r w:rsidR="004710CF">
        <w:rPr>
          <w:lang w:val="nl-BE"/>
        </w:rPr>
        <w:t xml:space="preserve"> voor mensen met een handicap</w:t>
      </w:r>
      <w:r w:rsidR="00E87F05" w:rsidRPr="00E6515F">
        <w:rPr>
          <w:lang w:val="nl-BE"/>
        </w:rPr>
        <w:t xml:space="preserve"> (</w:t>
      </w:r>
      <w:proofErr w:type="spellStart"/>
      <w:r w:rsidR="004710CF">
        <w:rPr>
          <w:lang w:val="nl-BE"/>
        </w:rPr>
        <w:t>basisondersteuningsbudget</w:t>
      </w:r>
      <w:proofErr w:type="spellEnd"/>
      <w:r w:rsidR="004710CF">
        <w:rPr>
          <w:lang w:val="nl-BE"/>
        </w:rPr>
        <w:t xml:space="preserve"> (</w:t>
      </w:r>
      <w:r w:rsidR="00E87F05" w:rsidRPr="00E6515F">
        <w:rPr>
          <w:lang w:val="nl-BE"/>
        </w:rPr>
        <w:t>BOB</w:t>
      </w:r>
      <w:r w:rsidR="004710CF">
        <w:rPr>
          <w:lang w:val="nl-BE"/>
        </w:rPr>
        <w:t>)</w:t>
      </w:r>
      <w:r w:rsidR="00E87F05" w:rsidRPr="00E6515F">
        <w:rPr>
          <w:lang w:val="nl-BE"/>
        </w:rPr>
        <w:t xml:space="preserve">). </w:t>
      </w:r>
    </w:p>
    <w:p w:rsidR="00B757A4" w:rsidRPr="00E6515F" w:rsidRDefault="00B757A4" w:rsidP="00B757A4">
      <w:pPr>
        <w:pStyle w:val="Kop2"/>
        <w:numPr>
          <w:ilvl w:val="1"/>
          <w:numId w:val="1"/>
        </w:numPr>
        <w:contextualSpacing/>
        <w:rPr>
          <w:lang w:val="nl-BE"/>
        </w:rPr>
      </w:pPr>
      <w:bookmarkStart w:id="50" w:name="_fgkvuy4i5ofx" w:colFirst="0" w:colLast="0"/>
      <w:bookmarkStart w:id="51" w:name="_Toc528227893"/>
      <w:bookmarkStart w:id="52" w:name="_Toc536797810"/>
      <w:bookmarkEnd w:id="50"/>
      <w:r w:rsidRPr="00E6515F">
        <w:rPr>
          <w:lang w:val="nl-BE"/>
        </w:rPr>
        <w:t>Evolutie van het aantal vragen 2008-2013-2017-heden</w:t>
      </w:r>
      <w:bookmarkEnd w:id="51"/>
      <w:bookmarkEnd w:id="52"/>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21</w:t>
      </w:r>
      <w:r w:rsidRPr="00E6515F">
        <w:rPr>
          <w:lang w:val="nl-BE"/>
        </w:rPr>
        <w:fldChar w:fldCharType="end"/>
      </w:r>
      <w:r w:rsidRPr="00E6515F">
        <w:rPr>
          <w:lang w:val="nl-BE"/>
        </w:rPr>
        <w:t>: Wachtenden op de centrale registratie van zorgvragen op 31</w:t>
      </w:r>
      <w:r w:rsidR="004710CF">
        <w:rPr>
          <w:lang w:val="nl-BE"/>
        </w:rPr>
        <w:t>.</w:t>
      </w:r>
      <w:r w:rsidRPr="00E6515F">
        <w:rPr>
          <w:lang w:val="nl-BE"/>
        </w:rPr>
        <w:t>12</w:t>
      </w:r>
      <w:r w:rsidR="004710CF">
        <w:rPr>
          <w:lang w:val="nl-BE"/>
        </w:rPr>
        <w:t>.</w:t>
      </w:r>
      <w:r w:rsidRPr="00E6515F">
        <w:rPr>
          <w:lang w:val="nl-BE"/>
        </w:rPr>
        <w:t>2008 per zorgvorm en per urgentiecode, minderjarigen en meerderjarigen</w:t>
      </w:r>
    </w:p>
    <w:tbl>
      <w:tblPr>
        <w:tblStyle w:val="a5"/>
        <w:tblW w:w="9434" w:type="dxa"/>
        <w:tblInd w:w="-980" w:type="dxa"/>
        <w:tblBorders>
          <w:top w:val="nil"/>
          <w:left w:val="nil"/>
          <w:bottom w:val="nil"/>
          <w:right w:val="nil"/>
          <w:insideH w:val="nil"/>
          <w:insideV w:val="nil"/>
        </w:tblBorders>
        <w:tblLayout w:type="fixed"/>
        <w:tblLook w:val="0600" w:firstRow="0" w:lastRow="0" w:firstColumn="0" w:lastColumn="0" w:noHBand="1" w:noVBand="1"/>
      </w:tblPr>
      <w:tblGrid>
        <w:gridCol w:w="3925"/>
        <w:gridCol w:w="787"/>
        <w:gridCol w:w="787"/>
        <w:gridCol w:w="787"/>
        <w:gridCol w:w="787"/>
        <w:gridCol w:w="787"/>
        <w:gridCol w:w="787"/>
        <w:gridCol w:w="787"/>
      </w:tblGrid>
      <w:tr w:rsidR="00351F04" w:rsidRPr="00E6515F" w:rsidTr="00D07CB6">
        <w:trPr>
          <w:trHeight w:val="57"/>
        </w:trPr>
        <w:tc>
          <w:tcPr>
            <w:tcW w:w="392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i/>
                <w:sz w:val="20"/>
                <w:szCs w:val="20"/>
                <w:lang w:val="nl-BE"/>
              </w:rPr>
            </w:pPr>
            <w:r w:rsidRPr="00E6515F">
              <w:rPr>
                <w:b/>
                <w:i/>
                <w:sz w:val="20"/>
                <w:szCs w:val="20"/>
                <w:lang w:val="nl-BE"/>
              </w:rPr>
              <w:t xml:space="preserve"> </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sz w:val="20"/>
                <w:szCs w:val="20"/>
                <w:lang w:val="nl-BE"/>
              </w:rPr>
            </w:pPr>
            <w:r w:rsidRPr="00E6515F">
              <w:rPr>
                <w:b/>
                <w:sz w:val="20"/>
                <w:szCs w:val="20"/>
                <w:lang w:val="nl-BE"/>
              </w:rPr>
              <w:t>UC 1</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sz w:val="20"/>
                <w:szCs w:val="20"/>
                <w:lang w:val="nl-BE"/>
              </w:rPr>
            </w:pPr>
            <w:r w:rsidRPr="00E6515F">
              <w:rPr>
                <w:b/>
                <w:sz w:val="20"/>
                <w:szCs w:val="20"/>
                <w:lang w:val="nl-BE"/>
              </w:rPr>
              <w:t>UC 2</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sz w:val="20"/>
                <w:szCs w:val="20"/>
                <w:lang w:val="nl-BE"/>
              </w:rPr>
            </w:pPr>
            <w:r w:rsidRPr="00E6515F">
              <w:rPr>
                <w:b/>
                <w:sz w:val="20"/>
                <w:szCs w:val="20"/>
                <w:lang w:val="nl-BE"/>
              </w:rPr>
              <w:t>UC 3</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sz w:val="20"/>
                <w:szCs w:val="20"/>
                <w:lang w:val="nl-BE"/>
              </w:rPr>
            </w:pPr>
            <w:r w:rsidRPr="00E6515F">
              <w:rPr>
                <w:b/>
                <w:sz w:val="20"/>
                <w:szCs w:val="20"/>
                <w:lang w:val="nl-BE"/>
              </w:rPr>
              <w:t>UC 4</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jc w:val="center"/>
              <w:rPr>
                <w:b/>
                <w:sz w:val="20"/>
                <w:szCs w:val="20"/>
                <w:lang w:val="nl-BE"/>
              </w:rPr>
            </w:pPr>
            <w:r w:rsidRPr="00E6515F">
              <w:rPr>
                <w:b/>
                <w:sz w:val="20"/>
                <w:szCs w:val="20"/>
                <w:lang w:val="nl-BE"/>
              </w:rPr>
              <w:t>UC ?</w:t>
            </w:r>
          </w:p>
        </w:tc>
        <w:tc>
          <w:tcPr>
            <w:tcW w:w="78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351F04" w:rsidRPr="00E6515F" w:rsidRDefault="00351F04" w:rsidP="00D90114">
            <w:pPr>
              <w:spacing w:line="240" w:lineRule="auto"/>
              <w:rPr>
                <w:b/>
                <w:i/>
                <w:sz w:val="20"/>
                <w:szCs w:val="20"/>
                <w:lang w:val="nl-BE"/>
              </w:rPr>
            </w:pPr>
            <w:r w:rsidRPr="00E6515F">
              <w:rPr>
                <w:b/>
                <w:i/>
                <w:sz w:val="20"/>
                <w:szCs w:val="20"/>
                <w:lang w:val="nl-BE"/>
              </w:rPr>
              <w:t>Totaal aantal</w:t>
            </w:r>
          </w:p>
        </w:tc>
        <w:tc>
          <w:tcPr>
            <w:tcW w:w="787" w:type="dxa"/>
            <w:tcBorders>
              <w:top w:val="single" w:sz="8" w:space="0" w:color="414141"/>
              <w:left w:val="nil"/>
              <w:bottom w:val="single" w:sz="8" w:space="0" w:color="414141"/>
              <w:right w:val="single" w:sz="8" w:space="0" w:color="414141"/>
            </w:tcBorders>
            <w:shd w:val="clear" w:color="auto" w:fill="C2C2C2"/>
          </w:tcPr>
          <w:p w:rsidR="00351F04" w:rsidRPr="00E6515F" w:rsidRDefault="00351F04" w:rsidP="00D90114">
            <w:pPr>
              <w:spacing w:line="240" w:lineRule="auto"/>
              <w:jc w:val="center"/>
              <w:rPr>
                <w:b/>
                <w:i/>
                <w:sz w:val="20"/>
                <w:szCs w:val="20"/>
                <w:lang w:val="nl-BE"/>
              </w:rPr>
            </w:pPr>
            <w:r w:rsidRPr="00E6515F">
              <w:rPr>
                <w:b/>
                <w:i/>
                <w:sz w:val="20"/>
                <w:szCs w:val="20"/>
                <w:lang w:val="nl-BE"/>
              </w:rPr>
              <w:t>Totaal in %</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Dagcentrum</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668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406</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321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249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87</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1.731</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10,0%</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Semi-internaat</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271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279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160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793</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4,6%</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Dagcentrum / begeleid werken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149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124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396</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2,3%</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Semi-internaat voor niet</w:t>
            </w:r>
            <w:r w:rsidR="004710CF">
              <w:rPr>
                <w:b/>
                <w:sz w:val="20"/>
                <w:szCs w:val="20"/>
                <w:lang w:val="nl-BE"/>
              </w:rPr>
              <w:t>-</w:t>
            </w:r>
            <w:r w:rsidRPr="00E6515F">
              <w:rPr>
                <w:b/>
                <w:sz w:val="20"/>
                <w:szCs w:val="20"/>
                <w:lang w:val="nl-BE"/>
              </w:rPr>
              <w:t>schoolgaanden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50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27</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119</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0,7%</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Beschermd wonen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303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279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274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244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1.161</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6,7%</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Tehuis niet-werkenden, gewoon stelsel</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825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615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712</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1.183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181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3.516</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20,4%</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Begeleid wonen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1.026</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484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455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400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135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2.500</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14,5%</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 xml:space="preserve">Tehuis niet-werkenden, </w:t>
            </w:r>
            <w:proofErr w:type="spellStart"/>
            <w:r w:rsidRPr="00E6515F">
              <w:rPr>
                <w:b/>
                <w:sz w:val="20"/>
                <w:szCs w:val="20"/>
                <w:lang w:val="nl-BE"/>
              </w:rPr>
              <w:t>nursing</w:t>
            </w:r>
            <w:proofErr w:type="spellEnd"/>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468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346</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401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364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81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1.660</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9,6%</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Tehuis werkenden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180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150</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168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138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671</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3,9%</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Internaat</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684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363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219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153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113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1.532</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8,9%</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Thuisbegeleiding</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2.599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264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74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116</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3.071</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17,8%</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Zelfstandig wonen</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74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79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88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314</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1,8%</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Gezinsplaatsing WOP</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22</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6</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7</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67</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0,4%</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OBC</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99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22</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37</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166</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1,0%</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sz w:val="20"/>
                <w:szCs w:val="20"/>
                <w:lang w:val="nl-BE"/>
              </w:rPr>
            </w:pPr>
            <w:r w:rsidRPr="00E6515F">
              <w:rPr>
                <w:b/>
                <w:sz w:val="20"/>
                <w:szCs w:val="20"/>
                <w:lang w:val="nl-BE"/>
              </w:rPr>
              <w:t>Gezinsplaatsing (gewoon stelsel)</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48</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24</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11</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color w:val="000000"/>
                <w:sz w:val="20"/>
                <w:szCs w:val="20"/>
                <w:lang w:val="nl-BE"/>
              </w:rPr>
            </w:pPr>
            <w:r w:rsidRPr="00E6515F">
              <w:rPr>
                <w:color w:val="000000"/>
                <w:sz w:val="20"/>
                <w:szCs w:val="20"/>
                <w:lang w:val="nl-BE"/>
              </w:rPr>
              <w:t>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97</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i/>
                <w:color w:val="000000"/>
                <w:sz w:val="20"/>
                <w:szCs w:val="20"/>
                <w:lang w:val="nl-BE"/>
              </w:rPr>
              <w:t>0,6%</w:t>
            </w:r>
          </w:p>
        </w:tc>
      </w:tr>
      <w:tr w:rsidR="00351F04" w:rsidRPr="00E6515F" w:rsidTr="00D07CB6">
        <w:trPr>
          <w:trHeight w:val="20"/>
        </w:trPr>
        <w:tc>
          <w:tcPr>
            <w:tcW w:w="392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351F04" w:rsidRPr="00E6515F" w:rsidRDefault="00351F04" w:rsidP="00D90114">
            <w:pPr>
              <w:spacing w:line="240" w:lineRule="auto"/>
              <w:ind w:firstLine="320"/>
              <w:contextualSpacing/>
              <w:rPr>
                <w:b/>
                <w:i/>
                <w:sz w:val="20"/>
                <w:szCs w:val="20"/>
                <w:lang w:val="nl-BE"/>
              </w:rPr>
            </w:pPr>
            <w:r w:rsidRPr="00E6515F">
              <w:rPr>
                <w:b/>
                <w:i/>
                <w:sz w:val="20"/>
                <w:szCs w:val="20"/>
                <w:lang w:val="nl-BE"/>
              </w:rPr>
              <w:t>Totaal</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7.365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3.457</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2.949</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2.933</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915</w:t>
            </w:r>
          </w:p>
        </w:tc>
        <w:tc>
          <w:tcPr>
            <w:tcW w:w="787"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351F04" w:rsidRPr="00E6515F" w:rsidRDefault="00351F04" w:rsidP="00D90114">
            <w:pPr>
              <w:spacing w:line="240" w:lineRule="auto"/>
              <w:contextualSpacing/>
              <w:jc w:val="center"/>
              <w:rPr>
                <w:b/>
                <w:bCs/>
                <w:i/>
                <w:iCs/>
                <w:color w:val="000000"/>
                <w:sz w:val="20"/>
                <w:szCs w:val="20"/>
                <w:lang w:val="nl-BE"/>
              </w:rPr>
            </w:pPr>
            <w:r w:rsidRPr="00E6515F">
              <w:rPr>
                <w:b/>
                <w:bCs/>
                <w:i/>
                <w:iCs/>
                <w:color w:val="000000"/>
                <w:sz w:val="20"/>
                <w:szCs w:val="20"/>
                <w:lang w:val="nl-BE"/>
              </w:rPr>
              <w:t>17.265</w:t>
            </w:r>
          </w:p>
        </w:tc>
        <w:tc>
          <w:tcPr>
            <w:tcW w:w="787" w:type="dxa"/>
            <w:tcBorders>
              <w:top w:val="nil"/>
              <w:left w:val="nil"/>
              <w:bottom w:val="single" w:sz="8" w:space="0" w:color="414141"/>
              <w:right w:val="single" w:sz="8" w:space="0" w:color="414141"/>
            </w:tcBorders>
            <w:vAlign w:val="bottom"/>
          </w:tcPr>
          <w:p w:rsidR="00351F04" w:rsidRPr="00E6515F" w:rsidRDefault="00351F04" w:rsidP="00D90114">
            <w:pPr>
              <w:spacing w:line="240" w:lineRule="auto"/>
              <w:contextualSpacing/>
              <w:jc w:val="center"/>
              <w:rPr>
                <w:b/>
                <w:bCs/>
                <w:i/>
                <w:iCs/>
                <w:color w:val="000000"/>
                <w:sz w:val="20"/>
                <w:szCs w:val="20"/>
                <w:lang w:val="nl-BE"/>
              </w:rPr>
            </w:pPr>
            <w:r w:rsidRPr="00E6515F">
              <w:rPr>
                <w:b/>
                <w:i/>
                <w:color w:val="000000"/>
                <w:sz w:val="20"/>
                <w:szCs w:val="20"/>
                <w:lang w:val="nl-BE"/>
              </w:rPr>
              <w:t>100%</w:t>
            </w:r>
          </w:p>
        </w:tc>
      </w:tr>
    </w:tbl>
    <w:p w:rsidR="00C359CD" w:rsidRPr="00E6515F" w:rsidRDefault="00C359CD" w:rsidP="00C359CD">
      <w:pPr>
        <w:rPr>
          <w:lang w:val="nl-BE"/>
        </w:rPr>
      </w:pPr>
    </w:p>
    <w:p w:rsidR="00C359CD" w:rsidRPr="00E6515F" w:rsidRDefault="00C359CD" w:rsidP="009D5BE4">
      <w:pPr>
        <w:jc w:val="both"/>
        <w:rPr>
          <w:lang w:val="nl-BE"/>
        </w:rPr>
      </w:pPr>
      <w:r w:rsidRPr="00E6515F">
        <w:rPr>
          <w:lang w:val="nl-BE"/>
        </w:rPr>
        <w:lastRenderedPageBreak/>
        <w:t xml:space="preserve">In deze cijfers zijn zowel de vragen </w:t>
      </w:r>
      <w:r w:rsidR="004710CF">
        <w:rPr>
          <w:lang w:val="nl-BE"/>
        </w:rPr>
        <w:t xml:space="preserve">van </w:t>
      </w:r>
      <w:r w:rsidRPr="00E6515F">
        <w:rPr>
          <w:lang w:val="nl-BE"/>
        </w:rPr>
        <w:t xml:space="preserve">minderjarigen als die van meerderjarigen opgenomen. In 2008 werden de vragen naar een </w:t>
      </w:r>
      <w:r w:rsidR="00DD02E4">
        <w:rPr>
          <w:lang w:val="nl-BE"/>
        </w:rPr>
        <w:t>persoonlijke-assistentiebudget</w:t>
      </w:r>
      <w:r w:rsidRPr="00E6515F">
        <w:rPr>
          <w:lang w:val="nl-BE"/>
        </w:rPr>
        <w:t xml:space="preserve"> nog niet geregistreerd op de </w:t>
      </w:r>
      <w:r w:rsidR="004710CF" w:rsidRPr="00E6515F">
        <w:rPr>
          <w:lang w:val="nl-BE"/>
        </w:rPr>
        <w:t xml:space="preserve">centrale registratie van zorgvragen </w:t>
      </w:r>
      <w:r w:rsidR="004710CF">
        <w:rPr>
          <w:lang w:val="nl-BE"/>
        </w:rPr>
        <w:t>(</w:t>
      </w:r>
      <w:r w:rsidRPr="00E6515F">
        <w:rPr>
          <w:lang w:val="nl-BE"/>
        </w:rPr>
        <w:t>CRZ</w:t>
      </w:r>
      <w:r w:rsidR="004710CF">
        <w:rPr>
          <w:lang w:val="nl-BE"/>
        </w:rPr>
        <w:t>)</w:t>
      </w:r>
      <w:r w:rsidRPr="00E6515F">
        <w:rPr>
          <w:lang w:val="nl-BE"/>
        </w:rPr>
        <w:t xml:space="preserve">. Op dat moment hadden 4.420 mensen een lopende PAB-aanvraag. Het gaat hier ook </w:t>
      </w:r>
      <w:r w:rsidR="004710CF">
        <w:rPr>
          <w:lang w:val="nl-BE"/>
        </w:rPr>
        <w:t>om</w:t>
      </w:r>
      <w:r w:rsidR="004710CF" w:rsidRPr="00E6515F">
        <w:rPr>
          <w:lang w:val="nl-BE"/>
        </w:rPr>
        <w:t xml:space="preserve"> </w:t>
      </w:r>
      <w:r w:rsidRPr="00E6515F">
        <w:rPr>
          <w:lang w:val="nl-BE"/>
        </w:rPr>
        <w:t xml:space="preserve">minderjarigen en meerderjarigen.  </w:t>
      </w:r>
    </w:p>
    <w:p w:rsidR="00C359CD" w:rsidRPr="00E6515F" w:rsidRDefault="00C359CD" w:rsidP="00C359CD">
      <w:pPr>
        <w:rPr>
          <w:i/>
          <w:lang w:val="nl-BE"/>
        </w:rPr>
      </w:pPr>
    </w:p>
    <w:p w:rsidR="001F1533" w:rsidRPr="00E6515F" w:rsidRDefault="001F1533" w:rsidP="00526ED2">
      <w:pPr>
        <w:jc w:val="both"/>
        <w:rPr>
          <w:lang w:val="nl-BE"/>
        </w:rPr>
      </w:pPr>
      <w:r w:rsidRPr="00E6515F">
        <w:rPr>
          <w:lang w:val="nl-BE"/>
        </w:rPr>
        <w:t xml:space="preserve">Gezien de vele wijzigingen in het systeem van de zorgregie en de evolutie naar </w:t>
      </w:r>
      <w:r w:rsidR="00D07CB6">
        <w:rPr>
          <w:lang w:val="nl-BE"/>
        </w:rPr>
        <w:t xml:space="preserve">prioriteitenlijsten </w:t>
      </w:r>
      <w:r w:rsidRPr="00E6515F">
        <w:rPr>
          <w:lang w:val="nl-BE"/>
        </w:rPr>
        <w:t>voor persoonsvolgende budgetten</w:t>
      </w:r>
      <w:r w:rsidR="004710CF">
        <w:rPr>
          <w:lang w:val="nl-BE"/>
        </w:rPr>
        <w:t>,</w:t>
      </w:r>
      <w:r w:rsidRPr="00E6515F">
        <w:rPr>
          <w:lang w:val="nl-BE"/>
        </w:rPr>
        <w:t xml:space="preserve"> is het quasi onmogelijk om een goede systematiek uit te werken </w:t>
      </w:r>
      <w:r w:rsidR="004710CF">
        <w:rPr>
          <w:lang w:val="nl-BE"/>
        </w:rPr>
        <w:t>voor de</w:t>
      </w:r>
      <w:r w:rsidR="004710CF" w:rsidRPr="00E6515F">
        <w:rPr>
          <w:lang w:val="nl-BE"/>
        </w:rPr>
        <w:t xml:space="preserve"> </w:t>
      </w:r>
      <w:r w:rsidRPr="00E6515F">
        <w:rPr>
          <w:lang w:val="nl-BE"/>
        </w:rPr>
        <w:t xml:space="preserve">vergelijking tussen de geregistreerde vragen op de </w:t>
      </w:r>
      <w:r w:rsidR="004710CF" w:rsidRPr="00E6515F">
        <w:rPr>
          <w:lang w:val="nl-BE"/>
        </w:rPr>
        <w:t xml:space="preserve">centrale registratie van zorgvragen </w:t>
      </w:r>
      <w:r w:rsidRPr="00E6515F">
        <w:rPr>
          <w:lang w:val="nl-BE"/>
        </w:rPr>
        <w:t xml:space="preserve">in 2008 en de prioriteitenlijsten </w:t>
      </w:r>
      <w:r w:rsidR="00DD02E4">
        <w:rPr>
          <w:lang w:val="nl-BE"/>
        </w:rPr>
        <w:t>persoonsvolgend budget</w:t>
      </w:r>
      <w:r w:rsidRPr="00E6515F">
        <w:rPr>
          <w:lang w:val="nl-BE"/>
        </w:rPr>
        <w:t xml:space="preserve"> tien jaar later. Deze tabel toont wel aan dat het probleem van onbeantwoorde vragen </w:t>
      </w:r>
      <w:r w:rsidR="004710CF">
        <w:rPr>
          <w:lang w:val="nl-BE"/>
        </w:rPr>
        <w:t>al</w:t>
      </w:r>
      <w:r w:rsidR="004710CF" w:rsidRPr="00E6515F">
        <w:rPr>
          <w:lang w:val="nl-BE"/>
        </w:rPr>
        <w:t xml:space="preserve"> </w:t>
      </w:r>
      <w:r w:rsidRPr="00E6515F">
        <w:rPr>
          <w:lang w:val="nl-BE"/>
        </w:rPr>
        <w:t xml:space="preserve">lang voor de invoering van de persoonsvolgende financiering aan de orde was in de sector </w:t>
      </w:r>
      <w:r w:rsidR="004710CF">
        <w:rPr>
          <w:lang w:val="nl-BE"/>
        </w:rPr>
        <w:t xml:space="preserve">voor </w:t>
      </w:r>
      <w:r w:rsidRPr="00E6515F">
        <w:rPr>
          <w:lang w:val="nl-BE"/>
        </w:rPr>
        <w:t xml:space="preserve">personen met een handicap. </w:t>
      </w:r>
    </w:p>
    <w:p w:rsidR="00C359CD" w:rsidRPr="00E6515F" w:rsidRDefault="00C359CD" w:rsidP="00C359CD">
      <w:pPr>
        <w:rPr>
          <w:i/>
          <w:lang w:val="nl-BE"/>
        </w:rPr>
      </w:pPr>
    </w:p>
    <w:p w:rsidR="00EC561E" w:rsidRPr="00E6515F" w:rsidRDefault="00EC561E" w:rsidP="00EC561E">
      <w:pPr>
        <w:pStyle w:val="Bijschrift"/>
        <w:keepNext/>
        <w:rPr>
          <w:lang w:val="nl-BE"/>
        </w:rPr>
      </w:pPr>
      <w:r w:rsidRPr="00E6515F">
        <w:rPr>
          <w:lang w:val="nl-BE"/>
        </w:rPr>
        <w:t xml:space="preserve">Tabel </w:t>
      </w:r>
      <w:r w:rsidR="00E6515F" w:rsidRPr="00E6515F">
        <w:rPr>
          <w:lang w:val="nl-BE"/>
        </w:rPr>
        <w:fldChar w:fldCharType="begin"/>
      </w:r>
      <w:r w:rsidR="00E6515F" w:rsidRPr="00E6515F">
        <w:rPr>
          <w:lang w:val="nl-BE"/>
        </w:rPr>
        <w:instrText xml:space="preserve"> SEQ Tabel \* ARABIC </w:instrText>
      </w:r>
      <w:r w:rsidR="00E6515F" w:rsidRPr="00E6515F">
        <w:rPr>
          <w:lang w:val="nl-BE"/>
        </w:rPr>
        <w:fldChar w:fldCharType="separate"/>
      </w:r>
      <w:r w:rsidR="0062760A">
        <w:rPr>
          <w:noProof/>
          <w:lang w:val="nl-BE"/>
        </w:rPr>
        <w:t>22</w:t>
      </w:r>
      <w:r w:rsidR="00E6515F" w:rsidRPr="00E6515F">
        <w:rPr>
          <w:noProof/>
          <w:lang w:val="nl-BE"/>
        </w:rPr>
        <w:fldChar w:fldCharType="end"/>
      </w:r>
      <w:r w:rsidRPr="00E6515F">
        <w:rPr>
          <w:lang w:val="nl-BE"/>
        </w:rPr>
        <w:t xml:space="preserve">: Wachtenden meerderjarigen </w:t>
      </w:r>
      <w:r w:rsidR="004710CF" w:rsidRPr="00E6515F">
        <w:rPr>
          <w:lang w:val="nl-BE"/>
        </w:rPr>
        <w:t>centrale registratie van zorgvragen</w:t>
      </w:r>
      <w:r w:rsidR="004710CF">
        <w:rPr>
          <w:lang w:val="nl-BE"/>
        </w:rPr>
        <w:t xml:space="preserve"> </w:t>
      </w:r>
      <w:r w:rsidRPr="00E6515F">
        <w:rPr>
          <w:lang w:val="nl-BE"/>
        </w:rPr>
        <w:t xml:space="preserve"> 31</w:t>
      </w:r>
      <w:r w:rsidR="004710CF">
        <w:rPr>
          <w:lang w:val="nl-BE"/>
        </w:rPr>
        <w:t>.</w:t>
      </w:r>
      <w:r w:rsidRPr="00E6515F">
        <w:rPr>
          <w:lang w:val="nl-BE"/>
        </w:rPr>
        <w:t>12</w:t>
      </w:r>
      <w:r w:rsidR="004710CF">
        <w:rPr>
          <w:lang w:val="nl-BE"/>
        </w:rPr>
        <w:t>.</w:t>
      </w:r>
      <w:r w:rsidRPr="00E6515F">
        <w:rPr>
          <w:lang w:val="nl-BE"/>
        </w:rPr>
        <w:t>2013</w:t>
      </w:r>
    </w:p>
    <w:tbl>
      <w:tblPr>
        <w:tblStyle w:val="a4"/>
        <w:tblW w:w="9072" w:type="dxa"/>
        <w:tblInd w:w="-168" w:type="dxa"/>
        <w:tblBorders>
          <w:top w:val="nil"/>
          <w:left w:val="nil"/>
          <w:bottom w:val="nil"/>
          <w:right w:val="nil"/>
          <w:insideH w:val="nil"/>
          <w:insideV w:val="nil"/>
        </w:tblBorders>
        <w:tblLayout w:type="fixed"/>
        <w:tblLook w:val="0600" w:firstRow="0" w:lastRow="0" w:firstColumn="0" w:lastColumn="0" w:noHBand="1" w:noVBand="1"/>
      </w:tblPr>
      <w:tblGrid>
        <w:gridCol w:w="1560"/>
        <w:gridCol w:w="1417"/>
        <w:gridCol w:w="1418"/>
        <w:gridCol w:w="1134"/>
        <w:gridCol w:w="1417"/>
        <w:gridCol w:w="1134"/>
        <w:gridCol w:w="992"/>
      </w:tblGrid>
      <w:tr w:rsidR="00CE6ABC" w:rsidRPr="00E6515F" w:rsidTr="00D07CB6">
        <w:trPr>
          <w:trHeight w:val="20"/>
        </w:trPr>
        <w:tc>
          <w:tcPr>
            <w:tcW w:w="1560"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CE6ABC" w:rsidP="00696A8E">
            <w:pPr>
              <w:widowControl w:val="0"/>
              <w:pBdr>
                <w:top w:val="nil"/>
                <w:left w:val="nil"/>
                <w:bottom w:val="nil"/>
                <w:right w:val="nil"/>
                <w:between w:val="nil"/>
              </w:pBdr>
              <w:spacing w:line="240" w:lineRule="auto"/>
              <w:rPr>
                <w:b/>
                <w:sz w:val="20"/>
                <w:szCs w:val="20"/>
                <w:lang w:val="nl-BE"/>
              </w:rPr>
            </w:pPr>
            <w:r w:rsidRPr="00E6515F">
              <w:rPr>
                <w:b/>
                <w:sz w:val="20"/>
                <w:szCs w:val="20"/>
                <w:lang w:val="nl-BE"/>
              </w:rPr>
              <w:t xml:space="preserve"> </w:t>
            </w:r>
            <w:proofErr w:type="spellStart"/>
            <w:r w:rsidRPr="00E6515F">
              <w:rPr>
                <w:b/>
                <w:sz w:val="20"/>
                <w:szCs w:val="20"/>
                <w:lang w:val="nl-BE"/>
              </w:rPr>
              <w:t>Leeftijds</w:t>
            </w:r>
            <w:r w:rsidR="00D90114" w:rsidRPr="00E6515F">
              <w:rPr>
                <w:b/>
                <w:sz w:val="20"/>
                <w:szCs w:val="20"/>
                <w:lang w:val="nl-BE"/>
              </w:rPr>
              <w:t>-</w:t>
            </w:r>
            <w:r w:rsidRPr="00E6515F">
              <w:rPr>
                <w:b/>
                <w:sz w:val="20"/>
                <w:szCs w:val="20"/>
                <w:lang w:val="nl-BE"/>
              </w:rPr>
              <w:t>categorie</w:t>
            </w:r>
            <w:proofErr w:type="spellEnd"/>
          </w:p>
        </w:tc>
        <w:tc>
          <w:tcPr>
            <w:tcW w:w="141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CE6ABC" w:rsidP="00D90114">
            <w:pPr>
              <w:spacing w:line="240" w:lineRule="auto"/>
              <w:jc w:val="center"/>
              <w:rPr>
                <w:b/>
                <w:sz w:val="20"/>
                <w:szCs w:val="20"/>
                <w:lang w:val="nl-BE"/>
              </w:rPr>
            </w:pPr>
            <w:r w:rsidRPr="00E6515F">
              <w:rPr>
                <w:b/>
                <w:sz w:val="20"/>
                <w:szCs w:val="20"/>
                <w:lang w:val="nl-BE"/>
              </w:rPr>
              <w:t>Psychosociale ondersteuning</w:t>
            </w:r>
          </w:p>
        </w:tc>
        <w:tc>
          <w:tcPr>
            <w:tcW w:w="141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4710CF" w:rsidP="00D90114">
            <w:pPr>
              <w:spacing w:line="240" w:lineRule="auto"/>
              <w:jc w:val="center"/>
              <w:rPr>
                <w:b/>
                <w:sz w:val="20"/>
                <w:szCs w:val="20"/>
                <w:lang w:val="nl-BE"/>
              </w:rPr>
            </w:pPr>
            <w:r>
              <w:rPr>
                <w:b/>
                <w:sz w:val="20"/>
                <w:szCs w:val="20"/>
                <w:lang w:val="nl-BE"/>
              </w:rPr>
              <w:t>I</w:t>
            </w:r>
            <w:r w:rsidR="00CE6ABC" w:rsidRPr="00E6515F">
              <w:rPr>
                <w:b/>
                <w:sz w:val="20"/>
                <w:szCs w:val="20"/>
                <w:lang w:val="nl-BE"/>
              </w:rPr>
              <w:t>ndividuele/</w:t>
            </w:r>
          </w:p>
          <w:p w:rsidR="00CE6ABC" w:rsidRPr="00E6515F" w:rsidRDefault="00CE6ABC" w:rsidP="00D90114">
            <w:pPr>
              <w:spacing w:line="240" w:lineRule="auto"/>
              <w:jc w:val="center"/>
              <w:rPr>
                <w:b/>
                <w:sz w:val="20"/>
                <w:szCs w:val="20"/>
                <w:lang w:val="nl-BE"/>
              </w:rPr>
            </w:pPr>
            <w:r w:rsidRPr="00E6515F">
              <w:rPr>
                <w:b/>
                <w:sz w:val="20"/>
                <w:szCs w:val="20"/>
                <w:lang w:val="nl-BE"/>
              </w:rPr>
              <w:t>assistentie</w:t>
            </w:r>
          </w:p>
        </w:tc>
        <w:tc>
          <w:tcPr>
            <w:tcW w:w="113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CE6ABC" w:rsidP="00D90114">
            <w:pPr>
              <w:spacing w:line="240" w:lineRule="auto"/>
              <w:jc w:val="center"/>
              <w:rPr>
                <w:b/>
                <w:sz w:val="20"/>
                <w:szCs w:val="20"/>
                <w:lang w:val="nl-BE"/>
              </w:rPr>
            </w:pPr>
            <w:r w:rsidRPr="00E6515F">
              <w:rPr>
                <w:b/>
                <w:sz w:val="20"/>
                <w:szCs w:val="20"/>
                <w:lang w:val="nl-BE"/>
              </w:rPr>
              <w:t>Dag-</w:t>
            </w:r>
          </w:p>
          <w:p w:rsidR="00CE6ABC" w:rsidRPr="00E6515F" w:rsidRDefault="00D90114" w:rsidP="00D90114">
            <w:pPr>
              <w:spacing w:line="240" w:lineRule="auto"/>
              <w:jc w:val="center"/>
              <w:rPr>
                <w:b/>
                <w:sz w:val="20"/>
                <w:szCs w:val="20"/>
                <w:lang w:val="nl-BE"/>
              </w:rPr>
            </w:pPr>
            <w:r w:rsidRPr="00E6515F">
              <w:rPr>
                <w:b/>
                <w:sz w:val="20"/>
                <w:szCs w:val="20"/>
                <w:lang w:val="nl-BE"/>
              </w:rPr>
              <w:t>b</w:t>
            </w:r>
            <w:r w:rsidR="00CE6ABC" w:rsidRPr="00E6515F">
              <w:rPr>
                <w:b/>
                <w:sz w:val="20"/>
                <w:szCs w:val="20"/>
                <w:lang w:val="nl-BE"/>
              </w:rPr>
              <w:t>esteding</w:t>
            </w:r>
          </w:p>
        </w:tc>
        <w:tc>
          <w:tcPr>
            <w:tcW w:w="1417"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CE6ABC" w:rsidP="00D90114">
            <w:pPr>
              <w:spacing w:line="240" w:lineRule="auto"/>
              <w:jc w:val="center"/>
              <w:rPr>
                <w:b/>
                <w:sz w:val="20"/>
                <w:szCs w:val="20"/>
                <w:lang w:val="nl-BE"/>
              </w:rPr>
            </w:pPr>
            <w:r w:rsidRPr="00E6515F">
              <w:rPr>
                <w:b/>
                <w:sz w:val="20"/>
                <w:szCs w:val="20"/>
                <w:lang w:val="nl-BE"/>
              </w:rPr>
              <w:t>Woon-</w:t>
            </w:r>
          </w:p>
          <w:p w:rsidR="00CE6ABC" w:rsidRPr="00E6515F" w:rsidRDefault="00CE6ABC" w:rsidP="00D90114">
            <w:pPr>
              <w:spacing w:line="240" w:lineRule="auto"/>
              <w:jc w:val="center"/>
              <w:rPr>
                <w:b/>
                <w:sz w:val="20"/>
                <w:szCs w:val="20"/>
                <w:lang w:val="nl-BE"/>
              </w:rPr>
            </w:pPr>
            <w:r w:rsidRPr="00E6515F">
              <w:rPr>
                <w:b/>
                <w:sz w:val="20"/>
                <w:szCs w:val="20"/>
                <w:lang w:val="nl-BE"/>
              </w:rPr>
              <w:t>ondersteuning</w:t>
            </w:r>
          </w:p>
        </w:tc>
        <w:tc>
          <w:tcPr>
            <w:tcW w:w="113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Totaal</w:t>
            </w:r>
          </w:p>
        </w:tc>
        <w:tc>
          <w:tcPr>
            <w:tcW w:w="992" w:type="dxa"/>
            <w:tcBorders>
              <w:top w:val="single" w:sz="8" w:space="0" w:color="414141"/>
              <w:left w:val="nil"/>
              <w:bottom w:val="single" w:sz="8" w:space="0" w:color="414141"/>
              <w:right w:val="single" w:sz="8" w:space="0" w:color="414141"/>
            </w:tcBorders>
            <w:shd w:val="clear" w:color="auto" w:fill="C2C2C2"/>
          </w:tcPr>
          <w:p w:rsidR="00CE6ABC" w:rsidRPr="00E6515F" w:rsidRDefault="00CE6ABC" w:rsidP="00D90114">
            <w:pPr>
              <w:spacing w:line="240" w:lineRule="auto"/>
              <w:jc w:val="center"/>
              <w:rPr>
                <w:b/>
                <w:i/>
                <w:sz w:val="20"/>
                <w:szCs w:val="20"/>
                <w:lang w:val="nl-BE"/>
              </w:rPr>
            </w:pPr>
            <w:r w:rsidRPr="00E6515F">
              <w:rPr>
                <w:b/>
                <w:i/>
                <w:sz w:val="20"/>
                <w:szCs w:val="20"/>
                <w:lang w:val="nl-BE"/>
              </w:rPr>
              <w:t>Totaal in %</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4710CF">
            <w:pPr>
              <w:spacing w:line="240" w:lineRule="auto"/>
              <w:rPr>
                <w:b/>
                <w:sz w:val="20"/>
                <w:szCs w:val="20"/>
                <w:lang w:val="nl-BE"/>
              </w:rPr>
            </w:pPr>
            <w:r w:rsidRPr="00E6515F">
              <w:rPr>
                <w:b/>
                <w:sz w:val="20"/>
                <w:szCs w:val="20"/>
                <w:lang w:val="nl-BE"/>
              </w:rPr>
              <w:t xml:space="preserve">17 </w:t>
            </w:r>
            <w:r w:rsidR="00380DEB">
              <w:rPr>
                <w:b/>
                <w:sz w:val="20"/>
                <w:szCs w:val="20"/>
                <w:lang w:val="nl-BE"/>
              </w:rPr>
              <w:t xml:space="preserve">t/m </w:t>
            </w:r>
            <w:r w:rsidRPr="00E6515F">
              <w:rPr>
                <w:b/>
                <w:sz w:val="20"/>
                <w:szCs w:val="20"/>
                <w:lang w:val="nl-BE"/>
              </w:rPr>
              <w:t>20</w:t>
            </w:r>
            <w:r w:rsidR="004710CF">
              <w:rPr>
                <w:b/>
                <w:sz w:val="20"/>
                <w:szCs w:val="20"/>
                <w:lang w:val="nl-BE"/>
              </w:rPr>
              <w:t xml:space="preserve"> </w:t>
            </w:r>
            <w:r w:rsidRPr="00E6515F">
              <w:rPr>
                <w:b/>
                <w:sz w:val="20"/>
                <w:szCs w:val="20"/>
                <w:lang w:val="nl-BE"/>
              </w:rPr>
              <w:t>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506</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136</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449</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556</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1.647</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12%</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764</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239</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838</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1.016</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2.857</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21%</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743</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332</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298</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946</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2.319</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17%</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554</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411</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199</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751</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1.915</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14%</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501</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599</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203</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998</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2.301</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17%</w:t>
            </w:r>
          </w:p>
        </w:tc>
      </w:tr>
      <w:tr w:rsidR="00CE6ABC" w:rsidRPr="00E6515F" w:rsidTr="00D07CB6">
        <w:trPr>
          <w:trHeight w:val="20"/>
        </w:trPr>
        <w:tc>
          <w:tcPr>
            <w:tcW w:w="156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4710CF">
              <w:rPr>
                <w:b/>
                <w:sz w:val="20"/>
                <w:szCs w:val="20"/>
                <w:lang w:val="nl-BE"/>
              </w:rPr>
              <w:t xml:space="preserve"> </w:t>
            </w:r>
            <w:r w:rsidRPr="00E6515F">
              <w:rPr>
                <w:b/>
                <w:sz w:val="20"/>
                <w:szCs w:val="20"/>
                <w:lang w:val="nl-BE"/>
              </w:rPr>
              <w:t>j</w:t>
            </w:r>
            <w:r w:rsidR="004710CF">
              <w:rPr>
                <w:b/>
                <w:sz w:val="20"/>
                <w:szCs w:val="20"/>
                <w:lang w:val="nl-BE"/>
              </w:rPr>
              <w:t>.</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239</w:t>
            </w:r>
          </w:p>
        </w:tc>
        <w:tc>
          <w:tcPr>
            <w:tcW w:w="1418"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612</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154</w:t>
            </w:r>
          </w:p>
        </w:tc>
        <w:tc>
          <w:tcPr>
            <w:tcW w:w="1417"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675</w:t>
            </w:r>
          </w:p>
        </w:tc>
        <w:tc>
          <w:tcPr>
            <w:tcW w:w="1134" w:type="dxa"/>
            <w:tcBorders>
              <w:top w:val="nil"/>
              <w:left w:val="nil"/>
              <w:bottom w:val="single" w:sz="8" w:space="0" w:color="414141"/>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1.680</w:t>
            </w:r>
          </w:p>
        </w:tc>
        <w:tc>
          <w:tcPr>
            <w:tcW w:w="992" w:type="dxa"/>
            <w:tcBorders>
              <w:top w:val="nil"/>
              <w:left w:val="nil"/>
              <w:bottom w:val="single" w:sz="8" w:space="0" w:color="414141"/>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13%</w:t>
            </w:r>
          </w:p>
        </w:tc>
      </w:tr>
      <w:tr w:rsidR="00CE6ABC" w:rsidRPr="00E6515F" w:rsidTr="00D07CB6">
        <w:trPr>
          <w:trHeight w:val="20"/>
        </w:trPr>
        <w:tc>
          <w:tcPr>
            <w:tcW w:w="1560" w:type="dxa"/>
            <w:tcBorders>
              <w:top w:val="nil"/>
              <w:left w:val="single" w:sz="8" w:space="0" w:color="414141"/>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rPr>
                <w:b/>
                <w:sz w:val="20"/>
                <w:szCs w:val="20"/>
                <w:lang w:val="nl-BE"/>
              </w:rPr>
            </w:pPr>
            <w:r w:rsidRPr="00E6515F">
              <w:rPr>
                <w:b/>
                <w:sz w:val="20"/>
                <w:szCs w:val="20"/>
                <w:lang w:val="nl-BE"/>
              </w:rPr>
              <w:t>+65 j</w:t>
            </w:r>
            <w:r w:rsidR="004710CF">
              <w:rPr>
                <w:b/>
                <w:sz w:val="20"/>
                <w:szCs w:val="20"/>
                <w:lang w:val="nl-BE"/>
              </w:rPr>
              <w:t>.</w:t>
            </w:r>
          </w:p>
        </w:tc>
        <w:tc>
          <w:tcPr>
            <w:tcW w:w="1417" w:type="dxa"/>
            <w:tcBorders>
              <w:top w:val="nil"/>
              <w:left w:val="nil"/>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43</w:t>
            </w:r>
          </w:p>
        </w:tc>
        <w:tc>
          <w:tcPr>
            <w:tcW w:w="1418" w:type="dxa"/>
            <w:tcBorders>
              <w:top w:val="nil"/>
              <w:left w:val="nil"/>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329</w:t>
            </w:r>
          </w:p>
        </w:tc>
        <w:tc>
          <w:tcPr>
            <w:tcW w:w="1134" w:type="dxa"/>
            <w:tcBorders>
              <w:top w:val="nil"/>
              <w:left w:val="nil"/>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18</w:t>
            </w:r>
          </w:p>
        </w:tc>
        <w:tc>
          <w:tcPr>
            <w:tcW w:w="1417" w:type="dxa"/>
            <w:tcBorders>
              <w:top w:val="nil"/>
              <w:left w:val="nil"/>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sz w:val="20"/>
                <w:szCs w:val="20"/>
                <w:lang w:val="nl-BE"/>
              </w:rPr>
            </w:pPr>
            <w:r w:rsidRPr="00E6515F">
              <w:rPr>
                <w:sz w:val="20"/>
                <w:szCs w:val="20"/>
                <w:lang w:val="nl-BE"/>
              </w:rPr>
              <w:t>190</w:t>
            </w:r>
          </w:p>
        </w:tc>
        <w:tc>
          <w:tcPr>
            <w:tcW w:w="1134" w:type="dxa"/>
            <w:tcBorders>
              <w:top w:val="nil"/>
              <w:left w:val="nil"/>
              <w:bottom w:val="single" w:sz="4" w:space="0" w:color="auto"/>
              <w:right w:val="single" w:sz="8" w:space="0" w:color="414141"/>
            </w:tcBorders>
            <w:tcMar>
              <w:top w:w="60" w:type="dxa"/>
              <w:left w:w="100" w:type="dxa"/>
              <w:bottom w:w="60" w:type="dxa"/>
              <w:right w:w="100" w:type="dxa"/>
            </w:tcMar>
          </w:tcPr>
          <w:p w:rsidR="00CE6ABC" w:rsidRPr="00E6515F" w:rsidRDefault="00CE6ABC" w:rsidP="00D90114">
            <w:pPr>
              <w:spacing w:line="240" w:lineRule="auto"/>
              <w:jc w:val="center"/>
              <w:rPr>
                <w:i/>
                <w:sz w:val="20"/>
                <w:szCs w:val="20"/>
                <w:lang w:val="nl-BE"/>
              </w:rPr>
            </w:pPr>
            <w:r w:rsidRPr="00E6515F">
              <w:rPr>
                <w:i/>
                <w:sz w:val="20"/>
                <w:szCs w:val="20"/>
                <w:lang w:val="nl-BE"/>
              </w:rPr>
              <w:t>580</w:t>
            </w:r>
          </w:p>
        </w:tc>
        <w:tc>
          <w:tcPr>
            <w:tcW w:w="992" w:type="dxa"/>
            <w:tcBorders>
              <w:top w:val="nil"/>
              <w:left w:val="nil"/>
              <w:bottom w:val="single" w:sz="4" w:space="0" w:color="auto"/>
              <w:right w:val="single" w:sz="8" w:space="0" w:color="414141"/>
            </w:tcBorders>
            <w:vAlign w:val="bottom"/>
          </w:tcPr>
          <w:p w:rsidR="00CE6ABC" w:rsidRPr="00E6515F" w:rsidRDefault="00CE6ABC" w:rsidP="00D90114">
            <w:pPr>
              <w:spacing w:line="240" w:lineRule="auto"/>
              <w:jc w:val="center"/>
              <w:rPr>
                <w:i/>
                <w:iCs/>
                <w:color w:val="000000"/>
                <w:sz w:val="20"/>
                <w:szCs w:val="20"/>
                <w:lang w:val="nl-BE"/>
              </w:rPr>
            </w:pPr>
            <w:r w:rsidRPr="00E6515F">
              <w:rPr>
                <w:i/>
                <w:iCs/>
                <w:color w:val="000000"/>
                <w:sz w:val="20"/>
                <w:szCs w:val="20"/>
                <w:lang w:val="nl-BE"/>
              </w:rPr>
              <w:t>4%</w:t>
            </w:r>
          </w:p>
        </w:tc>
      </w:tr>
      <w:tr w:rsidR="00CE6ABC" w:rsidRPr="00E6515F" w:rsidTr="00D07CB6">
        <w:trPr>
          <w:trHeight w:val="20"/>
        </w:trPr>
        <w:tc>
          <w:tcPr>
            <w:tcW w:w="156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rPr>
                <w:b/>
                <w:i/>
                <w:sz w:val="20"/>
                <w:szCs w:val="20"/>
                <w:lang w:val="nl-BE"/>
              </w:rPr>
            </w:pPr>
            <w:r w:rsidRPr="00E6515F">
              <w:rPr>
                <w:b/>
                <w:i/>
                <w:sz w:val="20"/>
                <w:szCs w:val="20"/>
                <w:lang w:val="nl-BE"/>
              </w:rPr>
              <w:t>Totaal</w:t>
            </w:r>
          </w:p>
        </w:tc>
        <w:tc>
          <w:tcPr>
            <w:tcW w:w="1417"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3.350</w:t>
            </w:r>
          </w:p>
        </w:tc>
        <w:tc>
          <w:tcPr>
            <w:tcW w:w="1418"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2.658</w:t>
            </w:r>
          </w:p>
        </w:tc>
        <w:tc>
          <w:tcPr>
            <w:tcW w:w="113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2.159</w:t>
            </w:r>
          </w:p>
        </w:tc>
        <w:tc>
          <w:tcPr>
            <w:tcW w:w="1417"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5.132</w:t>
            </w:r>
          </w:p>
        </w:tc>
        <w:tc>
          <w:tcPr>
            <w:tcW w:w="113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jc w:val="center"/>
              <w:rPr>
                <w:b/>
                <w:i/>
                <w:sz w:val="20"/>
                <w:szCs w:val="20"/>
                <w:lang w:val="nl-BE"/>
              </w:rPr>
            </w:pPr>
            <w:r w:rsidRPr="00E6515F">
              <w:rPr>
                <w:b/>
                <w:i/>
                <w:sz w:val="20"/>
                <w:szCs w:val="20"/>
                <w:lang w:val="nl-BE"/>
              </w:rPr>
              <w:t>13.299</w:t>
            </w:r>
          </w:p>
        </w:tc>
        <w:tc>
          <w:tcPr>
            <w:tcW w:w="992" w:type="dxa"/>
            <w:tcBorders>
              <w:top w:val="single" w:sz="4" w:space="0" w:color="auto"/>
              <w:left w:val="single" w:sz="4" w:space="0" w:color="auto"/>
              <w:bottom w:val="single" w:sz="4" w:space="0" w:color="auto"/>
              <w:right w:val="single" w:sz="4" w:space="0" w:color="auto"/>
            </w:tcBorders>
            <w:vAlign w:val="bottom"/>
          </w:tcPr>
          <w:p w:rsidR="00CE6ABC" w:rsidRPr="00E6515F" w:rsidRDefault="00CE6ABC" w:rsidP="00D90114">
            <w:pPr>
              <w:spacing w:line="240" w:lineRule="auto"/>
              <w:jc w:val="center"/>
              <w:rPr>
                <w:i/>
                <w:iCs/>
                <w:color w:val="000000"/>
                <w:sz w:val="20"/>
                <w:szCs w:val="20"/>
                <w:lang w:val="nl-BE"/>
              </w:rPr>
            </w:pPr>
            <w:r w:rsidRPr="00E6515F">
              <w:rPr>
                <w:b/>
                <w:i/>
                <w:iCs/>
                <w:color w:val="000000"/>
                <w:sz w:val="20"/>
                <w:szCs w:val="20"/>
                <w:lang w:val="nl-BE"/>
              </w:rPr>
              <w:t>100%</w:t>
            </w:r>
          </w:p>
        </w:tc>
      </w:tr>
      <w:tr w:rsidR="00CE6ABC" w:rsidRPr="00E6515F" w:rsidTr="00D07CB6">
        <w:trPr>
          <w:trHeight w:val="20"/>
        </w:trPr>
        <w:tc>
          <w:tcPr>
            <w:tcW w:w="1560"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tcPr>
          <w:p w:rsidR="00CE6ABC" w:rsidRPr="00E6515F" w:rsidRDefault="00CE6ABC" w:rsidP="00D90114">
            <w:pPr>
              <w:spacing w:line="240" w:lineRule="auto"/>
              <w:rPr>
                <w:b/>
                <w:i/>
                <w:sz w:val="20"/>
                <w:szCs w:val="20"/>
                <w:lang w:val="nl-BE"/>
              </w:rPr>
            </w:pPr>
            <w:r w:rsidRPr="00E6515F">
              <w:rPr>
                <w:b/>
                <w:i/>
                <w:sz w:val="20"/>
                <w:szCs w:val="20"/>
                <w:lang w:val="nl-BE"/>
              </w:rPr>
              <w:t>Totaal in %</w:t>
            </w:r>
          </w:p>
        </w:tc>
        <w:tc>
          <w:tcPr>
            <w:tcW w:w="1417"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CE6ABC" w:rsidRPr="00E6515F" w:rsidRDefault="00CE6ABC" w:rsidP="00D90114">
            <w:pPr>
              <w:spacing w:line="240" w:lineRule="auto"/>
              <w:jc w:val="center"/>
              <w:rPr>
                <w:b/>
                <w:i/>
                <w:sz w:val="20"/>
                <w:szCs w:val="20"/>
                <w:lang w:val="nl-BE"/>
              </w:rPr>
            </w:pPr>
            <w:r w:rsidRPr="00E6515F">
              <w:rPr>
                <w:b/>
                <w:i/>
                <w:color w:val="000000"/>
                <w:sz w:val="20"/>
                <w:szCs w:val="20"/>
                <w:lang w:val="nl-BE"/>
              </w:rPr>
              <w:t>25%</w:t>
            </w:r>
          </w:p>
        </w:tc>
        <w:tc>
          <w:tcPr>
            <w:tcW w:w="1418"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CE6ABC" w:rsidRPr="00E6515F" w:rsidRDefault="00CE6ABC" w:rsidP="00D90114">
            <w:pPr>
              <w:spacing w:line="240" w:lineRule="auto"/>
              <w:jc w:val="center"/>
              <w:rPr>
                <w:b/>
                <w:i/>
                <w:sz w:val="20"/>
                <w:szCs w:val="20"/>
                <w:lang w:val="nl-BE"/>
              </w:rPr>
            </w:pPr>
            <w:r w:rsidRPr="00E6515F">
              <w:rPr>
                <w:b/>
                <w:i/>
                <w:color w:val="000000"/>
                <w:sz w:val="20"/>
                <w:szCs w:val="20"/>
                <w:lang w:val="nl-BE"/>
              </w:rPr>
              <w:t>20%</w:t>
            </w:r>
          </w:p>
        </w:tc>
        <w:tc>
          <w:tcPr>
            <w:tcW w:w="113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CE6ABC" w:rsidRPr="00E6515F" w:rsidRDefault="00CE6ABC" w:rsidP="00D90114">
            <w:pPr>
              <w:spacing w:line="240" w:lineRule="auto"/>
              <w:jc w:val="center"/>
              <w:rPr>
                <w:b/>
                <w:i/>
                <w:sz w:val="20"/>
                <w:szCs w:val="20"/>
                <w:lang w:val="nl-BE"/>
              </w:rPr>
            </w:pPr>
            <w:r w:rsidRPr="00E6515F">
              <w:rPr>
                <w:b/>
                <w:i/>
                <w:color w:val="000000"/>
                <w:sz w:val="20"/>
                <w:szCs w:val="20"/>
                <w:lang w:val="nl-BE"/>
              </w:rPr>
              <w:t>16%</w:t>
            </w:r>
          </w:p>
        </w:tc>
        <w:tc>
          <w:tcPr>
            <w:tcW w:w="1417"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CE6ABC" w:rsidRPr="00E6515F" w:rsidRDefault="00CE6ABC" w:rsidP="00D90114">
            <w:pPr>
              <w:spacing w:line="240" w:lineRule="auto"/>
              <w:jc w:val="center"/>
              <w:rPr>
                <w:b/>
                <w:i/>
                <w:sz w:val="20"/>
                <w:szCs w:val="20"/>
                <w:lang w:val="nl-BE"/>
              </w:rPr>
            </w:pPr>
            <w:r w:rsidRPr="00E6515F">
              <w:rPr>
                <w:b/>
                <w:i/>
                <w:color w:val="000000"/>
                <w:sz w:val="20"/>
                <w:szCs w:val="20"/>
                <w:lang w:val="nl-BE"/>
              </w:rPr>
              <w:t>39%</w:t>
            </w:r>
          </w:p>
        </w:tc>
        <w:tc>
          <w:tcPr>
            <w:tcW w:w="1134" w:type="dxa"/>
            <w:tcBorders>
              <w:top w:val="single" w:sz="4" w:space="0" w:color="auto"/>
              <w:left w:val="single" w:sz="4" w:space="0" w:color="auto"/>
              <w:bottom w:val="single" w:sz="4" w:space="0" w:color="auto"/>
              <w:right w:val="single" w:sz="4" w:space="0" w:color="auto"/>
            </w:tcBorders>
            <w:tcMar>
              <w:top w:w="60" w:type="dxa"/>
              <w:left w:w="100" w:type="dxa"/>
              <w:bottom w:w="60" w:type="dxa"/>
              <w:right w:w="100" w:type="dxa"/>
            </w:tcMar>
            <w:vAlign w:val="bottom"/>
          </w:tcPr>
          <w:p w:rsidR="00CE6ABC" w:rsidRPr="00E6515F" w:rsidRDefault="00CE6ABC" w:rsidP="00D90114">
            <w:pPr>
              <w:spacing w:line="240" w:lineRule="auto"/>
              <w:jc w:val="center"/>
              <w:rPr>
                <w:b/>
                <w:i/>
                <w:sz w:val="20"/>
                <w:szCs w:val="20"/>
                <w:lang w:val="nl-BE"/>
              </w:rPr>
            </w:pPr>
            <w:r w:rsidRPr="00E6515F">
              <w:rPr>
                <w:b/>
                <w:i/>
                <w:color w:val="000000"/>
                <w:sz w:val="20"/>
                <w:szCs w:val="20"/>
                <w:lang w:val="nl-BE"/>
              </w:rPr>
              <w:t>100%</w:t>
            </w:r>
          </w:p>
        </w:tc>
        <w:tc>
          <w:tcPr>
            <w:tcW w:w="992" w:type="dxa"/>
            <w:tcBorders>
              <w:top w:val="single" w:sz="4" w:space="0" w:color="auto"/>
              <w:left w:val="single" w:sz="4" w:space="0" w:color="auto"/>
              <w:bottom w:val="single" w:sz="4" w:space="0" w:color="auto"/>
              <w:right w:val="single" w:sz="4" w:space="0" w:color="auto"/>
            </w:tcBorders>
            <w:vAlign w:val="bottom"/>
          </w:tcPr>
          <w:p w:rsidR="00CE6ABC" w:rsidRPr="00E6515F" w:rsidRDefault="00CE6ABC" w:rsidP="00D90114">
            <w:pPr>
              <w:spacing w:line="240" w:lineRule="auto"/>
              <w:jc w:val="center"/>
              <w:rPr>
                <w:i/>
                <w:iCs/>
                <w:color w:val="000000"/>
                <w:sz w:val="20"/>
                <w:szCs w:val="20"/>
                <w:lang w:val="nl-BE"/>
              </w:rPr>
            </w:pPr>
          </w:p>
        </w:tc>
      </w:tr>
    </w:tbl>
    <w:p w:rsidR="00C359CD" w:rsidRPr="00E6515F" w:rsidRDefault="00C359CD" w:rsidP="00C359CD">
      <w:pPr>
        <w:rPr>
          <w:i/>
          <w:lang w:val="nl-BE"/>
        </w:rPr>
      </w:pPr>
    </w:p>
    <w:p w:rsidR="00C359CD" w:rsidRDefault="004710CF" w:rsidP="009D5BE4">
      <w:pPr>
        <w:jc w:val="both"/>
        <w:rPr>
          <w:lang w:val="nl-BE"/>
        </w:rPr>
      </w:pPr>
      <w:r>
        <w:rPr>
          <w:lang w:val="nl-BE"/>
        </w:rPr>
        <w:t>De b</w:t>
      </w:r>
      <w:r w:rsidRPr="00E6515F">
        <w:rPr>
          <w:lang w:val="nl-BE"/>
        </w:rPr>
        <w:t xml:space="preserve">ovenstaande </w:t>
      </w:r>
      <w:r w:rsidR="00C359CD" w:rsidRPr="00E6515F">
        <w:rPr>
          <w:lang w:val="nl-BE"/>
        </w:rPr>
        <w:t xml:space="preserve">tabel geeft het aantal actieve zorgvragen weer, met eerste preferentie geregistreerd </w:t>
      </w:r>
      <w:r w:rsidR="00490F75">
        <w:rPr>
          <w:lang w:val="nl-BE"/>
        </w:rPr>
        <w:t>bij</w:t>
      </w:r>
      <w:r w:rsidR="00C359CD" w:rsidRPr="00E6515F">
        <w:rPr>
          <w:lang w:val="nl-BE"/>
        </w:rPr>
        <w:t xml:space="preserve"> de centrale registratie voor zorgvragen op 31 december 2013. Om de cijfers zo veel mogelijk vergelijkbaar te maken met de cijfers van het aantal </w:t>
      </w:r>
      <w:r>
        <w:rPr>
          <w:lang w:val="nl-BE"/>
        </w:rPr>
        <w:t xml:space="preserve">personen dat wacht op een </w:t>
      </w:r>
      <w:r w:rsidR="00DD02E4">
        <w:rPr>
          <w:lang w:val="nl-BE"/>
        </w:rPr>
        <w:t>persoonsvolgend budget</w:t>
      </w:r>
      <w:r>
        <w:rPr>
          <w:lang w:val="nl-BE"/>
        </w:rPr>
        <w:t>,</w:t>
      </w:r>
      <w:r w:rsidR="00C359CD" w:rsidRPr="00E6515F">
        <w:rPr>
          <w:lang w:val="nl-BE"/>
        </w:rPr>
        <w:t xml:space="preserve"> werd geen rekening gehouden met migratievragen of toekomstgerichte vragen. Het gaat dus om actieve vragen met inbegrip van de vragen met de status prioritair te bemiddelen (PTB) naar meerderjarigenzorg. </w:t>
      </w:r>
    </w:p>
    <w:p w:rsidR="004710CF" w:rsidRPr="00E6515F" w:rsidRDefault="004710CF" w:rsidP="009D5BE4">
      <w:pPr>
        <w:jc w:val="both"/>
        <w:rPr>
          <w:lang w:val="nl-BE"/>
        </w:rPr>
      </w:pPr>
    </w:p>
    <w:p w:rsidR="00C359CD" w:rsidRPr="00E6515F" w:rsidRDefault="00C359CD" w:rsidP="009D5BE4">
      <w:pPr>
        <w:jc w:val="both"/>
        <w:rPr>
          <w:lang w:val="nl-BE"/>
        </w:rPr>
      </w:pPr>
      <w:r w:rsidRPr="00E6515F">
        <w:rPr>
          <w:lang w:val="nl-BE"/>
        </w:rPr>
        <w:t xml:space="preserve">De zorgvormen werden als volgt in de categorieën opgedeeld:  </w:t>
      </w:r>
    </w:p>
    <w:p w:rsidR="00C359CD" w:rsidRPr="00E6515F" w:rsidRDefault="00C359CD" w:rsidP="004A35A5">
      <w:pPr>
        <w:pStyle w:val="Lijstalinea"/>
        <w:numPr>
          <w:ilvl w:val="0"/>
          <w:numId w:val="12"/>
        </w:numPr>
        <w:jc w:val="both"/>
        <w:rPr>
          <w:lang w:val="nl-BE"/>
        </w:rPr>
      </w:pPr>
      <w:r w:rsidRPr="00E6515F">
        <w:rPr>
          <w:lang w:val="nl-BE"/>
        </w:rPr>
        <w:t xml:space="preserve">Psychosociale ondersteuning: pleegzorg, thuisbegeleiding, begeleid wonen, </w:t>
      </w:r>
      <w:r w:rsidR="004710CF">
        <w:rPr>
          <w:lang w:val="nl-BE"/>
        </w:rPr>
        <w:t>wonen onder begeleiding van een particulier (</w:t>
      </w:r>
      <w:r w:rsidRPr="00E6515F">
        <w:rPr>
          <w:lang w:val="nl-BE"/>
        </w:rPr>
        <w:t>WOP</w:t>
      </w:r>
      <w:r w:rsidR="004710CF">
        <w:rPr>
          <w:lang w:val="nl-BE"/>
        </w:rPr>
        <w:t>)</w:t>
      </w:r>
      <w:r w:rsidRPr="00E6515F">
        <w:rPr>
          <w:lang w:val="nl-BE"/>
        </w:rPr>
        <w:t xml:space="preserve">, ambulante begeleiding vanuit een dagcentrum. </w:t>
      </w:r>
    </w:p>
    <w:p w:rsidR="00C359CD" w:rsidRPr="00E6515F" w:rsidRDefault="00C359CD" w:rsidP="004A35A5">
      <w:pPr>
        <w:pStyle w:val="Lijstalinea"/>
        <w:numPr>
          <w:ilvl w:val="0"/>
          <w:numId w:val="12"/>
        </w:numPr>
        <w:jc w:val="both"/>
        <w:rPr>
          <w:lang w:val="nl-BE"/>
        </w:rPr>
      </w:pPr>
      <w:r w:rsidRPr="00E6515F">
        <w:rPr>
          <w:lang w:val="nl-BE"/>
        </w:rPr>
        <w:t xml:space="preserve">Individuele ondersteuning/assistentie: </w:t>
      </w:r>
      <w:r w:rsidR="00DD02E4">
        <w:rPr>
          <w:lang w:val="nl-BE"/>
        </w:rPr>
        <w:t>persoonlijke-assistentiebudget</w:t>
      </w:r>
      <w:r w:rsidRPr="00E6515F">
        <w:rPr>
          <w:lang w:val="nl-BE"/>
        </w:rPr>
        <w:t xml:space="preserve"> </w:t>
      </w:r>
    </w:p>
    <w:p w:rsidR="00C359CD" w:rsidRPr="00E6515F" w:rsidRDefault="00C359CD" w:rsidP="004A35A5">
      <w:pPr>
        <w:pStyle w:val="Lijstalinea"/>
        <w:numPr>
          <w:ilvl w:val="0"/>
          <w:numId w:val="12"/>
        </w:numPr>
        <w:jc w:val="both"/>
        <w:rPr>
          <w:lang w:val="nl-BE"/>
        </w:rPr>
      </w:pPr>
      <w:r w:rsidRPr="00E6515F">
        <w:rPr>
          <w:lang w:val="nl-BE"/>
        </w:rPr>
        <w:t xml:space="preserve">Dagbesteding: dagcentrum en begeleid werken </w:t>
      </w:r>
    </w:p>
    <w:p w:rsidR="00C359CD" w:rsidRPr="00E6515F" w:rsidRDefault="00C359CD" w:rsidP="004A35A5">
      <w:pPr>
        <w:pStyle w:val="Lijstalinea"/>
        <w:numPr>
          <w:ilvl w:val="0"/>
          <w:numId w:val="12"/>
        </w:numPr>
        <w:jc w:val="both"/>
        <w:rPr>
          <w:lang w:val="nl-BE"/>
        </w:rPr>
      </w:pPr>
      <w:r w:rsidRPr="00E6515F">
        <w:rPr>
          <w:lang w:val="nl-BE"/>
        </w:rPr>
        <w:t>Woonondersteuning: tehuis niet-werkenden</w:t>
      </w:r>
      <w:r w:rsidR="001F1533" w:rsidRPr="00E6515F">
        <w:rPr>
          <w:lang w:val="nl-BE"/>
        </w:rPr>
        <w:t xml:space="preserve"> (</w:t>
      </w:r>
      <w:proofErr w:type="spellStart"/>
      <w:r w:rsidRPr="00E6515F">
        <w:rPr>
          <w:lang w:val="nl-BE"/>
        </w:rPr>
        <w:t>nursing</w:t>
      </w:r>
      <w:proofErr w:type="spellEnd"/>
      <w:r w:rsidRPr="00E6515F">
        <w:rPr>
          <w:lang w:val="nl-BE"/>
        </w:rPr>
        <w:t xml:space="preserve"> of bezigheid</w:t>
      </w:r>
      <w:r w:rsidR="001F1533" w:rsidRPr="00E6515F">
        <w:rPr>
          <w:lang w:val="nl-BE"/>
        </w:rPr>
        <w:t>)</w:t>
      </w:r>
      <w:r w:rsidRPr="00E6515F">
        <w:rPr>
          <w:lang w:val="nl-BE"/>
        </w:rPr>
        <w:t xml:space="preserve">, tehuis werkenden, geïntegreerd, beschermd en zelfstandig wonen, </w:t>
      </w:r>
      <w:r w:rsidR="00D07CB6" w:rsidRPr="00D07CB6">
        <w:rPr>
          <w:lang w:val="nl-BE"/>
        </w:rPr>
        <w:t>observatie-, diagnose- en behandelingsunit</w:t>
      </w:r>
      <w:r w:rsidR="00D07CB6">
        <w:rPr>
          <w:lang w:val="nl-BE"/>
        </w:rPr>
        <w:t>.</w:t>
      </w:r>
    </w:p>
    <w:p w:rsidR="004710CF" w:rsidRDefault="004710CF" w:rsidP="009D5BE4">
      <w:pPr>
        <w:jc w:val="both"/>
        <w:rPr>
          <w:lang w:val="nl-BE"/>
        </w:rPr>
      </w:pPr>
    </w:p>
    <w:p w:rsidR="00C359CD" w:rsidRPr="00E6515F" w:rsidRDefault="00C359CD" w:rsidP="009D5BE4">
      <w:pPr>
        <w:jc w:val="both"/>
        <w:rPr>
          <w:i/>
          <w:lang w:val="nl-BE"/>
        </w:rPr>
      </w:pPr>
      <w:r w:rsidRPr="00E6515F">
        <w:rPr>
          <w:lang w:val="nl-BE"/>
        </w:rPr>
        <w:t xml:space="preserve">Het blijft echter bijzonder moeilijk om CRZ-cijfers te vergelijken met het aantal wachtenden voor een </w:t>
      </w:r>
      <w:r w:rsidR="00DD02E4">
        <w:rPr>
          <w:lang w:val="nl-BE"/>
        </w:rPr>
        <w:t>persoonsvolgend budget</w:t>
      </w:r>
      <w:r w:rsidRPr="00E6515F">
        <w:rPr>
          <w:lang w:val="nl-BE"/>
        </w:rPr>
        <w:t xml:space="preserve">. Bij de </w:t>
      </w:r>
      <w:r w:rsidR="004710CF" w:rsidRPr="00E6515F">
        <w:rPr>
          <w:lang w:val="nl-BE"/>
        </w:rPr>
        <w:t>centrale registratie van zorgvragen</w:t>
      </w:r>
      <w:r w:rsidRPr="00E6515F">
        <w:rPr>
          <w:lang w:val="nl-BE"/>
        </w:rPr>
        <w:t xml:space="preserve"> werden de vragen geformuleerd in termen van zorgvragen. Een persoon kon meerdere combineerbare zorgvragen registreren. </w:t>
      </w:r>
      <w:r w:rsidR="00C97AB6">
        <w:rPr>
          <w:lang w:val="nl-BE"/>
        </w:rPr>
        <w:t>Ook</w:t>
      </w:r>
      <w:r w:rsidR="00C97AB6" w:rsidRPr="00E6515F">
        <w:rPr>
          <w:lang w:val="nl-BE"/>
        </w:rPr>
        <w:t xml:space="preserve"> </w:t>
      </w:r>
      <w:r w:rsidRPr="00E6515F">
        <w:rPr>
          <w:lang w:val="nl-BE"/>
        </w:rPr>
        <w:t xml:space="preserve">kon men een zorgvraag registreren zonder geldige toewijzing, wat </w:t>
      </w:r>
      <w:r w:rsidR="00063F78" w:rsidRPr="00E6515F">
        <w:rPr>
          <w:lang w:val="nl-BE"/>
        </w:rPr>
        <w:t xml:space="preserve">in </w:t>
      </w:r>
      <w:r w:rsidRPr="00E6515F">
        <w:rPr>
          <w:lang w:val="nl-BE"/>
        </w:rPr>
        <w:t xml:space="preserve">het nieuwe systeem niet langer mogelijk is. </w:t>
      </w:r>
      <w:r w:rsidR="00D07CB6">
        <w:rPr>
          <w:lang w:val="nl-BE"/>
        </w:rPr>
        <w:t>Daarenboven</w:t>
      </w:r>
      <w:r w:rsidR="00D07CB6" w:rsidRPr="00E6515F">
        <w:rPr>
          <w:lang w:val="nl-BE"/>
        </w:rPr>
        <w:t xml:space="preserve"> </w:t>
      </w:r>
      <w:r w:rsidRPr="00E6515F">
        <w:rPr>
          <w:lang w:val="nl-BE"/>
        </w:rPr>
        <w:t>moeten we rekening houden met de gewijzigde grens tussen rechtstreeks toegankelijke hulp (RTH) en niet-rechtstreeks toegankelijke hulp (</w:t>
      </w:r>
      <w:proofErr w:type="spellStart"/>
      <w:r w:rsidRPr="00E6515F">
        <w:rPr>
          <w:lang w:val="nl-BE"/>
        </w:rPr>
        <w:t>nRTH</w:t>
      </w:r>
      <w:proofErr w:type="spellEnd"/>
      <w:r w:rsidRPr="00E6515F">
        <w:rPr>
          <w:lang w:val="nl-BE"/>
        </w:rPr>
        <w:t xml:space="preserve">). </w:t>
      </w:r>
    </w:p>
    <w:p w:rsidR="00B15C8E" w:rsidRPr="00E6515F" w:rsidRDefault="00B15C8E" w:rsidP="00EC561E">
      <w:pPr>
        <w:rPr>
          <w:i/>
          <w:lang w:val="nl-BE"/>
        </w:rPr>
      </w:pPr>
    </w:p>
    <w:p w:rsidR="00EC561E" w:rsidRPr="00E6515F" w:rsidRDefault="00EC561E" w:rsidP="00EC561E">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23</w:t>
      </w:r>
      <w:r w:rsidRPr="00E6515F">
        <w:rPr>
          <w:lang w:val="nl-BE"/>
        </w:rPr>
        <w:fldChar w:fldCharType="end"/>
      </w:r>
      <w:r w:rsidRPr="00E6515F">
        <w:rPr>
          <w:lang w:val="nl-BE"/>
        </w:rPr>
        <w:t xml:space="preserve">: Aantal wachtenden op een PVB op </w:t>
      </w:r>
      <w:r w:rsidR="00C97AB6">
        <w:rPr>
          <w:lang w:val="nl-BE"/>
        </w:rPr>
        <w:t>01.01.</w:t>
      </w:r>
      <w:r w:rsidRPr="00E6515F">
        <w:rPr>
          <w:lang w:val="nl-BE"/>
        </w:rPr>
        <w:t xml:space="preserve">2018  en </w:t>
      </w:r>
      <w:r w:rsidR="00C97AB6">
        <w:rPr>
          <w:lang w:val="nl-BE"/>
        </w:rPr>
        <w:t>01.07.</w:t>
      </w:r>
      <w:r w:rsidRPr="00E6515F">
        <w:rPr>
          <w:lang w:val="nl-BE"/>
        </w:rPr>
        <w:t>2018, opgesplitst naar reeds gebruikte ondersteuning (PVB, RTH, zorgbudget)</w:t>
      </w:r>
    </w:p>
    <w:tbl>
      <w:tblPr>
        <w:tblStyle w:val="a3"/>
        <w:tblW w:w="89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70"/>
        <w:gridCol w:w="850"/>
        <w:gridCol w:w="908"/>
        <w:gridCol w:w="907"/>
        <w:gridCol w:w="922"/>
        <w:gridCol w:w="907"/>
        <w:gridCol w:w="907"/>
        <w:gridCol w:w="907"/>
        <w:gridCol w:w="922"/>
      </w:tblGrid>
      <w:tr w:rsidR="00B15C8E" w:rsidRPr="00E6515F" w:rsidTr="00300667">
        <w:trPr>
          <w:trHeight w:val="227"/>
        </w:trPr>
        <w:tc>
          <w:tcPr>
            <w:tcW w:w="1670"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B15C8E" w:rsidRPr="00E6515F" w:rsidRDefault="00B15C8E" w:rsidP="00C359CD">
            <w:pPr>
              <w:widowControl w:val="0"/>
              <w:pBdr>
                <w:top w:val="nil"/>
                <w:left w:val="nil"/>
                <w:bottom w:val="nil"/>
                <w:right w:val="nil"/>
                <w:between w:val="nil"/>
              </w:pBdr>
              <w:rPr>
                <w:sz w:val="20"/>
                <w:szCs w:val="20"/>
                <w:lang w:val="nl-BE"/>
              </w:rPr>
            </w:pPr>
          </w:p>
        </w:tc>
        <w:tc>
          <w:tcPr>
            <w:tcW w:w="3587" w:type="dxa"/>
            <w:gridSpan w:val="4"/>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B15C8E" w:rsidRPr="00E6515F" w:rsidRDefault="00B15C8E" w:rsidP="00C359CD">
            <w:pPr>
              <w:jc w:val="center"/>
              <w:rPr>
                <w:b/>
                <w:sz w:val="20"/>
                <w:szCs w:val="20"/>
                <w:lang w:val="nl-BE"/>
              </w:rPr>
            </w:pPr>
            <w:r w:rsidRPr="00E6515F">
              <w:rPr>
                <w:b/>
                <w:sz w:val="20"/>
                <w:szCs w:val="20"/>
                <w:lang w:val="nl-BE"/>
              </w:rPr>
              <w:t>2017*</w:t>
            </w:r>
          </w:p>
        </w:tc>
        <w:tc>
          <w:tcPr>
            <w:tcW w:w="3643" w:type="dxa"/>
            <w:gridSpan w:val="4"/>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B15C8E" w:rsidRPr="00E6515F" w:rsidRDefault="00B15C8E" w:rsidP="00C359CD">
            <w:pPr>
              <w:jc w:val="center"/>
              <w:rPr>
                <w:b/>
                <w:sz w:val="20"/>
                <w:szCs w:val="20"/>
                <w:lang w:val="nl-BE"/>
              </w:rPr>
            </w:pPr>
            <w:r w:rsidRPr="00E6515F">
              <w:rPr>
                <w:b/>
                <w:sz w:val="20"/>
                <w:szCs w:val="20"/>
                <w:lang w:val="nl-BE"/>
              </w:rPr>
              <w:t>2018**</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Prioriteitengroep</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1</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2</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3</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i/>
                <w:sz w:val="20"/>
                <w:szCs w:val="20"/>
                <w:lang w:val="nl-BE"/>
              </w:rPr>
            </w:pPr>
            <w:r w:rsidRPr="00E6515F">
              <w:rPr>
                <w:b/>
                <w:i/>
                <w:sz w:val="20"/>
                <w:szCs w:val="20"/>
                <w:lang w:val="nl-BE"/>
              </w:rPr>
              <w:t>Totaal 2017</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1</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2</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PG 3</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615934" w:rsidP="00C359CD">
            <w:pPr>
              <w:rPr>
                <w:b/>
                <w:i/>
                <w:sz w:val="20"/>
                <w:szCs w:val="20"/>
                <w:lang w:val="nl-BE"/>
              </w:rPr>
            </w:pPr>
            <w:r w:rsidRPr="00E6515F">
              <w:rPr>
                <w:b/>
                <w:i/>
                <w:sz w:val="20"/>
                <w:szCs w:val="20"/>
                <w:lang w:val="nl-BE"/>
              </w:rPr>
              <w:t>Totaal 20</w:t>
            </w:r>
            <w:r w:rsidR="00B15C8E" w:rsidRPr="00E6515F">
              <w:rPr>
                <w:b/>
                <w:i/>
                <w:sz w:val="20"/>
                <w:szCs w:val="20"/>
                <w:lang w:val="nl-BE"/>
              </w:rPr>
              <w:t>18</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Zorgbudget</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154</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56</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3.511</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3.721</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139</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86</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3.534</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3.759</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RTH</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101</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82</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1.410</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1.593</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161</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167</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1.272</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1.600</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Zorgbudget en RTH</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114</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34</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1.543</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1.691</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128</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57</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1.413</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1.598</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C97AB6" w:rsidP="00C359CD">
            <w:pPr>
              <w:rPr>
                <w:b/>
                <w:sz w:val="20"/>
                <w:szCs w:val="20"/>
                <w:lang w:val="nl-BE"/>
              </w:rPr>
            </w:pPr>
            <w:r>
              <w:rPr>
                <w:b/>
                <w:sz w:val="20"/>
                <w:szCs w:val="20"/>
                <w:lang w:val="nl-BE"/>
              </w:rPr>
              <w:t>D</w:t>
            </w:r>
            <w:r w:rsidR="00B15C8E" w:rsidRPr="00E6515F">
              <w:rPr>
                <w:b/>
                <w:sz w:val="20"/>
                <w:szCs w:val="20"/>
                <w:lang w:val="nl-BE"/>
              </w:rPr>
              <w:t>eel</w:t>
            </w:r>
            <w:r>
              <w:rPr>
                <w:b/>
                <w:sz w:val="20"/>
                <w:szCs w:val="20"/>
                <w:lang w:val="nl-BE"/>
              </w:rPr>
              <w:t>-</w:t>
            </w:r>
            <w:r w:rsidR="00B15C8E" w:rsidRPr="00E6515F">
              <w:rPr>
                <w:b/>
                <w:sz w:val="20"/>
                <w:szCs w:val="20"/>
                <w:lang w:val="nl-BE"/>
              </w:rPr>
              <w:t>PVB</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269</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114</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3.687</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4.070</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278</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243</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3.504</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4.025</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sz w:val="20"/>
                <w:szCs w:val="20"/>
                <w:lang w:val="nl-BE"/>
              </w:rPr>
            </w:pPr>
            <w:r w:rsidRPr="00E6515F">
              <w:rPr>
                <w:b/>
                <w:sz w:val="20"/>
                <w:szCs w:val="20"/>
                <w:lang w:val="nl-BE"/>
              </w:rPr>
              <w:t>Geen van bovenstaande</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210</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206</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2.763</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3.179</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344</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397</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sz w:val="20"/>
                <w:szCs w:val="20"/>
                <w:lang w:val="nl-BE"/>
              </w:rPr>
            </w:pPr>
            <w:r w:rsidRPr="00E6515F">
              <w:rPr>
                <w:sz w:val="20"/>
                <w:szCs w:val="20"/>
                <w:lang w:val="nl-BE"/>
              </w:rPr>
              <w:t>2.884</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3.625</w:t>
            </w:r>
          </w:p>
        </w:tc>
      </w:tr>
      <w:tr w:rsidR="00B15C8E" w:rsidRPr="00E6515F" w:rsidTr="00300667">
        <w:trPr>
          <w:trHeight w:val="227"/>
        </w:trPr>
        <w:tc>
          <w:tcPr>
            <w:tcW w:w="1670" w:type="dxa"/>
            <w:tcBorders>
              <w:top w:val="nil"/>
              <w:left w:val="single" w:sz="8" w:space="0" w:color="414141"/>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rPr>
                <w:b/>
                <w:i/>
                <w:sz w:val="20"/>
                <w:szCs w:val="20"/>
                <w:lang w:val="nl-BE"/>
              </w:rPr>
            </w:pPr>
            <w:r w:rsidRPr="00E6515F">
              <w:rPr>
                <w:b/>
                <w:i/>
                <w:sz w:val="20"/>
                <w:szCs w:val="20"/>
                <w:lang w:val="nl-BE"/>
              </w:rPr>
              <w:t>Totaal</w:t>
            </w:r>
          </w:p>
        </w:tc>
        <w:tc>
          <w:tcPr>
            <w:tcW w:w="850"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848</w:t>
            </w:r>
          </w:p>
        </w:tc>
        <w:tc>
          <w:tcPr>
            <w:tcW w:w="908"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492</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12.914</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14.254</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1.050</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950</w:t>
            </w:r>
          </w:p>
        </w:tc>
        <w:tc>
          <w:tcPr>
            <w:tcW w:w="907"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12.607</w:t>
            </w:r>
          </w:p>
        </w:tc>
        <w:tc>
          <w:tcPr>
            <w:tcW w:w="922" w:type="dxa"/>
            <w:tcBorders>
              <w:top w:val="nil"/>
              <w:left w:val="nil"/>
              <w:bottom w:val="single" w:sz="8" w:space="0" w:color="414141"/>
              <w:right w:val="single" w:sz="8" w:space="0" w:color="414141"/>
            </w:tcBorders>
            <w:shd w:val="clear" w:color="auto" w:fill="auto"/>
            <w:tcMar>
              <w:top w:w="60" w:type="dxa"/>
              <w:left w:w="100" w:type="dxa"/>
              <w:bottom w:w="60" w:type="dxa"/>
              <w:right w:w="100" w:type="dxa"/>
            </w:tcMar>
          </w:tcPr>
          <w:p w:rsidR="00B15C8E" w:rsidRPr="00E6515F" w:rsidRDefault="00B15C8E" w:rsidP="00C359CD">
            <w:pPr>
              <w:jc w:val="center"/>
              <w:rPr>
                <w:b/>
                <w:i/>
                <w:sz w:val="20"/>
                <w:szCs w:val="20"/>
                <w:lang w:val="nl-BE"/>
              </w:rPr>
            </w:pPr>
            <w:r w:rsidRPr="00E6515F">
              <w:rPr>
                <w:b/>
                <w:i/>
                <w:sz w:val="20"/>
                <w:szCs w:val="20"/>
                <w:lang w:val="nl-BE"/>
              </w:rPr>
              <w:t>14.607</w:t>
            </w:r>
          </w:p>
        </w:tc>
      </w:tr>
    </w:tbl>
    <w:p w:rsidR="00B15C8E" w:rsidRPr="00346DD7" w:rsidRDefault="007548FD" w:rsidP="00B15C8E">
      <w:pPr>
        <w:ind w:left="360"/>
        <w:rPr>
          <w:sz w:val="18"/>
          <w:szCs w:val="18"/>
          <w:lang w:val="nl-BE"/>
        </w:rPr>
      </w:pPr>
      <w:r w:rsidRPr="00346DD7">
        <w:rPr>
          <w:sz w:val="18"/>
          <w:szCs w:val="18"/>
          <w:lang w:val="nl-BE"/>
        </w:rPr>
        <w:t>*</w:t>
      </w:r>
      <w:r w:rsidR="00C97AB6" w:rsidRPr="00346DD7">
        <w:rPr>
          <w:sz w:val="18"/>
          <w:szCs w:val="18"/>
          <w:lang w:val="nl-BE"/>
        </w:rPr>
        <w:t xml:space="preserve"> W</w:t>
      </w:r>
      <w:r w:rsidRPr="00346DD7">
        <w:rPr>
          <w:sz w:val="18"/>
          <w:szCs w:val="18"/>
          <w:lang w:val="nl-BE"/>
        </w:rPr>
        <w:t>achtlijst van 01</w:t>
      </w:r>
      <w:r w:rsidR="00C97AB6" w:rsidRPr="00346DD7">
        <w:rPr>
          <w:sz w:val="18"/>
          <w:szCs w:val="18"/>
          <w:lang w:val="nl-BE"/>
        </w:rPr>
        <w:t>.</w:t>
      </w:r>
      <w:r w:rsidRPr="00346DD7">
        <w:rPr>
          <w:sz w:val="18"/>
          <w:szCs w:val="18"/>
          <w:lang w:val="nl-BE"/>
        </w:rPr>
        <w:t>01</w:t>
      </w:r>
      <w:r w:rsidR="00C97AB6" w:rsidRPr="00346DD7">
        <w:rPr>
          <w:sz w:val="18"/>
          <w:szCs w:val="18"/>
          <w:lang w:val="nl-BE"/>
        </w:rPr>
        <w:t>.</w:t>
      </w:r>
      <w:r w:rsidRPr="00346DD7">
        <w:rPr>
          <w:sz w:val="18"/>
          <w:szCs w:val="18"/>
          <w:lang w:val="nl-BE"/>
        </w:rPr>
        <w:t>20</w:t>
      </w:r>
      <w:r w:rsidR="00B15C8E" w:rsidRPr="00346DD7">
        <w:rPr>
          <w:sz w:val="18"/>
          <w:szCs w:val="18"/>
          <w:lang w:val="nl-BE"/>
        </w:rPr>
        <w:t>18, ondersteuning in 2017</w:t>
      </w:r>
    </w:p>
    <w:p w:rsidR="00B15C8E" w:rsidRPr="00346DD7" w:rsidRDefault="007548FD" w:rsidP="00B15C8E">
      <w:pPr>
        <w:ind w:left="360"/>
        <w:rPr>
          <w:sz w:val="18"/>
          <w:szCs w:val="18"/>
          <w:lang w:val="nl-BE"/>
        </w:rPr>
      </w:pPr>
      <w:r w:rsidRPr="00346DD7">
        <w:rPr>
          <w:sz w:val="18"/>
          <w:szCs w:val="18"/>
          <w:lang w:val="nl-BE"/>
        </w:rPr>
        <w:t>**</w:t>
      </w:r>
      <w:r w:rsidR="00C97AB6" w:rsidRPr="00346DD7">
        <w:rPr>
          <w:sz w:val="18"/>
          <w:szCs w:val="18"/>
          <w:lang w:val="nl-BE"/>
        </w:rPr>
        <w:t xml:space="preserve"> W</w:t>
      </w:r>
      <w:r w:rsidRPr="00346DD7">
        <w:rPr>
          <w:sz w:val="18"/>
          <w:szCs w:val="18"/>
          <w:lang w:val="nl-BE"/>
        </w:rPr>
        <w:t>achtlijst van 01</w:t>
      </w:r>
      <w:r w:rsidR="00C97AB6" w:rsidRPr="00346DD7">
        <w:rPr>
          <w:sz w:val="18"/>
          <w:szCs w:val="18"/>
          <w:lang w:val="nl-BE"/>
        </w:rPr>
        <w:t>.</w:t>
      </w:r>
      <w:r w:rsidRPr="00346DD7">
        <w:rPr>
          <w:sz w:val="18"/>
          <w:szCs w:val="18"/>
          <w:lang w:val="nl-BE"/>
        </w:rPr>
        <w:t>07</w:t>
      </w:r>
      <w:r w:rsidR="00C97AB6" w:rsidRPr="00346DD7">
        <w:rPr>
          <w:sz w:val="18"/>
          <w:szCs w:val="18"/>
          <w:lang w:val="nl-BE"/>
        </w:rPr>
        <w:t>.</w:t>
      </w:r>
      <w:r w:rsidRPr="00346DD7">
        <w:rPr>
          <w:sz w:val="18"/>
          <w:szCs w:val="18"/>
          <w:lang w:val="nl-BE"/>
        </w:rPr>
        <w:t>20</w:t>
      </w:r>
      <w:r w:rsidR="00B15C8E" w:rsidRPr="00346DD7">
        <w:rPr>
          <w:sz w:val="18"/>
          <w:szCs w:val="18"/>
          <w:lang w:val="nl-BE"/>
        </w:rPr>
        <w:t>18, ondersteuning in het eerste half jaar van 2018</w:t>
      </w:r>
    </w:p>
    <w:p w:rsidR="00B15C8E" w:rsidRPr="00E6515F" w:rsidRDefault="00B15C8E" w:rsidP="00B15C8E">
      <w:pPr>
        <w:ind w:left="360"/>
        <w:rPr>
          <w:i/>
          <w:lang w:val="nl-BE"/>
        </w:rPr>
      </w:pPr>
    </w:p>
    <w:p w:rsidR="00B15C8E" w:rsidRPr="00E6515F" w:rsidRDefault="00B15C8E" w:rsidP="008223EB">
      <w:pPr>
        <w:jc w:val="both"/>
        <w:rPr>
          <w:lang w:val="nl-BE"/>
        </w:rPr>
      </w:pPr>
      <w:r w:rsidRPr="00E6515F">
        <w:rPr>
          <w:lang w:val="nl-BE"/>
        </w:rPr>
        <w:t xml:space="preserve">Deze tabel toont de vragen op de </w:t>
      </w:r>
      <w:r w:rsidR="00BF51F1">
        <w:rPr>
          <w:lang w:val="nl-BE"/>
        </w:rPr>
        <w:t>prioriteitenlijsten</w:t>
      </w:r>
      <w:r w:rsidR="00BF51F1" w:rsidRPr="00E6515F">
        <w:rPr>
          <w:lang w:val="nl-BE"/>
        </w:rPr>
        <w:t xml:space="preserve"> </w:t>
      </w:r>
      <w:r w:rsidRPr="00E6515F">
        <w:rPr>
          <w:lang w:val="nl-BE"/>
        </w:rPr>
        <w:t xml:space="preserve">van 1 januari 2018 en 1 juli 2018 opgesplitst per prioriteitengroep en per ondersteuningsvorm waarover men </w:t>
      </w:r>
      <w:r w:rsidR="00C97AB6">
        <w:rPr>
          <w:lang w:val="nl-BE"/>
        </w:rPr>
        <w:t>al</w:t>
      </w:r>
      <w:r w:rsidR="00C97AB6" w:rsidRPr="00E6515F">
        <w:rPr>
          <w:lang w:val="nl-BE"/>
        </w:rPr>
        <w:t xml:space="preserve"> </w:t>
      </w:r>
      <w:r w:rsidRPr="00E6515F">
        <w:rPr>
          <w:lang w:val="nl-BE"/>
        </w:rPr>
        <w:t>beschikt (zorgbudget</w:t>
      </w:r>
      <w:r w:rsidR="00C97AB6">
        <w:rPr>
          <w:lang w:val="nl-BE"/>
        </w:rPr>
        <w:t xml:space="preserve"> voor mensen met een handicap</w:t>
      </w:r>
      <w:r w:rsidRPr="00E6515F">
        <w:rPr>
          <w:lang w:val="nl-BE"/>
        </w:rPr>
        <w:t xml:space="preserve">, </w:t>
      </w:r>
      <w:r w:rsidR="00DD02E4">
        <w:rPr>
          <w:lang w:val="nl-BE"/>
        </w:rPr>
        <w:t>rechtstreeks toegankelijke hulp</w:t>
      </w:r>
      <w:r w:rsidRPr="00E6515F">
        <w:rPr>
          <w:lang w:val="nl-BE"/>
        </w:rPr>
        <w:t xml:space="preserve">, zorgbudget en </w:t>
      </w:r>
      <w:r w:rsidR="00DD02E4">
        <w:rPr>
          <w:lang w:val="nl-BE"/>
        </w:rPr>
        <w:t>rechtstreeks toegankelijke hulp</w:t>
      </w:r>
      <w:r w:rsidRPr="00E6515F">
        <w:rPr>
          <w:lang w:val="nl-BE"/>
        </w:rPr>
        <w:t>, deel</w:t>
      </w:r>
      <w:r w:rsidR="00C97AB6">
        <w:rPr>
          <w:lang w:val="nl-BE"/>
        </w:rPr>
        <w:t>-</w:t>
      </w:r>
      <w:r w:rsidRPr="00E6515F">
        <w:rPr>
          <w:lang w:val="nl-BE"/>
        </w:rPr>
        <w:t>PVB</w:t>
      </w:r>
      <w:r w:rsidR="00346DD7">
        <w:rPr>
          <w:lang w:val="nl-BE"/>
        </w:rPr>
        <w:t>,</w:t>
      </w:r>
      <w:r w:rsidRPr="00E6515F">
        <w:rPr>
          <w:lang w:val="nl-BE"/>
        </w:rPr>
        <w:t xml:space="preserve"> of noch </w:t>
      </w:r>
      <w:r w:rsidR="00DD02E4">
        <w:rPr>
          <w:lang w:val="nl-BE"/>
        </w:rPr>
        <w:t>rechtstreeks toegankelijke hulp</w:t>
      </w:r>
      <w:r w:rsidRPr="00E6515F">
        <w:rPr>
          <w:lang w:val="nl-BE"/>
        </w:rPr>
        <w:t>/zorgbudget/</w:t>
      </w:r>
      <w:r w:rsidR="00DD02E4">
        <w:rPr>
          <w:lang w:val="nl-BE"/>
        </w:rPr>
        <w:t>persoonsvolgend budget</w:t>
      </w:r>
      <w:r w:rsidRPr="00E6515F">
        <w:rPr>
          <w:lang w:val="nl-BE"/>
        </w:rPr>
        <w:t>). Elke persoon kan slechts in één categorie voorkomen. De gegevens van 2017 zijn gebaseerd op de zorgbudget- en RTH-gebruikers in de loop van 2017. De gegevens van 2018 zijn gebaseerd op de zorgbudget- en RTH-gebruikers in de eerste jaarhelft van 2018.</w:t>
      </w:r>
    </w:p>
    <w:p w:rsidR="008223EB" w:rsidRPr="00E6515F" w:rsidRDefault="008223EB" w:rsidP="008223EB">
      <w:pPr>
        <w:jc w:val="both"/>
        <w:rPr>
          <w:lang w:val="nl-BE"/>
        </w:rPr>
      </w:pPr>
    </w:p>
    <w:p w:rsidR="008223EB" w:rsidRPr="00E6515F" w:rsidRDefault="008223EB" w:rsidP="008223EB">
      <w:pPr>
        <w:jc w:val="both"/>
        <w:rPr>
          <w:i/>
          <w:lang w:val="nl-BE"/>
        </w:rPr>
      </w:pPr>
      <w:r w:rsidRPr="00E6515F">
        <w:rPr>
          <w:lang w:val="nl-BE"/>
        </w:rPr>
        <w:t xml:space="preserve">De daling in het aantal wachtenden in prioriteitengroep 3 (PG 3) op 1 juli 2018 </w:t>
      </w:r>
      <w:r w:rsidR="00C97AB6">
        <w:rPr>
          <w:lang w:val="nl-BE"/>
        </w:rPr>
        <w:t>ten opzichte van</w:t>
      </w:r>
      <w:r w:rsidRPr="00E6515F">
        <w:rPr>
          <w:lang w:val="nl-BE"/>
        </w:rPr>
        <w:t xml:space="preserve"> 1 januari 2018 is grotendeels te wijten aan het feit dat er heel wat personen met een vraag in </w:t>
      </w:r>
      <w:r w:rsidR="00C97AB6">
        <w:rPr>
          <w:lang w:val="nl-BE"/>
        </w:rPr>
        <w:t>prioriteitengroep</w:t>
      </w:r>
      <w:r w:rsidR="00C97AB6" w:rsidRPr="00E6515F">
        <w:rPr>
          <w:lang w:val="nl-BE"/>
        </w:rPr>
        <w:t xml:space="preserve"> </w:t>
      </w:r>
      <w:r w:rsidRPr="00E6515F">
        <w:rPr>
          <w:lang w:val="nl-BE"/>
        </w:rPr>
        <w:t xml:space="preserve">3 een </w:t>
      </w:r>
      <w:proofErr w:type="spellStart"/>
      <w:r w:rsidRPr="00E6515F">
        <w:rPr>
          <w:lang w:val="nl-BE"/>
        </w:rPr>
        <w:t>herprioritering</w:t>
      </w:r>
      <w:proofErr w:type="spellEnd"/>
      <w:r w:rsidRPr="00E6515F">
        <w:rPr>
          <w:lang w:val="nl-BE"/>
        </w:rPr>
        <w:t xml:space="preserve"> aanvragen en zo terecht komen in </w:t>
      </w:r>
      <w:r w:rsidR="00C97AB6">
        <w:rPr>
          <w:lang w:val="nl-BE"/>
        </w:rPr>
        <w:t>prioriteitengroep</w:t>
      </w:r>
      <w:r w:rsidR="00C97AB6" w:rsidRPr="00E6515F">
        <w:rPr>
          <w:lang w:val="nl-BE"/>
        </w:rPr>
        <w:t xml:space="preserve"> </w:t>
      </w:r>
      <w:r w:rsidRPr="00E6515F">
        <w:rPr>
          <w:lang w:val="nl-BE"/>
        </w:rPr>
        <w:t xml:space="preserve">1 of </w:t>
      </w:r>
      <w:r w:rsidR="00C97AB6">
        <w:rPr>
          <w:lang w:val="nl-BE"/>
        </w:rPr>
        <w:t>prioriteitengroep</w:t>
      </w:r>
      <w:r w:rsidR="00C97AB6" w:rsidRPr="00E6515F">
        <w:rPr>
          <w:lang w:val="nl-BE"/>
        </w:rPr>
        <w:t xml:space="preserve"> </w:t>
      </w:r>
      <w:r w:rsidRPr="00E6515F">
        <w:rPr>
          <w:lang w:val="nl-BE"/>
        </w:rPr>
        <w:t xml:space="preserve">2 met hun vraag. Daarnaast is de stijging in </w:t>
      </w:r>
      <w:r w:rsidR="00C97AB6">
        <w:rPr>
          <w:lang w:val="nl-BE"/>
        </w:rPr>
        <w:t>prioriteitengroep</w:t>
      </w:r>
      <w:r w:rsidR="00C97AB6" w:rsidRPr="00E6515F">
        <w:rPr>
          <w:lang w:val="nl-BE"/>
        </w:rPr>
        <w:t xml:space="preserve"> </w:t>
      </w:r>
      <w:r w:rsidRPr="00E6515F">
        <w:rPr>
          <w:lang w:val="nl-BE"/>
        </w:rPr>
        <w:t>1 ook te wijten aan het feit dat 94 personen die geen persoonsvolgend budget kregen in de t</w:t>
      </w:r>
      <w:r w:rsidR="00591C0E" w:rsidRPr="00E6515F">
        <w:rPr>
          <w:lang w:val="nl-BE"/>
        </w:rPr>
        <w:t xml:space="preserve">ransitie </w:t>
      </w:r>
      <w:r w:rsidR="00C97AB6">
        <w:rPr>
          <w:lang w:val="nl-BE"/>
        </w:rPr>
        <w:t>van zorg in natura</w:t>
      </w:r>
      <w:r w:rsidR="00591C0E" w:rsidRPr="00E6515F">
        <w:rPr>
          <w:lang w:val="nl-BE"/>
        </w:rPr>
        <w:t xml:space="preserve"> ten gevolge van een discrepantie tussen de in- en de uitstroom </w:t>
      </w:r>
      <w:r w:rsidRPr="00E6515F">
        <w:rPr>
          <w:lang w:val="nl-BE"/>
        </w:rPr>
        <w:t xml:space="preserve">met hun vraag in </w:t>
      </w:r>
      <w:r w:rsidR="00C97AB6">
        <w:rPr>
          <w:lang w:val="nl-BE"/>
        </w:rPr>
        <w:t>prioriteitengroep</w:t>
      </w:r>
      <w:r w:rsidR="00C97AB6" w:rsidRPr="00E6515F">
        <w:rPr>
          <w:lang w:val="nl-BE"/>
        </w:rPr>
        <w:t xml:space="preserve"> </w:t>
      </w:r>
      <w:r w:rsidRPr="00E6515F">
        <w:rPr>
          <w:lang w:val="nl-BE"/>
        </w:rPr>
        <w:t xml:space="preserve">1 </w:t>
      </w:r>
      <w:r w:rsidR="006F0C4B" w:rsidRPr="00E6515F">
        <w:rPr>
          <w:lang w:val="nl-BE"/>
        </w:rPr>
        <w:t>geplaatst</w:t>
      </w:r>
      <w:r w:rsidRPr="00E6515F">
        <w:rPr>
          <w:lang w:val="nl-BE"/>
        </w:rPr>
        <w:t xml:space="preserve"> zijn om perspectief op continuïteit van hun zorg te geven (</w:t>
      </w:r>
      <w:proofErr w:type="spellStart"/>
      <w:r w:rsidRPr="00E6515F">
        <w:rPr>
          <w:lang w:val="nl-BE"/>
        </w:rPr>
        <w:t>standstill</w:t>
      </w:r>
      <w:proofErr w:type="spellEnd"/>
      <w:r w:rsidRPr="00E6515F">
        <w:rPr>
          <w:lang w:val="nl-BE"/>
        </w:rPr>
        <w:t xml:space="preserve">-principe). </w:t>
      </w:r>
    </w:p>
    <w:p w:rsidR="008223EB" w:rsidRPr="00E6515F" w:rsidRDefault="008223EB" w:rsidP="008223EB">
      <w:pPr>
        <w:rPr>
          <w:lang w:val="nl-BE"/>
        </w:rPr>
      </w:pPr>
    </w:p>
    <w:p w:rsidR="00073427" w:rsidRPr="00E6515F" w:rsidRDefault="00073427">
      <w:pPr>
        <w:rPr>
          <w:b/>
          <w:sz w:val="34"/>
          <w:szCs w:val="34"/>
          <w:lang w:val="nl-BE"/>
        </w:rPr>
      </w:pPr>
      <w:bookmarkStart w:id="53" w:name="_58lpxe1qrw8m" w:colFirst="0" w:colLast="0"/>
      <w:bookmarkStart w:id="54" w:name="_Toc528227894"/>
      <w:bookmarkEnd w:id="53"/>
      <w:r w:rsidRPr="00E6515F">
        <w:rPr>
          <w:lang w:val="nl-BE"/>
        </w:rPr>
        <w:br w:type="page"/>
      </w:r>
    </w:p>
    <w:p w:rsidR="00B757A4" w:rsidRPr="00E6515F" w:rsidRDefault="007548FD" w:rsidP="00B757A4">
      <w:pPr>
        <w:pStyle w:val="Kop2"/>
        <w:numPr>
          <w:ilvl w:val="1"/>
          <w:numId w:val="1"/>
        </w:numPr>
        <w:pBdr>
          <w:top w:val="nil"/>
          <w:left w:val="nil"/>
          <w:bottom w:val="nil"/>
          <w:right w:val="nil"/>
          <w:between w:val="nil"/>
        </w:pBdr>
        <w:contextualSpacing/>
        <w:rPr>
          <w:lang w:val="nl-BE"/>
        </w:rPr>
      </w:pPr>
      <w:bookmarkStart w:id="55" w:name="_Toc536797811"/>
      <w:r w:rsidRPr="00E6515F">
        <w:rPr>
          <w:lang w:val="nl-BE"/>
        </w:rPr>
        <w:lastRenderedPageBreak/>
        <w:t xml:space="preserve">Informatie </w:t>
      </w:r>
      <w:r w:rsidR="00C97AB6">
        <w:rPr>
          <w:lang w:val="nl-BE"/>
        </w:rPr>
        <w:t>over</w:t>
      </w:r>
      <w:r w:rsidR="00C97AB6" w:rsidRPr="00E6515F">
        <w:rPr>
          <w:lang w:val="nl-BE"/>
        </w:rPr>
        <w:t xml:space="preserve"> </w:t>
      </w:r>
      <w:r w:rsidRPr="00E6515F">
        <w:rPr>
          <w:lang w:val="nl-BE"/>
        </w:rPr>
        <w:t>nieuwe vragen</w:t>
      </w:r>
      <w:bookmarkEnd w:id="54"/>
      <w:bookmarkEnd w:id="55"/>
    </w:p>
    <w:p w:rsidR="007548FD" w:rsidRPr="00E6515F" w:rsidRDefault="007548FD" w:rsidP="007548FD">
      <w:pPr>
        <w:rPr>
          <w:lang w:val="nl-BE"/>
        </w:rPr>
      </w:pPr>
    </w:p>
    <w:p w:rsidR="007548FD" w:rsidRPr="00E6515F" w:rsidRDefault="007548FD" w:rsidP="007548FD">
      <w:pPr>
        <w:pStyle w:val="Bijschrift"/>
        <w:keepNext/>
        <w:ind w:left="360"/>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24</w:t>
      </w:r>
      <w:r w:rsidRPr="00E6515F">
        <w:rPr>
          <w:lang w:val="nl-BE"/>
        </w:rPr>
        <w:fldChar w:fldCharType="end"/>
      </w:r>
      <w:r w:rsidRPr="00E6515F">
        <w:rPr>
          <w:lang w:val="nl-BE"/>
        </w:rPr>
        <w:t>: Aantal nieuwe vragen per ondersteuningsfunctie per jaar</w:t>
      </w:r>
    </w:p>
    <w:tbl>
      <w:tblPr>
        <w:tblStyle w:val="a1"/>
        <w:tblW w:w="6096"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388"/>
        <w:gridCol w:w="1854"/>
        <w:gridCol w:w="1854"/>
      </w:tblGrid>
      <w:tr w:rsidR="007548FD" w:rsidRPr="00E6515F" w:rsidTr="00EC561E">
        <w:tc>
          <w:tcPr>
            <w:tcW w:w="2388"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Ondersteuningsfunctie</w:t>
            </w:r>
          </w:p>
        </w:tc>
        <w:tc>
          <w:tcPr>
            <w:tcW w:w="185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EC561E">
            <w:pPr>
              <w:spacing w:line="240" w:lineRule="auto"/>
              <w:jc w:val="center"/>
              <w:rPr>
                <w:b/>
                <w:sz w:val="20"/>
                <w:szCs w:val="20"/>
                <w:lang w:val="nl-BE"/>
              </w:rPr>
            </w:pPr>
            <w:r w:rsidRPr="00E6515F">
              <w:rPr>
                <w:b/>
                <w:sz w:val="20"/>
                <w:szCs w:val="20"/>
                <w:lang w:val="nl-BE"/>
              </w:rPr>
              <w:t>2017 (jan - dec)</w:t>
            </w:r>
          </w:p>
        </w:tc>
        <w:tc>
          <w:tcPr>
            <w:tcW w:w="1854"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EC561E">
            <w:pPr>
              <w:widowControl w:val="0"/>
              <w:spacing w:line="240" w:lineRule="auto"/>
              <w:jc w:val="center"/>
              <w:rPr>
                <w:b/>
                <w:sz w:val="20"/>
                <w:szCs w:val="20"/>
                <w:lang w:val="nl-BE"/>
              </w:rPr>
            </w:pPr>
            <w:r w:rsidRPr="00E6515F">
              <w:rPr>
                <w:b/>
                <w:sz w:val="20"/>
                <w:szCs w:val="20"/>
                <w:lang w:val="nl-BE"/>
              </w:rPr>
              <w:t>2018 (jan - juni)</w:t>
            </w:r>
          </w:p>
        </w:tc>
      </w:tr>
      <w:tr w:rsidR="007548FD" w:rsidRPr="00E6515F" w:rsidTr="00EC561E">
        <w:tc>
          <w:tcPr>
            <w:tcW w:w="238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proofErr w:type="spellStart"/>
            <w:r w:rsidRPr="00E6515F">
              <w:rPr>
                <w:b/>
                <w:sz w:val="20"/>
                <w:szCs w:val="20"/>
                <w:lang w:val="nl-BE"/>
              </w:rPr>
              <w:t>Dagondersteuning</w:t>
            </w:r>
            <w:proofErr w:type="spellEnd"/>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1.608</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915</w:t>
            </w:r>
          </w:p>
        </w:tc>
      </w:tr>
      <w:tr w:rsidR="007548FD" w:rsidRPr="00E6515F" w:rsidTr="00EC561E">
        <w:tc>
          <w:tcPr>
            <w:tcW w:w="238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Woonondersteuning</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1.239</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721</w:t>
            </w:r>
          </w:p>
        </w:tc>
      </w:tr>
      <w:tr w:rsidR="007548FD" w:rsidRPr="00E6515F" w:rsidTr="00EC561E">
        <w:tc>
          <w:tcPr>
            <w:tcW w:w="238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Individuele ondersteuning</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1.551</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922</w:t>
            </w:r>
          </w:p>
        </w:tc>
      </w:tr>
      <w:tr w:rsidR="007548FD" w:rsidRPr="00E6515F" w:rsidTr="00EC561E">
        <w:tc>
          <w:tcPr>
            <w:tcW w:w="238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Oproepbare permanentie</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491</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332</w:t>
            </w:r>
          </w:p>
        </w:tc>
      </w:tr>
      <w:tr w:rsidR="007548FD" w:rsidRPr="00E6515F" w:rsidTr="00EC561E">
        <w:tc>
          <w:tcPr>
            <w:tcW w:w="2388"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i/>
                <w:sz w:val="20"/>
                <w:szCs w:val="20"/>
                <w:lang w:val="nl-BE"/>
              </w:rPr>
            </w:pPr>
            <w:r w:rsidRPr="00E6515F">
              <w:rPr>
                <w:b/>
                <w:i/>
                <w:sz w:val="20"/>
                <w:szCs w:val="20"/>
                <w:lang w:val="nl-BE"/>
              </w:rPr>
              <w:t>Totaal (unieke personen)</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b/>
                <w:i/>
                <w:sz w:val="20"/>
                <w:szCs w:val="20"/>
                <w:lang w:val="nl-BE"/>
              </w:rPr>
            </w:pPr>
            <w:r w:rsidRPr="00E6515F">
              <w:rPr>
                <w:b/>
                <w:i/>
                <w:sz w:val="20"/>
                <w:szCs w:val="20"/>
                <w:lang w:val="nl-BE"/>
              </w:rPr>
              <w:t>2.518</w:t>
            </w:r>
          </w:p>
        </w:tc>
        <w:tc>
          <w:tcPr>
            <w:tcW w:w="1854"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b/>
                <w:i/>
                <w:sz w:val="20"/>
                <w:szCs w:val="20"/>
                <w:lang w:val="nl-BE"/>
              </w:rPr>
            </w:pPr>
            <w:r w:rsidRPr="00E6515F">
              <w:rPr>
                <w:b/>
                <w:i/>
                <w:sz w:val="20"/>
                <w:szCs w:val="20"/>
                <w:lang w:val="nl-BE"/>
              </w:rPr>
              <w:t>1.444</w:t>
            </w:r>
          </w:p>
        </w:tc>
      </w:tr>
    </w:tbl>
    <w:p w:rsidR="007548FD" w:rsidRPr="00E6515F" w:rsidRDefault="007548FD" w:rsidP="007548FD">
      <w:pPr>
        <w:ind w:left="360"/>
        <w:rPr>
          <w:i/>
          <w:lang w:val="nl-BE"/>
        </w:rPr>
      </w:pPr>
    </w:p>
    <w:p w:rsidR="007548FD" w:rsidRPr="00E6515F" w:rsidRDefault="007548FD" w:rsidP="008223EB">
      <w:pPr>
        <w:jc w:val="both"/>
        <w:rPr>
          <w:lang w:val="nl-BE"/>
        </w:rPr>
      </w:pPr>
      <w:r w:rsidRPr="00E6515F">
        <w:rPr>
          <w:lang w:val="nl-BE"/>
        </w:rPr>
        <w:t xml:space="preserve">De gegevens in de tabel tonen hoeveel personen een welbepaalde ondersteuningsfunctie hebben gevraagd in hun ondersteuningsplan persoonsvolgend budget (OP PVB) binnen een bepaalde periode. De ondersteuningsfuncties psychosociale begeleiding, praktische hulp en globale individuele ondersteuning werden gegroepeerd onder individuele ondersteuning. In 2017 werd door 2.518 unieke personen een </w:t>
      </w:r>
      <w:r w:rsidR="00DD02E4">
        <w:rPr>
          <w:lang w:val="nl-BE"/>
        </w:rPr>
        <w:t xml:space="preserve">ondersteuningsplan </w:t>
      </w:r>
      <w:r w:rsidR="00DD02E4" w:rsidRPr="00DD02E4">
        <w:rPr>
          <w:lang w:val="nl-BE"/>
        </w:rPr>
        <w:t>persoonsvolgend budget</w:t>
      </w:r>
      <w:r w:rsidRPr="00E6515F">
        <w:rPr>
          <w:lang w:val="nl-BE"/>
        </w:rPr>
        <w:t xml:space="preserve"> ingediend, waarbij verschillende ondersteuningsfuncties gevraagd werden. Bijgevolg kan een persoon in de tabel bij verschillende ondersteuningsfuncties meegeteld worden. In de eerste jaarhelft van 2018 werd </w:t>
      </w:r>
      <w:r w:rsidR="00C97AB6">
        <w:rPr>
          <w:lang w:val="nl-BE"/>
        </w:rPr>
        <w:t>al</w:t>
      </w:r>
      <w:r w:rsidR="00C97AB6" w:rsidRPr="00E6515F">
        <w:rPr>
          <w:lang w:val="nl-BE"/>
        </w:rPr>
        <w:t xml:space="preserve"> </w:t>
      </w:r>
      <w:r w:rsidRPr="00E6515F">
        <w:rPr>
          <w:lang w:val="nl-BE"/>
        </w:rPr>
        <w:t xml:space="preserve">door 1.444 personen een </w:t>
      </w:r>
      <w:r w:rsidR="00DD02E4">
        <w:rPr>
          <w:lang w:val="nl-BE"/>
        </w:rPr>
        <w:t xml:space="preserve">ondersteuningsplan </w:t>
      </w:r>
      <w:r w:rsidR="00DD02E4" w:rsidRPr="00DD02E4">
        <w:rPr>
          <w:lang w:val="nl-BE"/>
        </w:rPr>
        <w:t>persoonsvolgend budget</w:t>
      </w:r>
      <w:r w:rsidRPr="00E6515F">
        <w:rPr>
          <w:lang w:val="nl-BE"/>
        </w:rPr>
        <w:t xml:space="preserve"> ingediend.</w:t>
      </w:r>
    </w:p>
    <w:p w:rsidR="007548FD" w:rsidRPr="00E6515F" w:rsidRDefault="007548FD" w:rsidP="007548FD">
      <w:pPr>
        <w:ind w:left="360"/>
        <w:rPr>
          <w:lang w:val="nl-BE"/>
        </w:rPr>
      </w:pPr>
    </w:p>
    <w:p w:rsidR="007548FD" w:rsidRPr="00E6515F" w:rsidRDefault="007548FD" w:rsidP="007548FD">
      <w:pPr>
        <w:pStyle w:val="Bijschrift"/>
        <w:keepNext/>
        <w:ind w:left="360"/>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25</w:t>
      </w:r>
      <w:r w:rsidRPr="00E6515F">
        <w:rPr>
          <w:lang w:val="nl-BE"/>
        </w:rPr>
        <w:fldChar w:fldCharType="end"/>
      </w:r>
      <w:r w:rsidRPr="00E6515F">
        <w:rPr>
          <w:lang w:val="nl-BE"/>
        </w:rPr>
        <w:t>: Aantal nieuwe vragen per leeftijdscategorie</w:t>
      </w:r>
    </w:p>
    <w:tbl>
      <w:tblPr>
        <w:tblStyle w:val="a2"/>
        <w:tblW w:w="6379"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2107"/>
        <w:gridCol w:w="2136"/>
        <w:gridCol w:w="2136"/>
      </w:tblGrid>
      <w:tr w:rsidR="007548FD" w:rsidRPr="00E6515F" w:rsidTr="00EC561E">
        <w:tc>
          <w:tcPr>
            <w:tcW w:w="2107"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696A8E">
            <w:pPr>
              <w:widowControl w:val="0"/>
              <w:spacing w:line="240" w:lineRule="auto"/>
              <w:rPr>
                <w:b/>
                <w:sz w:val="20"/>
                <w:szCs w:val="20"/>
                <w:lang w:val="nl-BE"/>
              </w:rPr>
            </w:pPr>
            <w:r w:rsidRPr="00E6515F">
              <w:rPr>
                <w:b/>
                <w:sz w:val="20"/>
                <w:szCs w:val="20"/>
                <w:lang w:val="nl-BE"/>
              </w:rPr>
              <w:t>Leeftijdscategori</w:t>
            </w:r>
            <w:r w:rsidR="00FF60A4">
              <w:rPr>
                <w:b/>
                <w:sz w:val="20"/>
                <w:szCs w:val="20"/>
                <w:lang w:val="nl-BE"/>
              </w:rPr>
              <w:t>e</w:t>
            </w:r>
          </w:p>
        </w:tc>
        <w:tc>
          <w:tcPr>
            <w:tcW w:w="2136"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EC561E">
            <w:pPr>
              <w:widowControl w:val="0"/>
              <w:spacing w:line="240" w:lineRule="auto"/>
              <w:jc w:val="center"/>
              <w:rPr>
                <w:b/>
                <w:sz w:val="20"/>
                <w:szCs w:val="20"/>
                <w:lang w:val="nl-BE"/>
              </w:rPr>
            </w:pPr>
            <w:r w:rsidRPr="00E6515F">
              <w:rPr>
                <w:b/>
                <w:sz w:val="20"/>
                <w:szCs w:val="20"/>
                <w:lang w:val="nl-BE"/>
              </w:rPr>
              <w:t>2017 (jan - dec)</w:t>
            </w:r>
          </w:p>
        </w:tc>
        <w:tc>
          <w:tcPr>
            <w:tcW w:w="2136"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7548FD" w:rsidRPr="00E6515F" w:rsidRDefault="007548FD" w:rsidP="00C97AB6">
            <w:pPr>
              <w:widowControl w:val="0"/>
              <w:spacing w:line="240" w:lineRule="auto"/>
              <w:jc w:val="center"/>
              <w:rPr>
                <w:b/>
                <w:sz w:val="20"/>
                <w:szCs w:val="20"/>
                <w:lang w:val="nl-BE"/>
              </w:rPr>
            </w:pPr>
            <w:r w:rsidRPr="00E6515F">
              <w:rPr>
                <w:b/>
                <w:sz w:val="20"/>
                <w:szCs w:val="20"/>
                <w:lang w:val="nl-BE"/>
              </w:rPr>
              <w:t xml:space="preserve">2018 (jan </w:t>
            </w:r>
            <w:r w:rsidR="00C97AB6">
              <w:rPr>
                <w:b/>
                <w:sz w:val="20"/>
                <w:szCs w:val="20"/>
                <w:lang w:val="nl-BE"/>
              </w:rPr>
              <w:t>-</w:t>
            </w:r>
            <w:r w:rsidR="00380DEB">
              <w:rPr>
                <w:b/>
                <w:sz w:val="20"/>
                <w:szCs w:val="20"/>
                <w:lang w:val="nl-BE"/>
              </w:rPr>
              <w:t xml:space="preserve"> </w:t>
            </w:r>
            <w:r w:rsidRPr="00E6515F">
              <w:rPr>
                <w:b/>
                <w:sz w:val="20"/>
                <w:szCs w:val="20"/>
                <w:lang w:val="nl-BE"/>
              </w:rPr>
              <w:t>juni)</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17 </w:t>
            </w:r>
            <w:r w:rsidR="00380DEB">
              <w:rPr>
                <w:b/>
                <w:sz w:val="20"/>
                <w:szCs w:val="20"/>
                <w:lang w:val="nl-BE"/>
              </w:rPr>
              <w:t xml:space="preserve">t/m </w:t>
            </w:r>
            <w:r w:rsidRPr="00E6515F">
              <w:rPr>
                <w:b/>
                <w:sz w:val="20"/>
                <w:szCs w:val="20"/>
                <w:lang w:val="nl-BE"/>
              </w:rPr>
              <w:t>20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350</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263</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21 </w:t>
            </w:r>
            <w:r w:rsidR="00380DEB">
              <w:rPr>
                <w:b/>
                <w:sz w:val="20"/>
                <w:szCs w:val="20"/>
                <w:lang w:val="nl-BE"/>
              </w:rPr>
              <w:t xml:space="preserve">t/m </w:t>
            </w:r>
            <w:r w:rsidRPr="00E6515F">
              <w:rPr>
                <w:b/>
                <w:sz w:val="20"/>
                <w:szCs w:val="20"/>
                <w:lang w:val="nl-BE"/>
              </w:rPr>
              <w:t>25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728</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293</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26 </w:t>
            </w:r>
            <w:r w:rsidR="00380DEB">
              <w:rPr>
                <w:b/>
                <w:sz w:val="20"/>
                <w:szCs w:val="20"/>
                <w:lang w:val="nl-BE"/>
              </w:rPr>
              <w:t xml:space="preserve">t/m </w:t>
            </w:r>
            <w:r w:rsidRPr="00E6515F">
              <w:rPr>
                <w:b/>
                <w:sz w:val="20"/>
                <w:szCs w:val="20"/>
                <w:lang w:val="nl-BE"/>
              </w:rPr>
              <w:t>35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294</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236</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36 </w:t>
            </w:r>
            <w:r w:rsidR="00380DEB">
              <w:rPr>
                <w:b/>
                <w:sz w:val="20"/>
                <w:szCs w:val="20"/>
                <w:lang w:val="nl-BE"/>
              </w:rPr>
              <w:t xml:space="preserve">t/m </w:t>
            </w:r>
            <w:r w:rsidRPr="00E6515F">
              <w:rPr>
                <w:b/>
                <w:sz w:val="20"/>
                <w:szCs w:val="20"/>
                <w:lang w:val="nl-BE"/>
              </w:rPr>
              <w:t>45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302</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190</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46 </w:t>
            </w:r>
            <w:r w:rsidR="00380DEB">
              <w:rPr>
                <w:b/>
                <w:sz w:val="20"/>
                <w:szCs w:val="20"/>
                <w:lang w:val="nl-BE"/>
              </w:rPr>
              <w:t xml:space="preserve">t/m </w:t>
            </w:r>
            <w:r w:rsidRPr="00E6515F">
              <w:rPr>
                <w:b/>
                <w:sz w:val="20"/>
                <w:szCs w:val="20"/>
                <w:lang w:val="nl-BE"/>
              </w:rPr>
              <w:t>55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389</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209</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 xml:space="preserve">56 </w:t>
            </w:r>
            <w:r w:rsidR="00380DEB">
              <w:rPr>
                <w:b/>
                <w:sz w:val="20"/>
                <w:szCs w:val="20"/>
                <w:lang w:val="nl-BE"/>
              </w:rPr>
              <w:t xml:space="preserve">t/m </w:t>
            </w:r>
            <w:r w:rsidRPr="00E6515F">
              <w:rPr>
                <w:b/>
                <w:sz w:val="20"/>
                <w:szCs w:val="20"/>
                <w:lang w:val="nl-BE"/>
              </w:rPr>
              <w:t>65</w:t>
            </w:r>
            <w:r w:rsidR="00C97AB6">
              <w:rPr>
                <w:b/>
                <w:sz w:val="20"/>
                <w:szCs w:val="20"/>
                <w:lang w:val="nl-BE"/>
              </w:rPr>
              <w:t xml:space="preserve"> </w:t>
            </w:r>
            <w:r w:rsidRPr="00E6515F">
              <w:rPr>
                <w:b/>
                <w:sz w:val="20"/>
                <w:szCs w:val="20"/>
                <w:lang w:val="nl-BE"/>
              </w:rPr>
              <w:t>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367</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212</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sz w:val="20"/>
                <w:szCs w:val="20"/>
                <w:lang w:val="nl-BE"/>
              </w:rPr>
            </w:pPr>
            <w:r w:rsidRPr="00E6515F">
              <w:rPr>
                <w:b/>
                <w:sz w:val="20"/>
                <w:szCs w:val="20"/>
                <w:lang w:val="nl-BE"/>
              </w:rPr>
              <w:t>+65 j</w:t>
            </w:r>
            <w:r w:rsidR="00C97AB6">
              <w:rPr>
                <w:b/>
                <w:sz w:val="20"/>
                <w:szCs w:val="20"/>
                <w:lang w:val="nl-BE"/>
              </w:rPr>
              <w:t>.</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88</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sz w:val="20"/>
                <w:szCs w:val="20"/>
                <w:lang w:val="nl-BE"/>
              </w:rPr>
            </w:pPr>
            <w:r w:rsidRPr="00E6515F">
              <w:rPr>
                <w:sz w:val="20"/>
                <w:szCs w:val="20"/>
                <w:lang w:val="nl-BE"/>
              </w:rPr>
              <w:t>41</w:t>
            </w:r>
          </w:p>
        </w:tc>
      </w:tr>
      <w:tr w:rsidR="007548FD" w:rsidRPr="00E6515F" w:rsidTr="00EC561E">
        <w:tc>
          <w:tcPr>
            <w:tcW w:w="2107"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rPr>
                <w:b/>
                <w:i/>
                <w:sz w:val="20"/>
                <w:szCs w:val="20"/>
                <w:lang w:val="nl-BE"/>
              </w:rPr>
            </w:pPr>
            <w:r w:rsidRPr="00E6515F">
              <w:rPr>
                <w:b/>
                <w:i/>
                <w:sz w:val="20"/>
                <w:szCs w:val="20"/>
                <w:lang w:val="nl-BE"/>
              </w:rPr>
              <w:t>Totaal</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b/>
                <w:i/>
                <w:sz w:val="20"/>
                <w:szCs w:val="20"/>
                <w:lang w:val="nl-BE"/>
              </w:rPr>
            </w:pPr>
            <w:r w:rsidRPr="00E6515F">
              <w:rPr>
                <w:b/>
                <w:i/>
                <w:sz w:val="20"/>
                <w:szCs w:val="20"/>
                <w:lang w:val="nl-BE"/>
              </w:rPr>
              <w:t>2.518</w:t>
            </w:r>
          </w:p>
        </w:tc>
        <w:tc>
          <w:tcPr>
            <w:tcW w:w="2136" w:type="dxa"/>
            <w:tcBorders>
              <w:top w:val="nil"/>
              <w:left w:val="nil"/>
              <w:bottom w:val="single" w:sz="8" w:space="0" w:color="414141"/>
              <w:right w:val="single" w:sz="8" w:space="0" w:color="414141"/>
            </w:tcBorders>
            <w:tcMar>
              <w:top w:w="60" w:type="dxa"/>
              <w:left w:w="100" w:type="dxa"/>
              <w:bottom w:w="60" w:type="dxa"/>
              <w:right w:w="100" w:type="dxa"/>
            </w:tcMar>
          </w:tcPr>
          <w:p w:rsidR="007548FD" w:rsidRPr="00E6515F" w:rsidRDefault="007548FD" w:rsidP="00EC561E">
            <w:pPr>
              <w:widowControl w:val="0"/>
              <w:spacing w:line="240" w:lineRule="auto"/>
              <w:jc w:val="center"/>
              <w:rPr>
                <w:b/>
                <w:i/>
                <w:sz w:val="20"/>
                <w:szCs w:val="20"/>
                <w:lang w:val="nl-BE"/>
              </w:rPr>
            </w:pPr>
            <w:r w:rsidRPr="00E6515F">
              <w:rPr>
                <w:b/>
                <w:i/>
                <w:sz w:val="20"/>
                <w:szCs w:val="20"/>
                <w:lang w:val="nl-BE"/>
              </w:rPr>
              <w:t>1.444</w:t>
            </w:r>
          </w:p>
        </w:tc>
      </w:tr>
    </w:tbl>
    <w:p w:rsidR="007548FD" w:rsidRPr="00E6515F" w:rsidRDefault="007548FD" w:rsidP="007548FD">
      <w:pPr>
        <w:ind w:left="360"/>
        <w:rPr>
          <w:i/>
          <w:lang w:val="nl-BE"/>
        </w:rPr>
      </w:pPr>
    </w:p>
    <w:p w:rsidR="007548FD" w:rsidRPr="00E6515F" w:rsidRDefault="007548FD" w:rsidP="00EE2B0E">
      <w:pPr>
        <w:jc w:val="both"/>
        <w:rPr>
          <w:lang w:val="nl-BE"/>
        </w:rPr>
      </w:pPr>
      <w:r w:rsidRPr="00E6515F">
        <w:rPr>
          <w:lang w:val="nl-BE"/>
        </w:rPr>
        <w:t xml:space="preserve">In deze tabel wordt het totaal aantal personen met een ingediend </w:t>
      </w:r>
      <w:r w:rsidR="00DD02E4">
        <w:rPr>
          <w:lang w:val="nl-BE"/>
        </w:rPr>
        <w:t xml:space="preserve">ondersteuningsplan </w:t>
      </w:r>
      <w:r w:rsidR="00DD02E4" w:rsidRPr="00DD02E4">
        <w:rPr>
          <w:lang w:val="nl-BE"/>
        </w:rPr>
        <w:t>persoonsvolgend budget</w:t>
      </w:r>
      <w:r w:rsidRPr="00E6515F">
        <w:rPr>
          <w:lang w:val="nl-BE"/>
        </w:rPr>
        <w:t xml:space="preserve"> binnen een bepaalde periode opgesplitst per leeftijdscategorie op basis van de aanvraagleeftijd. Vermits een </w:t>
      </w:r>
      <w:r w:rsidR="00DD02E4">
        <w:rPr>
          <w:lang w:val="nl-BE"/>
        </w:rPr>
        <w:t xml:space="preserve">ondersteuningsplan </w:t>
      </w:r>
      <w:r w:rsidR="00DD02E4" w:rsidRPr="00DD02E4">
        <w:rPr>
          <w:lang w:val="nl-BE"/>
        </w:rPr>
        <w:t>persoonsvolgend budget</w:t>
      </w:r>
      <w:r w:rsidRPr="00E6515F">
        <w:rPr>
          <w:lang w:val="nl-BE"/>
        </w:rPr>
        <w:t xml:space="preserve"> kan ingediend worden vanaf de leeftijd van 17 jaar, wordt </w:t>
      </w:r>
      <w:r w:rsidR="00C97AB6">
        <w:rPr>
          <w:lang w:val="nl-BE"/>
        </w:rPr>
        <w:t>die</w:t>
      </w:r>
      <w:r w:rsidR="00C97AB6" w:rsidRPr="00E6515F">
        <w:rPr>
          <w:lang w:val="nl-BE"/>
        </w:rPr>
        <w:t xml:space="preserve"> </w:t>
      </w:r>
      <w:r w:rsidRPr="00E6515F">
        <w:rPr>
          <w:lang w:val="nl-BE"/>
        </w:rPr>
        <w:t>geïncludeerd in de eerste leeftijdscategorie.</w:t>
      </w:r>
    </w:p>
    <w:p w:rsidR="00073427" w:rsidRPr="00E6515F" w:rsidRDefault="00073427">
      <w:pPr>
        <w:rPr>
          <w:b/>
          <w:sz w:val="34"/>
          <w:szCs w:val="34"/>
          <w:lang w:val="nl-BE"/>
        </w:rPr>
      </w:pPr>
      <w:bookmarkStart w:id="56" w:name="_Toc528227895"/>
      <w:r w:rsidRPr="00E6515F">
        <w:rPr>
          <w:lang w:val="nl-BE"/>
        </w:rPr>
        <w:br w:type="page"/>
      </w:r>
    </w:p>
    <w:p w:rsidR="00B757A4" w:rsidRPr="00E6515F" w:rsidRDefault="00A5624E" w:rsidP="007548FD">
      <w:pPr>
        <w:pStyle w:val="Kop2"/>
        <w:numPr>
          <w:ilvl w:val="1"/>
          <w:numId w:val="1"/>
        </w:numPr>
        <w:pBdr>
          <w:top w:val="nil"/>
          <w:left w:val="nil"/>
          <w:bottom w:val="nil"/>
          <w:right w:val="nil"/>
          <w:between w:val="nil"/>
        </w:pBdr>
        <w:contextualSpacing/>
        <w:rPr>
          <w:lang w:val="nl-BE"/>
        </w:rPr>
      </w:pPr>
      <w:bookmarkStart w:id="57" w:name="_Toc536797812"/>
      <w:r w:rsidRPr="00E6515F">
        <w:rPr>
          <w:lang w:val="nl-BE"/>
        </w:rPr>
        <w:lastRenderedPageBreak/>
        <w:t>I</w:t>
      </w:r>
      <w:r w:rsidR="007548FD" w:rsidRPr="00E6515F">
        <w:rPr>
          <w:lang w:val="nl-BE"/>
        </w:rPr>
        <w:t xml:space="preserve">mpact van de </w:t>
      </w:r>
      <w:r w:rsidR="00C97AB6" w:rsidRPr="00E6515F">
        <w:rPr>
          <w:lang w:val="nl-BE"/>
        </w:rPr>
        <w:t>automatische</w:t>
      </w:r>
      <w:r w:rsidR="00C97AB6">
        <w:rPr>
          <w:lang w:val="nl-BE"/>
        </w:rPr>
        <w:noBreakHyphen/>
      </w:r>
      <w:r w:rsidR="007548FD" w:rsidRPr="00E6515F">
        <w:rPr>
          <w:lang w:val="nl-BE"/>
        </w:rPr>
        <w:t xml:space="preserve">toekenningsgroepen op de </w:t>
      </w:r>
      <w:bookmarkEnd w:id="56"/>
      <w:r w:rsidR="00BF51F1">
        <w:rPr>
          <w:lang w:val="nl-BE"/>
        </w:rPr>
        <w:t>prioriteitenlijsten</w:t>
      </w:r>
      <w:bookmarkEnd w:id="57"/>
    </w:p>
    <w:p w:rsidR="00300667" w:rsidRPr="00E6515F" w:rsidRDefault="00300667" w:rsidP="00300667">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26</w:t>
      </w:r>
      <w:r w:rsidRPr="00E6515F">
        <w:rPr>
          <w:lang w:val="nl-BE"/>
        </w:rPr>
        <w:fldChar w:fldCharType="end"/>
      </w:r>
      <w:r w:rsidRPr="00E6515F">
        <w:rPr>
          <w:lang w:val="nl-BE"/>
        </w:rPr>
        <w:t xml:space="preserve">: </w:t>
      </w:r>
      <w:r w:rsidR="00C97AB6">
        <w:rPr>
          <w:lang w:val="nl-BE"/>
        </w:rPr>
        <w:t>Aantal</w:t>
      </w:r>
      <w:r w:rsidRPr="00E6515F">
        <w:rPr>
          <w:lang w:val="nl-BE"/>
        </w:rPr>
        <w:t xml:space="preserve"> </w:t>
      </w:r>
      <w:r w:rsidR="00696A8E">
        <w:rPr>
          <w:lang w:val="nl-BE"/>
        </w:rPr>
        <w:t xml:space="preserve">unieke </w:t>
      </w:r>
      <w:r w:rsidRPr="00E6515F">
        <w:rPr>
          <w:lang w:val="nl-BE"/>
        </w:rPr>
        <w:t xml:space="preserve">personen </w:t>
      </w:r>
      <w:r w:rsidR="00C97AB6">
        <w:rPr>
          <w:lang w:val="nl-BE"/>
        </w:rPr>
        <w:t>dat</w:t>
      </w:r>
      <w:r w:rsidR="00C97AB6" w:rsidRPr="00E6515F">
        <w:rPr>
          <w:lang w:val="nl-BE"/>
        </w:rPr>
        <w:t xml:space="preserve"> </w:t>
      </w:r>
      <w:r w:rsidR="004F792E" w:rsidRPr="00E6515F">
        <w:rPr>
          <w:lang w:val="nl-BE"/>
        </w:rPr>
        <w:t xml:space="preserve">tussen </w:t>
      </w:r>
      <w:r w:rsidR="00C97AB6">
        <w:rPr>
          <w:lang w:val="nl-BE"/>
        </w:rPr>
        <w:t>01.01.</w:t>
      </w:r>
      <w:r w:rsidR="004F792E" w:rsidRPr="00E6515F">
        <w:rPr>
          <w:lang w:val="nl-BE"/>
        </w:rPr>
        <w:t xml:space="preserve">2017 en </w:t>
      </w:r>
      <w:r w:rsidR="00C97AB6">
        <w:rPr>
          <w:lang w:val="nl-BE"/>
        </w:rPr>
        <w:t>30.06.</w:t>
      </w:r>
      <w:r w:rsidR="004F792E" w:rsidRPr="00E6515F">
        <w:rPr>
          <w:lang w:val="nl-BE"/>
        </w:rPr>
        <w:t>20</w:t>
      </w:r>
      <w:r w:rsidRPr="00E6515F">
        <w:rPr>
          <w:lang w:val="nl-BE"/>
        </w:rPr>
        <w:t>18 via een automatische</w:t>
      </w:r>
      <w:r w:rsidR="00C97AB6">
        <w:rPr>
          <w:lang w:val="nl-BE"/>
        </w:rPr>
        <w:noBreakHyphen/>
      </w:r>
      <w:r w:rsidRPr="00E6515F">
        <w:rPr>
          <w:lang w:val="nl-BE"/>
        </w:rPr>
        <w:t xml:space="preserve">toekenningsgroep een </w:t>
      </w:r>
      <w:r w:rsidR="00C97AB6">
        <w:rPr>
          <w:lang w:val="nl-BE"/>
        </w:rPr>
        <w:t>terbeschikkingstelling</w:t>
      </w:r>
      <w:r w:rsidR="00C97AB6" w:rsidRPr="00E6515F">
        <w:rPr>
          <w:lang w:val="nl-BE"/>
        </w:rPr>
        <w:t xml:space="preserve"> </w:t>
      </w:r>
      <w:r w:rsidRPr="00E6515F">
        <w:rPr>
          <w:lang w:val="nl-BE"/>
        </w:rPr>
        <w:t xml:space="preserve">kreeg </w:t>
      </w:r>
      <w:r w:rsidR="00C97AB6">
        <w:rPr>
          <w:lang w:val="nl-BE"/>
        </w:rPr>
        <w:t xml:space="preserve">en </w:t>
      </w:r>
      <w:r w:rsidRPr="00E6515F">
        <w:rPr>
          <w:lang w:val="nl-BE"/>
        </w:rPr>
        <w:t xml:space="preserve">ook op </w:t>
      </w:r>
      <w:r w:rsidR="00BF51F1">
        <w:rPr>
          <w:lang w:val="nl-BE"/>
        </w:rPr>
        <w:t>een prioriteitenlijst</w:t>
      </w:r>
      <w:r w:rsidR="00C97AB6">
        <w:rPr>
          <w:lang w:val="nl-BE"/>
        </w:rPr>
        <w:t xml:space="preserve"> stond</w:t>
      </w:r>
      <w:r w:rsidR="00C97AB6" w:rsidRPr="00E6515F">
        <w:rPr>
          <w:lang w:val="nl-BE"/>
        </w:rPr>
        <w:t xml:space="preserve"> </w:t>
      </w:r>
    </w:p>
    <w:tbl>
      <w:tblPr>
        <w:tblStyle w:val="a6"/>
        <w:tblW w:w="7815"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980"/>
        <w:gridCol w:w="1020"/>
        <w:gridCol w:w="1020"/>
        <w:gridCol w:w="1020"/>
        <w:gridCol w:w="900"/>
        <w:gridCol w:w="1005"/>
        <w:gridCol w:w="870"/>
      </w:tblGrid>
      <w:tr w:rsidR="00B757A4" w:rsidRPr="00E6515F" w:rsidTr="00A13359">
        <w:tc>
          <w:tcPr>
            <w:tcW w:w="1980" w:type="dxa"/>
            <w:vMerge w:val="restart"/>
            <w:tcBorders>
              <w:top w:val="single" w:sz="4" w:space="0" w:color="auto"/>
              <w:left w:val="single" w:sz="4" w:space="0" w:color="auto"/>
              <w:bottom w:val="single" w:sz="4" w:space="0" w:color="auto"/>
              <w:right w:val="single" w:sz="4" w:space="0" w:color="auto"/>
            </w:tcBorders>
            <w:shd w:val="clear" w:color="auto" w:fill="C2C2C2"/>
            <w:tcMar>
              <w:top w:w="56" w:type="dxa"/>
              <w:left w:w="56" w:type="dxa"/>
              <w:bottom w:w="56" w:type="dxa"/>
              <w:right w:w="56" w:type="dxa"/>
            </w:tcMar>
          </w:tcPr>
          <w:p w:rsidR="00B757A4" w:rsidRPr="00E6515F" w:rsidRDefault="00B757A4" w:rsidP="00B757A4">
            <w:pPr>
              <w:ind w:left="60"/>
              <w:rPr>
                <w:b/>
                <w:sz w:val="20"/>
                <w:szCs w:val="20"/>
                <w:lang w:val="nl-BE"/>
              </w:rPr>
            </w:pPr>
            <w:r w:rsidRPr="00E6515F">
              <w:rPr>
                <w:b/>
                <w:sz w:val="20"/>
                <w:szCs w:val="20"/>
                <w:lang w:val="nl-BE"/>
              </w:rPr>
              <w:t>Automatische</w:t>
            </w:r>
            <w:r w:rsidR="00C97AB6">
              <w:rPr>
                <w:b/>
                <w:sz w:val="20"/>
                <w:szCs w:val="20"/>
                <w:lang w:val="nl-BE"/>
              </w:rPr>
              <w:t>-</w:t>
            </w:r>
            <w:r w:rsidRPr="00E6515F">
              <w:rPr>
                <w:b/>
                <w:sz w:val="20"/>
                <w:szCs w:val="20"/>
                <w:lang w:val="nl-BE"/>
              </w:rPr>
              <w:t xml:space="preserve"> toekenningsgroep</w:t>
            </w:r>
          </w:p>
        </w:tc>
        <w:tc>
          <w:tcPr>
            <w:tcW w:w="3060" w:type="dxa"/>
            <w:gridSpan w:val="3"/>
            <w:tcBorders>
              <w:top w:val="single" w:sz="8" w:space="0" w:color="000000"/>
              <w:left w:val="single" w:sz="4" w:space="0" w:color="auto"/>
              <w:bottom w:val="single" w:sz="8" w:space="0" w:color="000000"/>
              <w:right w:val="single" w:sz="8" w:space="0" w:color="000000"/>
            </w:tcBorders>
            <w:shd w:val="clear" w:color="auto" w:fill="BFBFBF"/>
            <w:tcMar>
              <w:top w:w="56" w:type="dxa"/>
              <w:left w:w="56" w:type="dxa"/>
              <w:bottom w:w="56" w:type="dxa"/>
              <w:right w:w="56" w:type="dxa"/>
            </w:tcMar>
            <w:vAlign w:val="bottom"/>
          </w:tcPr>
          <w:p w:rsidR="00B757A4" w:rsidRPr="00E6515F" w:rsidRDefault="00C97AB6" w:rsidP="00BF51F1">
            <w:pPr>
              <w:ind w:left="60"/>
              <w:rPr>
                <w:b/>
                <w:i/>
                <w:sz w:val="20"/>
                <w:szCs w:val="20"/>
                <w:lang w:val="nl-BE"/>
              </w:rPr>
            </w:pPr>
            <w:r>
              <w:rPr>
                <w:b/>
                <w:i/>
                <w:sz w:val="20"/>
                <w:szCs w:val="20"/>
                <w:lang w:val="nl-BE"/>
              </w:rPr>
              <w:t xml:space="preserve">Op </w:t>
            </w:r>
            <w:r w:rsidR="00BF51F1">
              <w:rPr>
                <w:b/>
                <w:i/>
                <w:sz w:val="20"/>
                <w:szCs w:val="20"/>
                <w:lang w:val="nl-BE"/>
              </w:rPr>
              <w:t>prioriteitenlijst</w:t>
            </w:r>
          </w:p>
        </w:tc>
        <w:tc>
          <w:tcPr>
            <w:tcW w:w="1905" w:type="dxa"/>
            <w:gridSpan w:val="2"/>
            <w:tcBorders>
              <w:top w:val="single" w:sz="8" w:space="0" w:color="414141"/>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C97AB6" w:rsidP="00BF51F1">
            <w:pPr>
              <w:ind w:left="60"/>
              <w:jc w:val="center"/>
              <w:rPr>
                <w:b/>
                <w:i/>
                <w:sz w:val="20"/>
                <w:szCs w:val="20"/>
                <w:lang w:val="nl-BE"/>
              </w:rPr>
            </w:pPr>
            <w:r>
              <w:rPr>
                <w:b/>
                <w:i/>
                <w:sz w:val="20"/>
                <w:szCs w:val="20"/>
                <w:lang w:val="nl-BE"/>
              </w:rPr>
              <w:t xml:space="preserve">Niet op </w:t>
            </w:r>
            <w:r w:rsidR="00BF51F1">
              <w:rPr>
                <w:b/>
                <w:i/>
                <w:sz w:val="20"/>
                <w:szCs w:val="20"/>
                <w:lang w:val="nl-BE"/>
              </w:rPr>
              <w:t>prioriteitenlijst</w:t>
            </w:r>
          </w:p>
        </w:tc>
        <w:tc>
          <w:tcPr>
            <w:tcW w:w="870" w:type="dxa"/>
            <w:vMerge w:val="restart"/>
            <w:tcBorders>
              <w:top w:val="single" w:sz="8" w:space="0" w:color="414141"/>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Totaal</w:t>
            </w:r>
          </w:p>
        </w:tc>
      </w:tr>
      <w:tr w:rsidR="00B757A4" w:rsidRPr="00E6515F" w:rsidTr="00A13359">
        <w:tc>
          <w:tcPr>
            <w:tcW w:w="1980"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B757A4" w:rsidRPr="00E6515F" w:rsidRDefault="00B757A4" w:rsidP="00B757A4">
            <w:pPr>
              <w:ind w:left="60"/>
              <w:rPr>
                <w:sz w:val="20"/>
                <w:szCs w:val="20"/>
                <w:lang w:val="nl-BE"/>
              </w:rPr>
            </w:pPr>
          </w:p>
        </w:tc>
        <w:tc>
          <w:tcPr>
            <w:tcW w:w="1020" w:type="dxa"/>
            <w:tcBorders>
              <w:top w:val="nil"/>
              <w:left w:val="single" w:sz="4" w:space="0" w:color="auto"/>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PG 1</w:t>
            </w:r>
          </w:p>
        </w:tc>
        <w:tc>
          <w:tcPr>
            <w:tcW w:w="1020" w:type="dxa"/>
            <w:tcBorders>
              <w:top w:val="nil"/>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PG 2</w:t>
            </w:r>
          </w:p>
        </w:tc>
        <w:tc>
          <w:tcPr>
            <w:tcW w:w="1020" w:type="dxa"/>
            <w:tcBorders>
              <w:top w:val="nil"/>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PG 3</w:t>
            </w:r>
          </w:p>
        </w:tc>
        <w:tc>
          <w:tcPr>
            <w:tcW w:w="900" w:type="dxa"/>
            <w:tcBorders>
              <w:top w:val="nil"/>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Aantal</w:t>
            </w:r>
          </w:p>
        </w:tc>
        <w:tc>
          <w:tcPr>
            <w:tcW w:w="1005" w:type="dxa"/>
            <w:tcBorders>
              <w:top w:val="nil"/>
              <w:left w:val="nil"/>
              <w:bottom w:val="single" w:sz="8" w:space="0" w:color="414141"/>
              <w:right w:val="single" w:sz="8" w:space="0" w:color="414141"/>
            </w:tcBorders>
            <w:shd w:val="clear" w:color="auto" w:fill="C2C2C2"/>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w:t>
            </w:r>
          </w:p>
        </w:tc>
        <w:tc>
          <w:tcPr>
            <w:tcW w:w="870" w:type="dxa"/>
            <w:vMerge/>
            <w:tcBorders>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rPr>
                <w:i/>
                <w:sz w:val="20"/>
                <w:szCs w:val="20"/>
                <w:lang w:val="nl-BE"/>
              </w:rPr>
            </w:pPr>
          </w:p>
        </w:tc>
      </w:tr>
      <w:tr w:rsidR="00B757A4" w:rsidRPr="00E6515F" w:rsidTr="00A13359">
        <w:tc>
          <w:tcPr>
            <w:tcW w:w="19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B757A4" w:rsidRPr="00E6515F" w:rsidRDefault="00B757A4" w:rsidP="00B757A4">
            <w:pPr>
              <w:ind w:left="60"/>
              <w:rPr>
                <w:b/>
                <w:sz w:val="20"/>
                <w:szCs w:val="20"/>
                <w:lang w:val="nl-BE"/>
              </w:rPr>
            </w:pPr>
            <w:r w:rsidRPr="00E6515F">
              <w:rPr>
                <w:b/>
                <w:sz w:val="20"/>
                <w:szCs w:val="20"/>
                <w:lang w:val="nl-BE"/>
              </w:rPr>
              <w:t>Noodsituatie</w:t>
            </w:r>
          </w:p>
        </w:tc>
        <w:tc>
          <w:tcPr>
            <w:tcW w:w="1020" w:type="dxa"/>
            <w:tcBorders>
              <w:top w:val="nil"/>
              <w:left w:val="single" w:sz="4" w:space="0" w:color="auto"/>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56</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8</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299</w:t>
            </w:r>
          </w:p>
        </w:tc>
        <w:tc>
          <w:tcPr>
            <w:tcW w:w="90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443</w:t>
            </w:r>
          </w:p>
        </w:tc>
        <w:tc>
          <w:tcPr>
            <w:tcW w:w="1005"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55%</w:t>
            </w:r>
          </w:p>
        </w:tc>
        <w:tc>
          <w:tcPr>
            <w:tcW w:w="87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i/>
                <w:sz w:val="20"/>
                <w:szCs w:val="20"/>
                <w:lang w:val="nl-BE"/>
              </w:rPr>
            </w:pPr>
            <w:r w:rsidRPr="00E6515F">
              <w:rPr>
                <w:i/>
                <w:sz w:val="20"/>
                <w:szCs w:val="20"/>
                <w:lang w:val="nl-BE"/>
              </w:rPr>
              <w:t>806</w:t>
            </w:r>
          </w:p>
        </w:tc>
      </w:tr>
      <w:tr w:rsidR="00B757A4" w:rsidRPr="00E6515F" w:rsidTr="00A13359">
        <w:tc>
          <w:tcPr>
            <w:tcW w:w="19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B757A4" w:rsidRPr="00E6515F" w:rsidRDefault="00B757A4" w:rsidP="00B757A4">
            <w:pPr>
              <w:ind w:left="60"/>
              <w:rPr>
                <w:b/>
                <w:sz w:val="20"/>
                <w:szCs w:val="20"/>
                <w:lang w:val="nl-BE"/>
              </w:rPr>
            </w:pPr>
            <w:r w:rsidRPr="00E6515F">
              <w:rPr>
                <w:b/>
                <w:sz w:val="20"/>
                <w:szCs w:val="20"/>
                <w:lang w:val="nl-BE"/>
              </w:rPr>
              <w:t>Maatschappelijke noodzaak</w:t>
            </w:r>
          </w:p>
        </w:tc>
        <w:tc>
          <w:tcPr>
            <w:tcW w:w="1020" w:type="dxa"/>
            <w:tcBorders>
              <w:top w:val="nil"/>
              <w:left w:val="single" w:sz="4" w:space="0" w:color="auto"/>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75</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2</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56</w:t>
            </w:r>
          </w:p>
        </w:tc>
        <w:tc>
          <w:tcPr>
            <w:tcW w:w="90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69</w:t>
            </w:r>
          </w:p>
        </w:tc>
        <w:tc>
          <w:tcPr>
            <w:tcW w:w="1005"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34%</w:t>
            </w:r>
          </w:p>
        </w:tc>
        <w:tc>
          <w:tcPr>
            <w:tcW w:w="87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i/>
                <w:sz w:val="20"/>
                <w:szCs w:val="20"/>
                <w:lang w:val="nl-BE"/>
              </w:rPr>
            </w:pPr>
            <w:r w:rsidRPr="00E6515F">
              <w:rPr>
                <w:i/>
                <w:sz w:val="20"/>
                <w:szCs w:val="20"/>
                <w:lang w:val="nl-BE"/>
              </w:rPr>
              <w:t>202</w:t>
            </w:r>
          </w:p>
        </w:tc>
      </w:tr>
      <w:tr w:rsidR="00B757A4" w:rsidRPr="00E6515F" w:rsidTr="00A13359">
        <w:tc>
          <w:tcPr>
            <w:tcW w:w="19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B757A4" w:rsidRPr="00E6515F" w:rsidRDefault="00B757A4" w:rsidP="00B757A4">
            <w:pPr>
              <w:ind w:left="60"/>
              <w:rPr>
                <w:b/>
                <w:sz w:val="20"/>
                <w:szCs w:val="20"/>
                <w:lang w:val="nl-BE"/>
              </w:rPr>
            </w:pPr>
            <w:r w:rsidRPr="00E6515F">
              <w:rPr>
                <w:b/>
                <w:sz w:val="20"/>
                <w:szCs w:val="20"/>
                <w:lang w:val="nl-BE"/>
              </w:rPr>
              <w:t>Spoedprocedure</w:t>
            </w:r>
          </w:p>
        </w:tc>
        <w:tc>
          <w:tcPr>
            <w:tcW w:w="1020" w:type="dxa"/>
            <w:tcBorders>
              <w:top w:val="nil"/>
              <w:left w:val="single" w:sz="4" w:space="0" w:color="auto"/>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1</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1</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6</w:t>
            </w:r>
          </w:p>
        </w:tc>
        <w:tc>
          <w:tcPr>
            <w:tcW w:w="90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156</w:t>
            </w:r>
          </w:p>
        </w:tc>
        <w:tc>
          <w:tcPr>
            <w:tcW w:w="1005"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sz w:val="20"/>
                <w:szCs w:val="20"/>
                <w:lang w:val="nl-BE"/>
              </w:rPr>
            </w:pPr>
            <w:r w:rsidRPr="00E6515F">
              <w:rPr>
                <w:sz w:val="20"/>
                <w:szCs w:val="20"/>
                <w:lang w:val="nl-BE"/>
              </w:rPr>
              <w:t>95%</w:t>
            </w:r>
          </w:p>
        </w:tc>
        <w:tc>
          <w:tcPr>
            <w:tcW w:w="87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i/>
                <w:sz w:val="20"/>
                <w:szCs w:val="20"/>
                <w:lang w:val="nl-BE"/>
              </w:rPr>
            </w:pPr>
            <w:r w:rsidRPr="00E6515F">
              <w:rPr>
                <w:i/>
                <w:sz w:val="20"/>
                <w:szCs w:val="20"/>
                <w:lang w:val="nl-BE"/>
              </w:rPr>
              <w:t>164</w:t>
            </w:r>
          </w:p>
        </w:tc>
      </w:tr>
      <w:tr w:rsidR="00B757A4" w:rsidRPr="00E6515F" w:rsidTr="00A13359">
        <w:tc>
          <w:tcPr>
            <w:tcW w:w="1980"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B757A4" w:rsidRPr="00E6515F" w:rsidRDefault="00B757A4" w:rsidP="00B757A4">
            <w:pPr>
              <w:ind w:left="60"/>
              <w:rPr>
                <w:b/>
                <w:i/>
                <w:sz w:val="20"/>
                <w:szCs w:val="20"/>
                <w:lang w:val="nl-BE"/>
              </w:rPr>
            </w:pPr>
            <w:r w:rsidRPr="00E6515F">
              <w:rPr>
                <w:b/>
                <w:i/>
                <w:sz w:val="20"/>
                <w:szCs w:val="20"/>
                <w:lang w:val="nl-BE"/>
              </w:rPr>
              <w:t>Totaal</w:t>
            </w:r>
          </w:p>
        </w:tc>
        <w:tc>
          <w:tcPr>
            <w:tcW w:w="1020" w:type="dxa"/>
            <w:tcBorders>
              <w:top w:val="nil"/>
              <w:left w:val="single" w:sz="4" w:space="0" w:color="auto"/>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132</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11</w:t>
            </w:r>
          </w:p>
        </w:tc>
        <w:tc>
          <w:tcPr>
            <w:tcW w:w="102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361</w:t>
            </w:r>
          </w:p>
        </w:tc>
        <w:tc>
          <w:tcPr>
            <w:tcW w:w="90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668</w:t>
            </w:r>
          </w:p>
        </w:tc>
        <w:tc>
          <w:tcPr>
            <w:tcW w:w="1005"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57%</w:t>
            </w:r>
          </w:p>
        </w:tc>
        <w:tc>
          <w:tcPr>
            <w:tcW w:w="870" w:type="dxa"/>
            <w:tcBorders>
              <w:top w:val="nil"/>
              <w:left w:val="nil"/>
              <w:bottom w:val="single" w:sz="8" w:space="0" w:color="414141"/>
              <w:right w:val="single" w:sz="8" w:space="0" w:color="414141"/>
            </w:tcBorders>
            <w:shd w:val="clear" w:color="auto" w:fill="auto"/>
            <w:tcMar>
              <w:top w:w="56" w:type="dxa"/>
              <w:left w:w="56" w:type="dxa"/>
              <w:bottom w:w="56" w:type="dxa"/>
              <w:right w:w="56" w:type="dxa"/>
            </w:tcMar>
          </w:tcPr>
          <w:p w:rsidR="00B757A4" w:rsidRPr="00E6515F" w:rsidRDefault="00B757A4" w:rsidP="00B757A4">
            <w:pPr>
              <w:ind w:left="60"/>
              <w:jc w:val="center"/>
              <w:rPr>
                <w:b/>
                <w:i/>
                <w:sz w:val="20"/>
                <w:szCs w:val="20"/>
                <w:lang w:val="nl-BE"/>
              </w:rPr>
            </w:pPr>
            <w:r w:rsidRPr="00E6515F">
              <w:rPr>
                <w:b/>
                <w:i/>
                <w:sz w:val="20"/>
                <w:szCs w:val="20"/>
                <w:lang w:val="nl-BE"/>
              </w:rPr>
              <w:t>1172</w:t>
            </w:r>
          </w:p>
        </w:tc>
      </w:tr>
    </w:tbl>
    <w:p w:rsidR="00B757A4" w:rsidRPr="00346DD7" w:rsidRDefault="00B757A4" w:rsidP="00B757A4">
      <w:pPr>
        <w:rPr>
          <w:sz w:val="18"/>
          <w:szCs w:val="18"/>
          <w:lang w:val="nl-BE"/>
        </w:rPr>
      </w:pPr>
      <w:r w:rsidRPr="00346DD7">
        <w:rPr>
          <w:sz w:val="18"/>
          <w:szCs w:val="18"/>
          <w:lang w:val="nl-BE"/>
        </w:rPr>
        <w:t>*</w:t>
      </w:r>
      <w:r w:rsidR="00C97AB6" w:rsidRPr="00346DD7">
        <w:rPr>
          <w:sz w:val="18"/>
          <w:szCs w:val="18"/>
          <w:lang w:val="nl-BE"/>
        </w:rPr>
        <w:t xml:space="preserve"> </w:t>
      </w:r>
      <w:r w:rsidRPr="00346DD7">
        <w:rPr>
          <w:sz w:val="18"/>
          <w:szCs w:val="18"/>
          <w:lang w:val="nl-BE"/>
        </w:rPr>
        <w:t xml:space="preserve">Terbeschikkingstellingen </w:t>
      </w:r>
      <w:r w:rsidR="00627480" w:rsidRPr="00346DD7">
        <w:rPr>
          <w:sz w:val="18"/>
          <w:szCs w:val="18"/>
          <w:lang w:val="nl-BE"/>
        </w:rPr>
        <w:t>2017</w:t>
      </w:r>
      <w:r w:rsidRPr="00346DD7">
        <w:rPr>
          <w:sz w:val="18"/>
          <w:szCs w:val="18"/>
          <w:lang w:val="nl-BE"/>
        </w:rPr>
        <w:t xml:space="preserve"> </w:t>
      </w:r>
      <w:r w:rsidR="00C97AB6" w:rsidRPr="00346DD7">
        <w:rPr>
          <w:sz w:val="18"/>
          <w:szCs w:val="18"/>
          <w:lang w:val="nl-BE"/>
        </w:rPr>
        <w:t xml:space="preserve">o.b.v. </w:t>
      </w:r>
      <w:r w:rsidRPr="00346DD7">
        <w:rPr>
          <w:sz w:val="18"/>
          <w:szCs w:val="18"/>
          <w:lang w:val="nl-BE"/>
        </w:rPr>
        <w:t xml:space="preserve">wachtlijst </w:t>
      </w:r>
      <w:r w:rsidR="00C97AB6" w:rsidRPr="00346DD7">
        <w:rPr>
          <w:sz w:val="18"/>
          <w:szCs w:val="18"/>
          <w:lang w:val="nl-BE"/>
        </w:rPr>
        <w:t>01.01.</w:t>
      </w:r>
      <w:r w:rsidR="00627480" w:rsidRPr="00346DD7">
        <w:rPr>
          <w:sz w:val="18"/>
          <w:szCs w:val="18"/>
          <w:lang w:val="nl-BE"/>
        </w:rPr>
        <w:t>2017</w:t>
      </w:r>
    </w:p>
    <w:p w:rsidR="00B757A4" w:rsidRPr="00346DD7" w:rsidRDefault="004F792E" w:rsidP="00B757A4">
      <w:pPr>
        <w:rPr>
          <w:sz w:val="18"/>
          <w:szCs w:val="18"/>
          <w:lang w:val="nl-BE"/>
        </w:rPr>
      </w:pPr>
      <w:r w:rsidRPr="00346DD7">
        <w:rPr>
          <w:sz w:val="18"/>
          <w:szCs w:val="18"/>
          <w:lang w:val="nl-BE"/>
        </w:rPr>
        <w:t>**</w:t>
      </w:r>
      <w:r w:rsidR="00C97AB6" w:rsidRPr="00346DD7">
        <w:rPr>
          <w:sz w:val="18"/>
          <w:szCs w:val="18"/>
          <w:lang w:val="nl-BE"/>
        </w:rPr>
        <w:t xml:space="preserve"> </w:t>
      </w:r>
      <w:r w:rsidRPr="00346DD7">
        <w:rPr>
          <w:sz w:val="18"/>
          <w:szCs w:val="18"/>
          <w:lang w:val="nl-BE"/>
        </w:rPr>
        <w:t>Terbeschikkingstellingen 20</w:t>
      </w:r>
      <w:r w:rsidR="00B757A4" w:rsidRPr="00346DD7">
        <w:rPr>
          <w:sz w:val="18"/>
          <w:szCs w:val="18"/>
          <w:lang w:val="nl-BE"/>
        </w:rPr>
        <w:t xml:space="preserve">18 </w:t>
      </w:r>
      <w:r w:rsidR="00C97AB6" w:rsidRPr="00346DD7">
        <w:rPr>
          <w:sz w:val="18"/>
          <w:szCs w:val="18"/>
          <w:lang w:val="nl-BE"/>
        </w:rPr>
        <w:t xml:space="preserve">o.b.v. </w:t>
      </w:r>
      <w:r w:rsidR="00B757A4" w:rsidRPr="00346DD7">
        <w:rPr>
          <w:sz w:val="18"/>
          <w:szCs w:val="18"/>
          <w:lang w:val="nl-BE"/>
        </w:rPr>
        <w:t xml:space="preserve">wachtlijst </w:t>
      </w:r>
      <w:r w:rsidR="00C97AB6" w:rsidRPr="00346DD7">
        <w:rPr>
          <w:sz w:val="18"/>
          <w:szCs w:val="18"/>
          <w:lang w:val="nl-BE"/>
        </w:rPr>
        <w:t>01.01.</w:t>
      </w:r>
      <w:r w:rsidRPr="00346DD7">
        <w:rPr>
          <w:sz w:val="18"/>
          <w:szCs w:val="18"/>
          <w:lang w:val="nl-BE"/>
        </w:rPr>
        <w:t>20</w:t>
      </w:r>
      <w:r w:rsidR="00B757A4" w:rsidRPr="00346DD7">
        <w:rPr>
          <w:sz w:val="18"/>
          <w:szCs w:val="18"/>
          <w:lang w:val="nl-BE"/>
        </w:rPr>
        <w:t>18</w:t>
      </w:r>
    </w:p>
    <w:p w:rsidR="00B757A4" w:rsidRPr="00E6515F" w:rsidRDefault="00B757A4" w:rsidP="00B757A4">
      <w:pPr>
        <w:rPr>
          <w:i/>
          <w:lang w:val="nl-BE"/>
        </w:rPr>
      </w:pPr>
    </w:p>
    <w:p w:rsidR="00B757A4" w:rsidRPr="00E6515F" w:rsidRDefault="00B757A4" w:rsidP="00B757A4">
      <w:pPr>
        <w:jc w:val="both"/>
        <w:rPr>
          <w:lang w:val="nl-BE"/>
        </w:rPr>
      </w:pPr>
      <w:r w:rsidRPr="00E6515F">
        <w:rPr>
          <w:lang w:val="nl-BE"/>
        </w:rPr>
        <w:t xml:space="preserve">In deze tabel wordt het aantal unieke personen met een </w:t>
      </w:r>
      <w:r w:rsidR="00C97AB6">
        <w:rPr>
          <w:lang w:val="nl-BE"/>
        </w:rPr>
        <w:t>terbeschikkingstelling</w:t>
      </w:r>
      <w:r w:rsidR="00C97AB6" w:rsidRPr="00E6515F">
        <w:rPr>
          <w:lang w:val="nl-BE"/>
        </w:rPr>
        <w:t xml:space="preserve"> </w:t>
      </w:r>
      <w:r w:rsidRPr="00E6515F">
        <w:rPr>
          <w:lang w:val="nl-BE"/>
        </w:rPr>
        <w:t>in een automatische</w:t>
      </w:r>
      <w:r w:rsidR="00C97AB6">
        <w:rPr>
          <w:lang w:val="nl-BE"/>
        </w:rPr>
        <w:t>-</w:t>
      </w:r>
      <w:r w:rsidRPr="00E6515F">
        <w:rPr>
          <w:lang w:val="nl-BE"/>
        </w:rPr>
        <w:t xml:space="preserve">toekenningsgroep tussen  </w:t>
      </w:r>
      <w:r w:rsidR="00C97AB6">
        <w:rPr>
          <w:lang w:val="nl-BE"/>
        </w:rPr>
        <w:t>01.01.</w:t>
      </w:r>
      <w:r w:rsidR="00627480" w:rsidRPr="00E6515F">
        <w:rPr>
          <w:lang w:val="nl-BE"/>
        </w:rPr>
        <w:t>2017</w:t>
      </w:r>
      <w:r w:rsidR="004F792E" w:rsidRPr="00E6515F">
        <w:rPr>
          <w:lang w:val="nl-BE"/>
        </w:rPr>
        <w:t xml:space="preserve"> en </w:t>
      </w:r>
      <w:r w:rsidR="00C97AB6">
        <w:rPr>
          <w:lang w:val="nl-BE"/>
        </w:rPr>
        <w:t>30.06.</w:t>
      </w:r>
      <w:r w:rsidR="004F792E" w:rsidRPr="00E6515F">
        <w:rPr>
          <w:lang w:val="nl-BE"/>
        </w:rPr>
        <w:t>20</w:t>
      </w:r>
      <w:r w:rsidRPr="00E6515F">
        <w:rPr>
          <w:lang w:val="nl-BE"/>
        </w:rPr>
        <w:t>18 vermeld, opgesplitst per automatische</w:t>
      </w:r>
      <w:r w:rsidR="00C97AB6">
        <w:rPr>
          <w:lang w:val="nl-BE"/>
        </w:rPr>
        <w:t>-</w:t>
      </w:r>
      <w:r w:rsidRPr="00E6515F">
        <w:rPr>
          <w:lang w:val="nl-BE"/>
        </w:rPr>
        <w:t xml:space="preserve">toekenningsgroep. Er wordt een onderverdeling gemaakt </w:t>
      </w:r>
      <w:r w:rsidR="00C97AB6">
        <w:rPr>
          <w:lang w:val="nl-BE"/>
        </w:rPr>
        <w:t xml:space="preserve">op basis van de vraag </w:t>
      </w:r>
      <w:r w:rsidRPr="00E6515F">
        <w:rPr>
          <w:lang w:val="nl-BE"/>
        </w:rPr>
        <w:t xml:space="preserve">of de persoon </w:t>
      </w:r>
      <w:r w:rsidR="00C97AB6">
        <w:rPr>
          <w:lang w:val="nl-BE"/>
        </w:rPr>
        <w:t>al</w:t>
      </w:r>
      <w:r w:rsidR="00C97AB6" w:rsidRPr="00E6515F">
        <w:rPr>
          <w:lang w:val="nl-BE"/>
        </w:rPr>
        <w:t xml:space="preserve"> </w:t>
      </w:r>
      <w:r w:rsidRPr="00E6515F">
        <w:rPr>
          <w:lang w:val="nl-BE"/>
        </w:rPr>
        <w:t xml:space="preserve">op de </w:t>
      </w:r>
      <w:r w:rsidR="00BF51F1">
        <w:rPr>
          <w:lang w:val="nl-BE"/>
        </w:rPr>
        <w:t>prioriteitenlijsten</w:t>
      </w:r>
      <w:r w:rsidR="00BF51F1" w:rsidRPr="00E6515F">
        <w:rPr>
          <w:lang w:val="nl-BE"/>
        </w:rPr>
        <w:t xml:space="preserve"> </w:t>
      </w:r>
      <w:r w:rsidRPr="00E6515F">
        <w:rPr>
          <w:lang w:val="nl-BE"/>
        </w:rPr>
        <w:t xml:space="preserve">stond (opgesplitst per prioriteitengroep) of niet. </w:t>
      </w:r>
    </w:p>
    <w:p w:rsidR="00B757A4" w:rsidRPr="00E6515F" w:rsidRDefault="00B757A4" w:rsidP="00B757A4">
      <w:pPr>
        <w:jc w:val="both"/>
        <w:rPr>
          <w:lang w:val="nl-BE"/>
        </w:rPr>
      </w:pPr>
    </w:p>
    <w:p w:rsidR="00A5624E" w:rsidRPr="00E6515F" w:rsidRDefault="00B757A4" w:rsidP="00D0327D">
      <w:pPr>
        <w:jc w:val="both"/>
        <w:rPr>
          <w:lang w:val="nl-BE"/>
        </w:rPr>
      </w:pPr>
      <w:r w:rsidRPr="00E6515F">
        <w:rPr>
          <w:lang w:val="nl-BE"/>
        </w:rPr>
        <w:t xml:space="preserve">Opvallend is dat mensen die via een spoedprocedure een </w:t>
      </w:r>
      <w:r w:rsidR="00C97AB6">
        <w:rPr>
          <w:lang w:val="nl-BE"/>
        </w:rPr>
        <w:t>terbeschikkingstelling</w:t>
      </w:r>
      <w:r w:rsidR="00C97AB6" w:rsidRPr="00E6515F">
        <w:rPr>
          <w:lang w:val="nl-BE"/>
        </w:rPr>
        <w:t xml:space="preserve"> </w:t>
      </w:r>
      <w:r w:rsidRPr="00E6515F">
        <w:rPr>
          <w:lang w:val="nl-BE"/>
        </w:rPr>
        <w:t>kregen</w:t>
      </w:r>
      <w:r w:rsidR="00C97AB6">
        <w:rPr>
          <w:lang w:val="nl-BE"/>
        </w:rPr>
        <w:t>,</w:t>
      </w:r>
      <w:r w:rsidRPr="00E6515F">
        <w:rPr>
          <w:lang w:val="nl-BE"/>
        </w:rPr>
        <w:t xml:space="preserve"> meestal nog niet </w:t>
      </w:r>
      <w:r w:rsidR="008223EB" w:rsidRPr="00E6515F">
        <w:rPr>
          <w:lang w:val="nl-BE"/>
        </w:rPr>
        <w:t xml:space="preserve">op </w:t>
      </w:r>
      <w:r w:rsidR="00BF51F1">
        <w:rPr>
          <w:lang w:val="nl-BE"/>
        </w:rPr>
        <w:t>een prioriteitenlijst</w:t>
      </w:r>
      <w:r w:rsidR="008223EB" w:rsidRPr="00E6515F">
        <w:rPr>
          <w:lang w:val="nl-BE"/>
        </w:rPr>
        <w:t xml:space="preserve"> stonden</w:t>
      </w:r>
      <w:r w:rsidRPr="00E6515F">
        <w:rPr>
          <w:lang w:val="nl-BE"/>
        </w:rPr>
        <w:t xml:space="preserve"> (slechts 5% stond op </w:t>
      </w:r>
      <w:r w:rsidR="00BF51F1">
        <w:rPr>
          <w:lang w:val="nl-BE"/>
        </w:rPr>
        <w:t>een prioriteitenlijst</w:t>
      </w:r>
      <w:r w:rsidRPr="00E6515F">
        <w:rPr>
          <w:lang w:val="nl-BE"/>
        </w:rPr>
        <w:t xml:space="preserve">). Mensen die via een </w:t>
      </w:r>
      <w:r w:rsidR="001D4BD9">
        <w:rPr>
          <w:lang w:val="nl-BE"/>
        </w:rPr>
        <w:t xml:space="preserve">procedure </w:t>
      </w:r>
      <w:r w:rsidRPr="00E6515F">
        <w:rPr>
          <w:lang w:val="nl-BE"/>
        </w:rPr>
        <w:t xml:space="preserve">maatschappelijke noodzaak </w:t>
      </w:r>
      <w:r w:rsidR="001D4BD9">
        <w:rPr>
          <w:lang w:val="nl-BE"/>
        </w:rPr>
        <w:t>een terbeschikkingstelling kregen, stonden</w:t>
      </w:r>
      <w:r w:rsidRPr="00E6515F">
        <w:rPr>
          <w:lang w:val="nl-BE"/>
        </w:rPr>
        <w:t xml:space="preserve"> vaak wel al op </w:t>
      </w:r>
      <w:r w:rsidR="00BF51F1">
        <w:rPr>
          <w:lang w:val="nl-BE"/>
        </w:rPr>
        <w:t>een prioriteitenlijst</w:t>
      </w:r>
      <w:r w:rsidRPr="00E6515F">
        <w:rPr>
          <w:lang w:val="nl-BE"/>
        </w:rPr>
        <w:t xml:space="preserve"> (66% </w:t>
      </w:r>
      <w:r w:rsidR="001D4BD9">
        <w:rPr>
          <w:lang w:val="nl-BE"/>
        </w:rPr>
        <w:t>stond al</w:t>
      </w:r>
      <w:r w:rsidRPr="00E6515F">
        <w:rPr>
          <w:lang w:val="nl-BE"/>
        </w:rPr>
        <w:t xml:space="preserve"> op </w:t>
      </w:r>
      <w:r w:rsidR="00BF51F1">
        <w:rPr>
          <w:lang w:val="nl-BE"/>
        </w:rPr>
        <w:t>een prioriteitenlijst</w:t>
      </w:r>
      <w:r w:rsidRPr="00E6515F">
        <w:rPr>
          <w:lang w:val="nl-BE"/>
        </w:rPr>
        <w:t xml:space="preserve">). Tot slot </w:t>
      </w:r>
      <w:r w:rsidR="001D4BD9">
        <w:rPr>
          <w:lang w:val="nl-BE"/>
        </w:rPr>
        <w:t>stond</w:t>
      </w:r>
      <w:r w:rsidR="001D4BD9" w:rsidRPr="00E6515F">
        <w:rPr>
          <w:lang w:val="nl-BE"/>
        </w:rPr>
        <w:t xml:space="preserve"> </w:t>
      </w:r>
      <w:r w:rsidRPr="00E6515F">
        <w:rPr>
          <w:lang w:val="nl-BE"/>
        </w:rPr>
        <w:t xml:space="preserve">ook </w:t>
      </w:r>
      <w:r w:rsidR="00736091" w:rsidRPr="00E6515F">
        <w:rPr>
          <w:lang w:val="nl-BE"/>
        </w:rPr>
        <w:t xml:space="preserve">een kleine helft van de </w:t>
      </w:r>
      <w:r w:rsidRPr="00E6515F">
        <w:rPr>
          <w:lang w:val="nl-BE"/>
        </w:rPr>
        <w:t xml:space="preserve">mensen die via een noodsituatie een </w:t>
      </w:r>
      <w:r w:rsidR="001D4BD9">
        <w:rPr>
          <w:lang w:val="nl-BE"/>
        </w:rPr>
        <w:t>terbeschikkingstelling kregen</w:t>
      </w:r>
      <w:r w:rsidRPr="00E6515F">
        <w:rPr>
          <w:lang w:val="nl-BE"/>
        </w:rPr>
        <w:t xml:space="preserve"> al op </w:t>
      </w:r>
      <w:r w:rsidR="00BF51F1">
        <w:rPr>
          <w:lang w:val="nl-BE"/>
        </w:rPr>
        <w:t>een prioriteitenlijst</w:t>
      </w:r>
      <w:r w:rsidRPr="00E6515F">
        <w:rPr>
          <w:lang w:val="nl-BE"/>
        </w:rPr>
        <w:t xml:space="preserve">. </w:t>
      </w:r>
    </w:p>
    <w:p w:rsidR="00D0327D" w:rsidRPr="00E6515F" w:rsidRDefault="00D0327D">
      <w:pPr>
        <w:rPr>
          <w:b/>
          <w:sz w:val="38"/>
          <w:szCs w:val="38"/>
          <w:lang w:val="nl-BE"/>
        </w:rPr>
      </w:pPr>
      <w:bookmarkStart w:id="58" w:name="_Toc528227896"/>
      <w:r w:rsidRPr="00E6515F">
        <w:rPr>
          <w:lang w:val="nl-BE"/>
        </w:rPr>
        <w:br w:type="page"/>
      </w:r>
    </w:p>
    <w:p w:rsidR="00CD1B8C" w:rsidRPr="00E6515F" w:rsidRDefault="002859D7" w:rsidP="00691346">
      <w:pPr>
        <w:pStyle w:val="Kop1"/>
        <w:widowControl w:val="0"/>
        <w:numPr>
          <w:ilvl w:val="0"/>
          <w:numId w:val="1"/>
        </w:numPr>
        <w:pBdr>
          <w:top w:val="nil"/>
          <w:left w:val="nil"/>
          <w:bottom w:val="nil"/>
          <w:right w:val="nil"/>
          <w:between w:val="nil"/>
        </w:pBdr>
        <w:ind w:left="544" w:hanging="570"/>
        <w:rPr>
          <w:lang w:val="nl-BE"/>
        </w:rPr>
      </w:pPr>
      <w:bookmarkStart w:id="59" w:name="_Toc536797813"/>
      <w:r w:rsidRPr="00E6515F">
        <w:rPr>
          <w:lang w:val="nl-BE"/>
        </w:rPr>
        <w:lastRenderedPageBreak/>
        <w:t>Gegevens met betrekking tot erkenningen en vergunningen</w:t>
      </w:r>
      <w:bookmarkEnd w:id="58"/>
      <w:bookmarkEnd w:id="59"/>
    </w:p>
    <w:p w:rsidR="00CD1B8C" w:rsidRPr="00E6515F" w:rsidRDefault="002859D7">
      <w:pPr>
        <w:jc w:val="both"/>
        <w:rPr>
          <w:lang w:val="nl-BE"/>
        </w:rPr>
      </w:pPr>
      <w:r w:rsidRPr="00E6515F">
        <w:rPr>
          <w:lang w:val="nl-BE"/>
        </w:rPr>
        <w:t xml:space="preserve">Het is moeilijk om het aanbod </w:t>
      </w:r>
      <w:r w:rsidR="00063F78" w:rsidRPr="00E6515F">
        <w:rPr>
          <w:lang w:val="nl-BE"/>
        </w:rPr>
        <w:t xml:space="preserve">over </w:t>
      </w:r>
      <w:r w:rsidRPr="00E6515F">
        <w:rPr>
          <w:lang w:val="nl-BE"/>
        </w:rPr>
        <w:t xml:space="preserve">de afgelopen tien jaar te vergelijken. We zijn namelijk overgegaan van een </w:t>
      </w:r>
      <w:proofErr w:type="spellStart"/>
      <w:r w:rsidRPr="00E6515F">
        <w:rPr>
          <w:lang w:val="nl-BE"/>
        </w:rPr>
        <w:t>aanbodgestuurde</w:t>
      </w:r>
      <w:proofErr w:type="spellEnd"/>
      <w:r w:rsidRPr="00E6515F">
        <w:rPr>
          <w:lang w:val="nl-BE"/>
        </w:rPr>
        <w:t xml:space="preserve"> sector naar een </w:t>
      </w:r>
      <w:proofErr w:type="spellStart"/>
      <w:r w:rsidR="00A5624E" w:rsidRPr="00E6515F">
        <w:rPr>
          <w:lang w:val="nl-BE"/>
        </w:rPr>
        <w:t>vraaggestuurde</w:t>
      </w:r>
      <w:proofErr w:type="spellEnd"/>
      <w:r w:rsidR="00A5624E" w:rsidRPr="00E6515F">
        <w:rPr>
          <w:lang w:val="nl-BE"/>
        </w:rPr>
        <w:t xml:space="preserve"> </w:t>
      </w:r>
      <w:r w:rsidRPr="00E6515F">
        <w:rPr>
          <w:lang w:val="nl-BE"/>
        </w:rPr>
        <w:t xml:space="preserve">sector </w:t>
      </w:r>
      <w:r w:rsidR="00A5624E" w:rsidRPr="00E6515F">
        <w:rPr>
          <w:lang w:val="nl-BE"/>
        </w:rPr>
        <w:t>die</w:t>
      </w:r>
      <w:r w:rsidRPr="00E6515F">
        <w:rPr>
          <w:lang w:val="nl-BE"/>
        </w:rPr>
        <w:t xml:space="preserve"> zeer sterk gericht is op de vragen en behoeften van de gebruikers. </w:t>
      </w:r>
      <w:r w:rsidR="00C62F6C" w:rsidRPr="00E6515F">
        <w:rPr>
          <w:lang w:val="nl-BE"/>
        </w:rPr>
        <w:t>D</w:t>
      </w:r>
      <w:r w:rsidR="00C62F6C">
        <w:rPr>
          <w:lang w:val="nl-BE"/>
        </w:rPr>
        <w:t>a</w:t>
      </w:r>
      <w:r w:rsidR="00C62F6C" w:rsidRPr="00E6515F">
        <w:rPr>
          <w:lang w:val="nl-BE"/>
        </w:rPr>
        <w:t xml:space="preserve">t </w:t>
      </w:r>
      <w:r w:rsidRPr="00E6515F">
        <w:rPr>
          <w:lang w:val="nl-BE"/>
        </w:rPr>
        <w:t>is stapsgewijs gebeurd.</w:t>
      </w:r>
    </w:p>
    <w:p w:rsidR="00A5624E" w:rsidRPr="00E6515F" w:rsidRDefault="00A5624E">
      <w:pPr>
        <w:jc w:val="both"/>
        <w:rPr>
          <w:lang w:val="nl-BE"/>
        </w:rPr>
      </w:pPr>
    </w:p>
    <w:p w:rsidR="00CD1B8C" w:rsidRPr="00E6515F" w:rsidRDefault="002859D7">
      <w:pPr>
        <w:jc w:val="both"/>
        <w:rPr>
          <w:lang w:val="nl-BE"/>
        </w:rPr>
      </w:pPr>
      <w:r w:rsidRPr="00E6515F">
        <w:rPr>
          <w:lang w:val="nl-BE"/>
        </w:rPr>
        <w:t xml:space="preserve">In 2008 werd er </w:t>
      </w:r>
      <w:r w:rsidR="00C62F6C">
        <w:rPr>
          <w:lang w:val="nl-BE"/>
        </w:rPr>
        <w:t xml:space="preserve">enerzijds </w:t>
      </w:r>
      <w:r w:rsidRPr="00E6515F">
        <w:rPr>
          <w:lang w:val="nl-BE"/>
        </w:rPr>
        <w:t>nog volop geïnvesteerd in meer middelen voor ambulante woonvormen</w:t>
      </w:r>
      <w:r w:rsidR="00C62F6C">
        <w:rPr>
          <w:lang w:val="nl-BE"/>
        </w:rPr>
        <w:t>. Anderzijds</w:t>
      </w:r>
      <w:r w:rsidRPr="00E6515F">
        <w:rPr>
          <w:lang w:val="nl-BE"/>
        </w:rPr>
        <w:t xml:space="preserve"> kregen de diensten thuisbegeleiding en begeleid wonen ook een capaciteit toegekend waarbij ze via trajectbegeleiding ondersteuning konden bieden aan gebruikers om samen met hen op zoek te gaan naar een meer </w:t>
      </w:r>
      <w:proofErr w:type="spellStart"/>
      <w:r w:rsidRPr="00E6515F">
        <w:rPr>
          <w:lang w:val="nl-BE"/>
        </w:rPr>
        <w:t>vraaggestuurde</w:t>
      </w:r>
      <w:proofErr w:type="spellEnd"/>
      <w:r w:rsidRPr="00E6515F">
        <w:rPr>
          <w:lang w:val="nl-BE"/>
        </w:rPr>
        <w:t xml:space="preserve"> oplossing. </w:t>
      </w:r>
      <w:r w:rsidR="00C62F6C">
        <w:rPr>
          <w:lang w:val="nl-BE"/>
        </w:rPr>
        <w:t>Die</w:t>
      </w:r>
      <w:r w:rsidR="00C62F6C" w:rsidRPr="00E6515F">
        <w:rPr>
          <w:lang w:val="nl-BE"/>
        </w:rPr>
        <w:t xml:space="preserve"> </w:t>
      </w:r>
      <w:r w:rsidRPr="00E6515F">
        <w:rPr>
          <w:lang w:val="nl-BE"/>
        </w:rPr>
        <w:t>taken werden vanaf 2010 overgenomen door de diensten o</w:t>
      </w:r>
      <w:r w:rsidR="00A5624E" w:rsidRPr="00E6515F">
        <w:rPr>
          <w:lang w:val="nl-BE"/>
        </w:rPr>
        <w:t>ndersteuningsplan (</w:t>
      </w:r>
      <w:proofErr w:type="spellStart"/>
      <w:r w:rsidR="00A5624E" w:rsidRPr="00E6515F">
        <w:rPr>
          <w:lang w:val="nl-BE"/>
        </w:rPr>
        <w:t>DOP</w:t>
      </w:r>
      <w:r w:rsidR="00C62F6C">
        <w:rPr>
          <w:lang w:val="nl-BE"/>
        </w:rPr>
        <w:t>’s</w:t>
      </w:r>
      <w:proofErr w:type="spellEnd"/>
      <w:r w:rsidR="00A5624E" w:rsidRPr="00E6515F">
        <w:rPr>
          <w:lang w:val="nl-BE"/>
        </w:rPr>
        <w:t xml:space="preserve">). In </w:t>
      </w:r>
      <w:r w:rsidR="00C62F6C" w:rsidRPr="00E6515F">
        <w:rPr>
          <w:lang w:val="nl-BE"/>
        </w:rPr>
        <w:t>d</w:t>
      </w:r>
      <w:r w:rsidR="00C62F6C">
        <w:rPr>
          <w:lang w:val="nl-BE"/>
        </w:rPr>
        <w:t>a</w:t>
      </w:r>
      <w:r w:rsidR="00C62F6C" w:rsidRPr="00E6515F">
        <w:rPr>
          <w:lang w:val="nl-BE"/>
        </w:rPr>
        <w:t xml:space="preserve">tzelfde </w:t>
      </w:r>
      <w:r w:rsidRPr="00E6515F">
        <w:rPr>
          <w:lang w:val="nl-BE"/>
        </w:rPr>
        <w:t>jaar werden ook de diensten inclusi</w:t>
      </w:r>
      <w:r w:rsidR="00A5624E" w:rsidRPr="00E6515F">
        <w:rPr>
          <w:lang w:val="nl-BE"/>
        </w:rPr>
        <w:t xml:space="preserve">eve ondersteuning opgericht. </w:t>
      </w:r>
      <w:r w:rsidR="00C62F6C" w:rsidRPr="00E6515F">
        <w:rPr>
          <w:lang w:val="nl-BE"/>
        </w:rPr>
        <w:t>D</w:t>
      </w:r>
      <w:r w:rsidR="00C62F6C">
        <w:rPr>
          <w:lang w:val="nl-BE"/>
        </w:rPr>
        <w:t>a</w:t>
      </w:r>
      <w:r w:rsidR="00C62F6C" w:rsidRPr="00E6515F">
        <w:rPr>
          <w:lang w:val="nl-BE"/>
        </w:rPr>
        <w:t xml:space="preserve">t </w:t>
      </w:r>
      <w:r w:rsidR="00A5624E" w:rsidRPr="00E6515F">
        <w:rPr>
          <w:lang w:val="nl-BE"/>
        </w:rPr>
        <w:t xml:space="preserve">was de </w:t>
      </w:r>
      <w:r w:rsidRPr="00E6515F">
        <w:rPr>
          <w:lang w:val="nl-BE"/>
        </w:rPr>
        <w:t xml:space="preserve">eerste erkenning die een capaciteit had erkend in </w:t>
      </w:r>
      <w:r w:rsidR="00736091" w:rsidRPr="00E6515F">
        <w:rPr>
          <w:lang w:val="nl-BE"/>
        </w:rPr>
        <w:t>personeels</w:t>
      </w:r>
      <w:r w:rsidRPr="00E6515F">
        <w:rPr>
          <w:lang w:val="nl-BE"/>
        </w:rPr>
        <w:t>punten gebaseerd op de inschalingsgegevens van de gebruiker</w:t>
      </w:r>
      <w:r w:rsidR="00736091" w:rsidRPr="00E6515F">
        <w:rPr>
          <w:lang w:val="nl-BE"/>
        </w:rPr>
        <w:t>s</w:t>
      </w:r>
      <w:r w:rsidRPr="00E6515F">
        <w:rPr>
          <w:lang w:val="nl-BE"/>
        </w:rPr>
        <w:t>.</w:t>
      </w:r>
    </w:p>
    <w:p w:rsidR="00A5624E" w:rsidRPr="00E6515F" w:rsidRDefault="00A5624E">
      <w:pPr>
        <w:jc w:val="both"/>
        <w:rPr>
          <w:lang w:val="nl-BE"/>
        </w:rPr>
      </w:pPr>
    </w:p>
    <w:p w:rsidR="00CD1B8C" w:rsidRPr="00E6515F" w:rsidRDefault="002859D7">
      <w:pPr>
        <w:jc w:val="both"/>
        <w:rPr>
          <w:lang w:val="nl-BE"/>
        </w:rPr>
      </w:pPr>
      <w:r w:rsidRPr="00E6515F">
        <w:rPr>
          <w:lang w:val="nl-BE"/>
        </w:rPr>
        <w:t xml:space="preserve">Vanaf 2012 werden de </w:t>
      </w:r>
      <w:r w:rsidR="00736091" w:rsidRPr="00E6515F">
        <w:rPr>
          <w:lang w:val="nl-BE"/>
        </w:rPr>
        <w:t xml:space="preserve">bestaande voorzieningen omgevormd tot </w:t>
      </w:r>
      <w:r w:rsidR="00C62F6C">
        <w:rPr>
          <w:lang w:val="nl-BE"/>
        </w:rPr>
        <w:t xml:space="preserve">multifunctioneel centrum (MFC) voor minderjarigen </w:t>
      </w:r>
      <w:r w:rsidRPr="00E6515F">
        <w:rPr>
          <w:lang w:val="nl-BE"/>
        </w:rPr>
        <w:t xml:space="preserve">en </w:t>
      </w:r>
      <w:r w:rsidR="00C62F6C">
        <w:rPr>
          <w:lang w:val="nl-BE"/>
        </w:rPr>
        <w:t>flexibel aanbod meerderjarigen (</w:t>
      </w:r>
      <w:r w:rsidRPr="00E6515F">
        <w:rPr>
          <w:lang w:val="nl-BE"/>
        </w:rPr>
        <w:t>FAM</w:t>
      </w:r>
      <w:r w:rsidR="00C62F6C">
        <w:rPr>
          <w:lang w:val="nl-BE"/>
        </w:rPr>
        <w:t>)</w:t>
      </w:r>
      <w:r w:rsidRPr="00E6515F">
        <w:rPr>
          <w:lang w:val="nl-BE"/>
        </w:rPr>
        <w:t xml:space="preserve">. In de beginfase behielden organisaties hun </w:t>
      </w:r>
      <w:r w:rsidR="00736091" w:rsidRPr="00E6515F">
        <w:rPr>
          <w:lang w:val="nl-BE"/>
        </w:rPr>
        <w:t xml:space="preserve">oude erkenning met een </w:t>
      </w:r>
      <w:r w:rsidRPr="00E6515F">
        <w:rPr>
          <w:lang w:val="nl-BE"/>
        </w:rPr>
        <w:t xml:space="preserve">capaciteit van de omgezette afdelingen en werden via beheersovereenkomsten binnen deze bij aanvang pilootprojecten verdere afspraken gemaakt </w:t>
      </w:r>
      <w:r w:rsidR="00736091" w:rsidRPr="00E6515F">
        <w:rPr>
          <w:lang w:val="nl-BE"/>
        </w:rPr>
        <w:t xml:space="preserve">over </w:t>
      </w:r>
      <w:r w:rsidRPr="00E6515F">
        <w:rPr>
          <w:lang w:val="nl-BE"/>
        </w:rPr>
        <w:t xml:space="preserve">een </w:t>
      </w:r>
      <w:r w:rsidR="00C62F6C">
        <w:rPr>
          <w:lang w:val="nl-BE"/>
        </w:rPr>
        <w:t>flexibeler</w:t>
      </w:r>
      <w:r w:rsidR="00AE0490">
        <w:rPr>
          <w:lang w:val="nl-BE"/>
        </w:rPr>
        <w:t>e</w:t>
      </w:r>
      <w:r w:rsidRPr="00E6515F">
        <w:rPr>
          <w:lang w:val="nl-BE"/>
        </w:rPr>
        <w:t xml:space="preserve"> vorm van ondersteuning en subsidiëring.</w:t>
      </w:r>
    </w:p>
    <w:p w:rsidR="00A5624E" w:rsidRPr="00E6515F" w:rsidRDefault="00A5624E">
      <w:pPr>
        <w:jc w:val="both"/>
        <w:rPr>
          <w:lang w:val="nl-BE"/>
        </w:rPr>
      </w:pPr>
    </w:p>
    <w:p w:rsidR="00CD1B8C" w:rsidRPr="00E6515F" w:rsidRDefault="002859D7">
      <w:pPr>
        <w:jc w:val="both"/>
        <w:rPr>
          <w:lang w:val="nl-BE"/>
        </w:rPr>
      </w:pPr>
      <w:r w:rsidRPr="00E6515F">
        <w:rPr>
          <w:lang w:val="nl-BE"/>
        </w:rPr>
        <w:t xml:space="preserve">In 2013 </w:t>
      </w:r>
      <w:r w:rsidR="00C62F6C" w:rsidRPr="00E6515F">
        <w:rPr>
          <w:lang w:val="nl-BE"/>
        </w:rPr>
        <w:t>w</w:t>
      </w:r>
      <w:r w:rsidR="00C62F6C">
        <w:rPr>
          <w:lang w:val="nl-BE"/>
        </w:rPr>
        <w:t>erd</w:t>
      </w:r>
      <w:r w:rsidR="00C62F6C" w:rsidRPr="00E6515F">
        <w:rPr>
          <w:lang w:val="nl-BE"/>
        </w:rPr>
        <w:t xml:space="preserve"> </w:t>
      </w:r>
      <w:r w:rsidRPr="00E6515F">
        <w:rPr>
          <w:lang w:val="nl-BE"/>
        </w:rPr>
        <w:t xml:space="preserve">het besluit </w:t>
      </w:r>
      <w:r w:rsidR="00C62F6C">
        <w:rPr>
          <w:lang w:val="nl-BE"/>
        </w:rPr>
        <w:t>r</w:t>
      </w:r>
      <w:r w:rsidRPr="00E6515F">
        <w:rPr>
          <w:lang w:val="nl-BE"/>
        </w:rPr>
        <w:t xml:space="preserve">echtstreeks toegankelijke hulp (RTH) goedgekeurd en </w:t>
      </w:r>
      <w:r w:rsidR="00C62F6C" w:rsidRPr="00E6515F">
        <w:rPr>
          <w:lang w:val="nl-BE"/>
        </w:rPr>
        <w:t>w</w:t>
      </w:r>
      <w:r w:rsidR="00C62F6C">
        <w:rPr>
          <w:lang w:val="nl-BE"/>
        </w:rPr>
        <w:t>e</w:t>
      </w:r>
      <w:r w:rsidR="00C62F6C" w:rsidRPr="00E6515F">
        <w:rPr>
          <w:lang w:val="nl-BE"/>
        </w:rPr>
        <w:t xml:space="preserve">rden </w:t>
      </w:r>
      <w:r w:rsidRPr="00E6515F">
        <w:rPr>
          <w:lang w:val="nl-BE"/>
        </w:rPr>
        <w:t xml:space="preserve">de eerste diensten </w:t>
      </w:r>
      <w:r w:rsidR="00DD02E4">
        <w:rPr>
          <w:lang w:val="nl-BE"/>
        </w:rPr>
        <w:t>rechtstreeks toegankelijke hulp</w:t>
      </w:r>
      <w:r w:rsidRPr="00E6515F">
        <w:rPr>
          <w:lang w:val="nl-BE"/>
        </w:rPr>
        <w:t xml:space="preserve"> erkend. </w:t>
      </w:r>
      <w:r w:rsidR="00346DD7">
        <w:rPr>
          <w:lang w:val="nl-BE"/>
        </w:rPr>
        <w:t xml:space="preserve">Rechtstreeks </w:t>
      </w:r>
      <w:r w:rsidR="00DD02E4">
        <w:rPr>
          <w:lang w:val="nl-BE"/>
        </w:rPr>
        <w:t>toegankelijke hulp</w:t>
      </w:r>
      <w:r w:rsidRPr="00E6515F">
        <w:rPr>
          <w:lang w:val="nl-BE"/>
        </w:rPr>
        <w:t xml:space="preserve"> heeft een dubbel doel. Enerzijds laag intensieve of laagfrequente ondersteuning vlot toegankelijk maken voor de persoon met een handicap, zodat hij vlot kan worden geholpen zonder het doorlopen van een inschrijvingsprocedure of een </w:t>
      </w:r>
      <w:r w:rsidR="00A5624E" w:rsidRPr="00E6515F">
        <w:rPr>
          <w:lang w:val="nl-BE"/>
        </w:rPr>
        <w:t xml:space="preserve">procedure zorgregie. Anderzijds </w:t>
      </w:r>
      <w:r w:rsidRPr="00E6515F">
        <w:rPr>
          <w:lang w:val="nl-BE"/>
        </w:rPr>
        <w:t xml:space="preserve">vermijden dat personen met een beperkte ondersteuningsvraag onnodig of te vroeg op de </w:t>
      </w:r>
      <w:r w:rsidR="00C62F6C">
        <w:rPr>
          <w:lang w:val="nl-BE"/>
        </w:rPr>
        <w:t>c</w:t>
      </w:r>
      <w:r w:rsidR="00C62F6C" w:rsidRPr="00E6515F">
        <w:rPr>
          <w:lang w:val="nl-BE"/>
        </w:rPr>
        <w:t xml:space="preserve">entrale </w:t>
      </w:r>
      <w:r w:rsidR="00C62F6C">
        <w:rPr>
          <w:lang w:val="nl-BE"/>
        </w:rPr>
        <w:t>re</w:t>
      </w:r>
      <w:r w:rsidR="00C62F6C" w:rsidRPr="00E6515F">
        <w:rPr>
          <w:lang w:val="nl-BE"/>
        </w:rPr>
        <w:t xml:space="preserve">gistratie </w:t>
      </w:r>
      <w:r w:rsidRPr="00E6515F">
        <w:rPr>
          <w:lang w:val="nl-BE"/>
        </w:rPr>
        <w:t xml:space="preserve">van </w:t>
      </w:r>
      <w:r w:rsidR="00C62F6C">
        <w:rPr>
          <w:lang w:val="nl-BE"/>
        </w:rPr>
        <w:t>z</w:t>
      </w:r>
      <w:r w:rsidR="00C62F6C" w:rsidRPr="00E6515F">
        <w:rPr>
          <w:lang w:val="nl-BE"/>
        </w:rPr>
        <w:t xml:space="preserve">orgvragen </w:t>
      </w:r>
      <w:r w:rsidRPr="00E6515F">
        <w:rPr>
          <w:lang w:val="nl-BE"/>
        </w:rPr>
        <w:t>(CRZ) terechtkomen en gebruik maken van te intensieve en duurdere vormen van ondersteuning die niet rechtstreeks toegankelijk zijn.</w:t>
      </w:r>
      <w:r w:rsidR="00A5624E" w:rsidRPr="00E6515F">
        <w:rPr>
          <w:lang w:val="nl-BE"/>
        </w:rPr>
        <w:t xml:space="preserve"> </w:t>
      </w:r>
      <w:r w:rsidRPr="00E6515F">
        <w:rPr>
          <w:lang w:val="nl-BE"/>
        </w:rPr>
        <w:t>Deze hulpverlening komt tegemoet aan ondersteuningsvragen van personen met een (vermoeden van) handicap die beperkte ondersteuning in termen van frequentie, duur en intensiteit vragen.</w:t>
      </w:r>
      <w:r w:rsidR="00736091" w:rsidRPr="00E6515F">
        <w:rPr>
          <w:lang w:val="nl-BE"/>
        </w:rPr>
        <w:t xml:space="preserve"> Vaak kan </w:t>
      </w:r>
      <w:r w:rsidR="00DD02E4">
        <w:rPr>
          <w:lang w:val="nl-BE"/>
        </w:rPr>
        <w:t>rechtstreeks toegankelijke hulp</w:t>
      </w:r>
      <w:r w:rsidR="00736091" w:rsidRPr="00E6515F">
        <w:rPr>
          <w:lang w:val="nl-BE"/>
        </w:rPr>
        <w:t xml:space="preserve"> echter ook soelaas brengen in de periode dat mensen </w:t>
      </w:r>
      <w:r w:rsidR="00C62F6C">
        <w:rPr>
          <w:lang w:val="nl-BE"/>
        </w:rPr>
        <w:t>moeten</w:t>
      </w:r>
      <w:r w:rsidR="00736091" w:rsidRPr="00E6515F">
        <w:rPr>
          <w:lang w:val="nl-BE"/>
        </w:rPr>
        <w:t xml:space="preserve"> wachten op niet-rechtstreeks toegankelijke hulp. </w:t>
      </w:r>
      <w:r w:rsidRPr="00E6515F">
        <w:rPr>
          <w:lang w:val="nl-BE"/>
        </w:rPr>
        <w:t xml:space="preserve"> </w:t>
      </w:r>
    </w:p>
    <w:p w:rsidR="00A5624E" w:rsidRPr="00E6515F" w:rsidRDefault="00A5624E">
      <w:pPr>
        <w:jc w:val="both"/>
        <w:rPr>
          <w:lang w:val="nl-BE"/>
        </w:rPr>
      </w:pPr>
    </w:p>
    <w:p w:rsidR="00CD1B8C" w:rsidRPr="00E6515F" w:rsidRDefault="002859D7">
      <w:pPr>
        <w:jc w:val="both"/>
        <w:rPr>
          <w:lang w:val="nl-BE"/>
        </w:rPr>
      </w:pPr>
      <w:r w:rsidRPr="00E6515F">
        <w:rPr>
          <w:lang w:val="nl-BE"/>
        </w:rPr>
        <w:t>In 2014 werd</w:t>
      </w:r>
      <w:r w:rsidR="00AE0490">
        <w:rPr>
          <w:lang w:val="nl-BE"/>
        </w:rPr>
        <w:t xml:space="preserve"> </w:t>
      </w:r>
      <w:r w:rsidRPr="00E6515F">
        <w:rPr>
          <w:lang w:val="nl-BE"/>
        </w:rPr>
        <w:t>pleegzorg de bevoegdheid van</w:t>
      </w:r>
      <w:r w:rsidR="00AE0490">
        <w:rPr>
          <w:lang w:val="nl-BE"/>
        </w:rPr>
        <w:t xml:space="preserve"> het Agentschap</w:t>
      </w:r>
      <w:r w:rsidRPr="00E6515F">
        <w:rPr>
          <w:lang w:val="nl-BE"/>
        </w:rPr>
        <w:t xml:space="preserve"> </w:t>
      </w:r>
      <w:r w:rsidR="00C62F6C">
        <w:rPr>
          <w:lang w:val="nl-BE"/>
        </w:rPr>
        <w:t>J</w:t>
      </w:r>
      <w:r w:rsidR="00C62F6C" w:rsidRPr="00E6515F">
        <w:rPr>
          <w:lang w:val="nl-BE"/>
        </w:rPr>
        <w:t>ongerenwelzijn</w:t>
      </w:r>
      <w:r w:rsidRPr="00E6515F">
        <w:rPr>
          <w:lang w:val="nl-BE"/>
        </w:rPr>
        <w:t>. De grootste capaciteit werd dus overgeheveld naar de minderjarigenzorg. Een deel van de plaatsen wonen onder begeleiding van een particulier</w:t>
      </w:r>
      <w:r w:rsidR="00C62F6C">
        <w:rPr>
          <w:lang w:val="nl-BE"/>
        </w:rPr>
        <w:t xml:space="preserve"> (WOP</w:t>
      </w:r>
      <w:r w:rsidRPr="00E6515F">
        <w:rPr>
          <w:lang w:val="nl-BE"/>
        </w:rPr>
        <w:t xml:space="preserve">) werd </w:t>
      </w:r>
      <w:proofErr w:type="spellStart"/>
      <w:r w:rsidRPr="00E6515F">
        <w:rPr>
          <w:lang w:val="nl-BE"/>
        </w:rPr>
        <w:t>gereconverteerd</w:t>
      </w:r>
      <w:proofErr w:type="spellEnd"/>
      <w:r w:rsidRPr="00E6515F">
        <w:rPr>
          <w:lang w:val="nl-BE"/>
        </w:rPr>
        <w:t xml:space="preserve"> naar plaatsen begeleid wonen en ook enkele plaatsen beschermd wonen. </w:t>
      </w:r>
    </w:p>
    <w:p w:rsidR="00A5624E" w:rsidRPr="00E6515F" w:rsidRDefault="00A5624E">
      <w:pPr>
        <w:jc w:val="both"/>
        <w:rPr>
          <w:lang w:val="nl-BE"/>
        </w:rPr>
      </w:pPr>
    </w:p>
    <w:p w:rsidR="00C5096C" w:rsidRPr="00E6515F" w:rsidRDefault="002859D7">
      <w:pPr>
        <w:jc w:val="both"/>
        <w:rPr>
          <w:lang w:val="nl-BE"/>
        </w:rPr>
      </w:pPr>
      <w:r w:rsidRPr="00E6515F">
        <w:rPr>
          <w:lang w:val="nl-BE"/>
        </w:rPr>
        <w:t>Vanaf 2016 werd</w:t>
      </w:r>
      <w:r w:rsidR="00C62F6C">
        <w:rPr>
          <w:lang w:val="nl-BE"/>
        </w:rPr>
        <w:t xml:space="preserve"> de</w:t>
      </w:r>
      <w:r w:rsidRPr="00E6515F">
        <w:rPr>
          <w:lang w:val="nl-BE"/>
        </w:rPr>
        <w:t xml:space="preserve"> </w:t>
      </w:r>
      <w:r w:rsidR="009F5B77">
        <w:rPr>
          <w:lang w:val="nl-BE"/>
        </w:rPr>
        <w:t>persoonsvolgende financiering</w:t>
      </w:r>
      <w:r w:rsidRPr="00E6515F">
        <w:rPr>
          <w:lang w:val="nl-BE"/>
        </w:rPr>
        <w:t xml:space="preserve"> opgestart en </w:t>
      </w:r>
      <w:r w:rsidR="00736091" w:rsidRPr="00E6515F">
        <w:rPr>
          <w:lang w:val="nl-BE"/>
        </w:rPr>
        <w:t xml:space="preserve">kregen alle </w:t>
      </w:r>
      <w:proofErr w:type="spellStart"/>
      <w:r w:rsidR="00736091" w:rsidRPr="00E6515F">
        <w:rPr>
          <w:lang w:val="nl-BE"/>
        </w:rPr>
        <w:t>MFC’s</w:t>
      </w:r>
      <w:proofErr w:type="spellEnd"/>
      <w:r w:rsidR="00736091" w:rsidRPr="00E6515F">
        <w:rPr>
          <w:lang w:val="nl-BE"/>
        </w:rPr>
        <w:t xml:space="preserve">, </w:t>
      </w:r>
      <w:proofErr w:type="spellStart"/>
      <w:r w:rsidR="00736091" w:rsidRPr="00E6515F">
        <w:rPr>
          <w:lang w:val="nl-BE"/>
        </w:rPr>
        <w:t>FAM’s</w:t>
      </w:r>
      <w:proofErr w:type="spellEnd"/>
      <w:r w:rsidR="00736091" w:rsidRPr="00E6515F">
        <w:rPr>
          <w:lang w:val="nl-BE"/>
        </w:rPr>
        <w:t xml:space="preserve"> en thuisbegeleidingsdiensten van rechtswege een vergunning </w:t>
      </w:r>
      <w:r w:rsidRPr="00E6515F">
        <w:rPr>
          <w:lang w:val="nl-BE"/>
        </w:rPr>
        <w:t xml:space="preserve"> als vergunde zorgaanbieder. Het betrof een vergunning waarbij ze gesubsidieerd werden via de persoonsvolgende middelen van de gebruikers, </w:t>
      </w:r>
      <w:r w:rsidR="00736091" w:rsidRPr="00E6515F">
        <w:rPr>
          <w:lang w:val="nl-BE"/>
        </w:rPr>
        <w:t xml:space="preserve">en dus niet langer </w:t>
      </w:r>
      <w:r w:rsidRPr="00E6515F">
        <w:rPr>
          <w:lang w:val="nl-BE"/>
        </w:rPr>
        <w:t>een erkenning</w:t>
      </w:r>
      <w:r w:rsidR="00A5624E" w:rsidRPr="00E6515F">
        <w:rPr>
          <w:lang w:val="nl-BE"/>
        </w:rPr>
        <w:t xml:space="preserve"> </w:t>
      </w:r>
      <w:r w:rsidR="00736091" w:rsidRPr="00E6515F">
        <w:rPr>
          <w:lang w:val="nl-BE"/>
        </w:rPr>
        <w:t xml:space="preserve">met </w:t>
      </w:r>
      <w:r w:rsidR="00A5624E" w:rsidRPr="00E6515F">
        <w:rPr>
          <w:lang w:val="nl-BE"/>
        </w:rPr>
        <w:t>een vaste capaciteit</w:t>
      </w:r>
      <w:r w:rsidRPr="00E6515F">
        <w:rPr>
          <w:lang w:val="nl-BE"/>
        </w:rPr>
        <w:t xml:space="preserve">. </w:t>
      </w:r>
    </w:p>
    <w:p w:rsidR="00C5096C" w:rsidRPr="00E6515F" w:rsidRDefault="00C5096C">
      <w:pPr>
        <w:jc w:val="both"/>
        <w:rPr>
          <w:lang w:val="nl-BE"/>
        </w:rPr>
      </w:pPr>
    </w:p>
    <w:p w:rsidR="00CD1B8C" w:rsidRPr="00E6515F" w:rsidRDefault="002859D7">
      <w:pPr>
        <w:jc w:val="both"/>
        <w:rPr>
          <w:lang w:val="nl-BE"/>
        </w:rPr>
      </w:pPr>
      <w:r w:rsidRPr="00E6515F">
        <w:rPr>
          <w:lang w:val="nl-BE"/>
        </w:rPr>
        <w:lastRenderedPageBreak/>
        <w:t>Omdat er</w:t>
      </w:r>
      <w:r w:rsidR="00C5096C" w:rsidRPr="00E6515F">
        <w:rPr>
          <w:lang w:val="nl-BE"/>
        </w:rPr>
        <w:t xml:space="preserve"> tussen</w:t>
      </w:r>
      <w:r w:rsidRPr="00E6515F">
        <w:rPr>
          <w:lang w:val="nl-BE"/>
        </w:rPr>
        <w:t xml:space="preserve"> 2008 en 2013 nog een zekere vergelijking mogelijk is, starten we met deze evolutie van het aantal plaatsen of begeleidingen in kaart te brengen en lijsten we daarna de organisaties op die </w:t>
      </w:r>
      <w:r w:rsidR="00C5096C" w:rsidRPr="00E6515F">
        <w:rPr>
          <w:lang w:val="nl-BE"/>
        </w:rPr>
        <w:t xml:space="preserve">sinds de start van </w:t>
      </w:r>
      <w:r w:rsidR="00C62F6C">
        <w:rPr>
          <w:lang w:val="nl-BE"/>
        </w:rPr>
        <w:t>de</w:t>
      </w:r>
      <w:r w:rsidR="00346DD7">
        <w:rPr>
          <w:lang w:val="nl-BE"/>
        </w:rPr>
        <w:t xml:space="preserve"> </w:t>
      </w:r>
      <w:r w:rsidR="009F5B77">
        <w:rPr>
          <w:lang w:val="nl-BE"/>
        </w:rPr>
        <w:t>persoonsvolgende financiering</w:t>
      </w:r>
      <w:r w:rsidR="00C5096C" w:rsidRPr="00E6515F">
        <w:rPr>
          <w:lang w:val="nl-BE"/>
        </w:rPr>
        <w:t xml:space="preserve"> vergund</w:t>
      </w:r>
      <w:r w:rsidRPr="00E6515F">
        <w:rPr>
          <w:lang w:val="nl-BE"/>
        </w:rPr>
        <w:t xml:space="preserve"> of erkend w</w:t>
      </w:r>
      <w:r w:rsidR="00C5096C" w:rsidRPr="00E6515F">
        <w:rPr>
          <w:lang w:val="nl-BE"/>
        </w:rPr>
        <w:t>e</w:t>
      </w:r>
      <w:r w:rsidRPr="00E6515F">
        <w:rPr>
          <w:lang w:val="nl-BE"/>
        </w:rPr>
        <w:t>rden.</w:t>
      </w:r>
    </w:p>
    <w:p w:rsidR="00063F78" w:rsidRPr="00E6515F" w:rsidRDefault="00063F78">
      <w:pPr>
        <w:jc w:val="both"/>
        <w:rPr>
          <w:lang w:val="nl-BE"/>
        </w:rPr>
      </w:pPr>
    </w:p>
    <w:p w:rsidR="00CD1B8C" w:rsidRPr="00E6515F" w:rsidRDefault="002859D7" w:rsidP="008834AD">
      <w:pPr>
        <w:pStyle w:val="Kop1"/>
        <w:widowControl w:val="0"/>
        <w:numPr>
          <w:ilvl w:val="1"/>
          <w:numId w:val="1"/>
        </w:numPr>
        <w:pBdr>
          <w:top w:val="nil"/>
          <w:left w:val="nil"/>
          <w:bottom w:val="nil"/>
          <w:right w:val="nil"/>
          <w:between w:val="nil"/>
        </w:pBdr>
        <w:rPr>
          <w:sz w:val="34"/>
          <w:szCs w:val="34"/>
          <w:lang w:val="nl-BE"/>
        </w:rPr>
      </w:pPr>
      <w:bookmarkStart w:id="60" w:name="_17o442d6n1hh" w:colFirst="0" w:colLast="0"/>
      <w:bookmarkStart w:id="61" w:name="_Toc528227897"/>
      <w:bookmarkStart w:id="62" w:name="_Toc536797814"/>
      <w:bookmarkEnd w:id="60"/>
      <w:r w:rsidRPr="00E6515F">
        <w:rPr>
          <w:sz w:val="34"/>
          <w:szCs w:val="34"/>
          <w:lang w:val="nl-BE"/>
        </w:rPr>
        <w:t>Evolutie van de erkende capaciteit 2008-2013</w:t>
      </w:r>
      <w:bookmarkEnd w:id="61"/>
      <w:bookmarkEnd w:id="62"/>
    </w:p>
    <w:p w:rsidR="005E5E26" w:rsidRPr="00E6515F" w:rsidRDefault="005E5E26">
      <w:pPr>
        <w:rPr>
          <w:lang w:val="nl-BE"/>
        </w:rPr>
      </w:pPr>
    </w:p>
    <w:p w:rsidR="00CD1B8C" w:rsidRPr="00E6515F" w:rsidRDefault="005E5E26" w:rsidP="005E5E26">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27</w:t>
      </w:r>
      <w:r w:rsidRPr="00E6515F">
        <w:rPr>
          <w:lang w:val="nl-BE"/>
        </w:rPr>
        <w:fldChar w:fldCharType="end"/>
      </w:r>
      <w:r w:rsidRPr="00E6515F">
        <w:rPr>
          <w:lang w:val="nl-BE"/>
        </w:rPr>
        <w:t xml:space="preserve">: </w:t>
      </w:r>
      <w:r w:rsidR="00C62F6C">
        <w:rPr>
          <w:lang w:val="nl-BE"/>
        </w:rPr>
        <w:t>O</w:t>
      </w:r>
      <w:r w:rsidR="00C62F6C" w:rsidRPr="00E6515F">
        <w:rPr>
          <w:lang w:val="nl-BE"/>
        </w:rPr>
        <w:t xml:space="preserve">verzicht </w:t>
      </w:r>
      <w:r w:rsidRPr="00E6515F">
        <w:rPr>
          <w:lang w:val="nl-BE"/>
        </w:rPr>
        <w:t>van de capaciteit per afdelingsvorm per jaar</w:t>
      </w:r>
    </w:p>
    <w:tbl>
      <w:tblPr>
        <w:tblStyle w:val="Tabelraster"/>
        <w:tblW w:w="7054" w:type="dxa"/>
        <w:tblLayout w:type="fixed"/>
        <w:tblLook w:val="0600" w:firstRow="0" w:lastRow="0" w:firstColumn="0" w:lastColumn="0" w:noHBand="1" w:noVBand="1"/>
      </w:tblPr>
      <w:tblGrid>
        <w:gridCol w:w="3126"/>
        <w:gridCol w:w="1964"/>
        <w:gridCol w:w="1964"/>
      </w:tblGrid>
      <w:tr w:rsidR="00CD1B8C" w:rsidRPr="00E6515F" w:rsidTr="00691346">
        <w:trPr>
          <w:trHeight w:val="329"/>
        </w:trPr>
        <w:tc>
          <w:tcPr>
            <w:tcW w:w="3126" w:type="dxa"/>
            <w:shd w:val="clear" w:color="auto" w:fill="BFBFBF" w:themeFill="background1" w:themeFillShade="BF"/>
            <w:vAlign w:val="center"/>
          </w:tcPr>
          <w:p w:rsidR="00CD1B8C" w:rsidRPr="00E6515F" w:rsidRDefault="002859D7" w:rsidP="00A13359">
            <w:pPr>
              <w:widowControl w:val="0"/>
              <w:pBdr>
                <w:top w:val="nil"/>
                <w:left w:val="nil"/>
                <w:bottom w:val="nil"/>
                <w:right w:val="nil"/>
                <w:between w:val="nil"/>
              </w:pBdr>
              <w:spacing w:line="276" w:lineRule="auto"/>
              <w:rPr>
                <w:b/>
                <w:sz w:val="20"/>
                <w:szCs w:val="20"/>
                <w:lang w:val="nl-BE"/>
              </w:rPr>
            </w:pPr>
            <w:r w:rsidRPr="00E6515F">
              <w:rPr>
                <w:b/>
                <w:sz w:val="20"/>
                <w:szCs w:val="20"/>
                <w:lang w:val="nl-BE"/>
              </w:rPr>
              <w:t>Afdeling</w:t>
            </w:r>
          </w:p>
        </w:tc>
        <w:tc>
          <w:tcPr>
            <w:tcW w:w="1964" w:type="dxa"/>
            <w:shd w:val="clear" w:color="auto" w:fill="BFBFBF" w:themeFill="background1" w:themeFillShade="BF"/>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b/>
                <w:sz w:val="20"/>
                <w:szCs w:val="20"/>
                <w:lang w:val="nl-BE"/>
              </w:rPr>
              <w:t>Capaciteit 2008</w:t>
            </w:r>
          </w:p>
        </w:tc>
        <w:tc>
          <w:tcPr>
            <w:tcW w:w="1964" w:type="dxa"/>
            <w:shd w:val="clear" w:color="auto" w:fill="BFBFBF" w:themeFill="background1" w:themeFillShade="BF"/>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b/>
                <w:sz w:val="20"/>
                <w:szCs w:val="20"/>
                <w:lang w:val="nl-BE"/>
              </w:rPr>
              <w:t>Capaciteit 2013</w:t>
            </w:r>
          </w:p>
        </w:tc>
      </w:tr>
      <w:tr w:rsidR="00CD1B8C" w:rsidRPr="00E6515F" w:rsidTr="00691346">
        <w:trPr>
          <w:trHeight w:val="329"/>
        </w:trPr>
        <w:tc>
          <w:tcPr>
            <w:tcW w:w="3126" w:type="dxa"/>
            <w:vAlign w:val="center"/>
          </w:tcPr>
          <w:p w:rsidR="00CD1B8C" w:rsidRPr="00E6515F" w:rsidRDefault="002859D7" w:rsidP="00A13359">
            <w:pPr>
              <w:widowControl w:val="0"/>
              <w:pBdr>
                <w:top w:val="nil"/>
                <w:left w:val="nil"/>
                <w:bottom w:val="nil"/>
                <w:right w:val="nil"/>
                <w:between w:val="nil"/>
              </w:pBdr>
              <w:spacing w:line="276" w:lineRule="auto"/>
              <w:rPr>
                <w:b/>
                <w:sz w:val="20"/>
                <w:szCs w:val="20"/>
                <w:lang w:val="nl-BE"/>
              </w:rPr>
            </w:pPr>
            <w:r w:rsidRPr="00E6515F">
              <w:rPr>
                <w:b/>
                <w:sz w:val="20"/>
                <w:szCs w:val="20"/>
                <w:lang w:val="nl-BE"/>
              </w:rPr>
              <w:t>Internaat</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4.915</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4.946</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O</w:t>
            </w:r>
            <w:r w:rsidRPr="00E6515F">
              <w:rPr>
                <w:b/>
                <w:sz w:val="20"/>
                <w:szCs w:val="20"/>
                <w:lang w:val="nl-BE"/>
              </w:rPr>
              <w:t>bservatie</w:t>
            </w:r>
            <w:r w:rsidR="002859D7" w:rsidRPr="00E6515F">
              <w:rPr>
                <w:b/>
                <w:sz w:val="20"/>
                <w:szCs w:val="20"/>
                <w:lang w:val="nl-BE"/>
              </w:rPr>
              <w:t>- en behandelingscentra</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361</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364</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proofErr w:type="spellStart"/>
            <w:r>
              <w:rPr>
                <w:b/>
                <w:sz w:val="20"/>
                <w:szCs w:val="20"/>
                <w:lang w:val="nl-BE"/>
              </w:rPr>
              <w:t>S</w:t>
            </w:r>
            <w:r w:rsidR="002859D7" w:rsidRPr="00E6515F">
              <w:rPr>
                <w:b/>
                <w:sz w:val="20"/>
                <w:szCs w:val="20"/>
                <w:lang w:val="nl-BE"/>
              </w:rPr>
              <w:t>semi</w:t>
            </w:r>
            <w:proofErr w:type="spellEnd"/>
            <w:r w:rsidR="002859D7" w:rsidRPr="00E6515F">
              <w:rPr>
                <w:b/>
                <w:sz w:val="20"/>
                <w:szCs w:val="20"/>
                <w:lang w:val="nl-BE"/>
              </w:rPr>
              <w:t>-internaten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3.751</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3.785</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T</w:t>
            </w:r>
            <w:r w:rsidRPr="00E6515F">
              <w:rPr>
                <w:b/>
                <w:sz w:val="20"/>
                <w:szCs w:val="20"/>
                <w:lang w:val="nl-BE"/>
              </w:rPr>
              <w:t xml:space="preserve">ehuizen </w:t>
            </w:r>
            <w:r w:rsidR="002859D7" w:rsidRPr="00E6515F">
              <w:rPr>
                <w:b/>
                <w:sz w:val="20"/>
                <w:szCs w:val="20"/>
                <w:lang w:val="nl-BE"/>
              </w:rPr>
              <w:t xml:space="preserve">voor werkenden </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1.164</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1.168</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T</w:t>
            </w:r>
            <w:r w:rsidR="002859D7" w:rsidRPr="00E6515F">
              <w:rPr>
                <w:b/>
                <w:sz w:val="20"/>
                <w:szCs w:val="20"/>
                <w:lang w:val="nl-BE"/>
              </w:rPr>
              <w:t>ehuizen voor niet-werkenden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9.224</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9.600</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T</w:t>
            </w:r>
            <w:r w:rsidR="002859D7" w:rsidRPr="00E6515F">
              <w:rPr>
                <w:b/>
                <w:sz w:val="20"/>
                <w:szCs w:val="20"/>
                <w:lang w:val="nl-BE"/>
              </w:rPr>
              <w:t>ehuizen voor kortverblijf</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148</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155</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D</w:t>
            </w:r>
            <w:r w:rsidRPr="00E6515F">
              <w:rPr>
                <w:b/>
                <w:sz w:val="20"/>
                <w:szCs w:val="20"/>
                <w:lang w:val="nl-BE"/>
              </w:rPr>
              <w:t>agcentra</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3.721</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3.787</w:t>
            </w:r>
          </w:p>
        </w:tc>
      </w:tr>
      <w:tr w:rsidR="00CD1B8C" w:rsidRPr="00E6515F" w:rsidTr="00691346">
        <w:trPr>
          <w:trHeight w:val="329"/>
        </w:trPr>
        <w:tc>
          <w:tcPr>
            <w:tcW w:w="3126" w:type="dxa"/>
            <w:vAlign w:val="center"/>
          </w:tcPr>
          <w:p w:rsidR="00CD1B8C" w:rsidRPr="00E6515F" w:rsidRDefault="008834AD" w:rsidP="00A13359">
            <w:pPr>
              <w:widowControl w:val="0"/>
              <w:pBdr>
                <w:top w:val="nil"/>
                <w:left w:val="nil"/>
                <w:bottom w:val="nil"/>
                <w:right w:val="nil"/>
                <w:between w:val="nil"/>
              </w:pBdr>
              <w:spacing w:line="276" w:lineRule="auto"/>
              <w:rPr>
                <w:b/>
                <w:sz w:val="20"/>
                <w:szCs w:val="20"/>
                <w:lang w:val="nl-BE"/>
              </w:rPr>
            </w:pPr>
            <w:r w:rsidRPr="00E6515F">
              <w:rPr>
                <w:b/>
                <w:sz w:val="20"/>
                <w:szCs w:val="20"/>
                <w:lang w:val="nl-BE"/>
              </w:rPr>
              <w:t>T</w:t>
            </w:r>
            <w:r w:rsidR="00C5096C" w:rsidRPr="00E6515F">
              <w:rPr>
                <w:b/>
                <w:sz w:val="20"/>
                <w:szCs w:val="20"/>
                <w:lang w:val="nl-BE"/>
              </w:rPr>
              <w:t>huisbegeleiding*</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87.860</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120.713</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B</w:t>
            </w:r>
            <w:r w:rsidRPr="00E6515F">
              <w:rPr>
                <w:b/>
                <w:sz w:val="20"/>
                <w:szCs w:val="20"/>
                <w:lang w:val="nl-BE"/>
              </w:rPr>
              <w:t xml:space="preserve">egeleid </w:t>
            </w:r>
            <w:r w:rsidR="002859D7" w:rsidRPr="00E6515F">
              <w:rPr>
                <w:b/>
                <w:sz w:val="20"/>
                <w:szCs w:val="20"/>
                <w:lang w:val="nl-BE"/>
              </w:rPr>
              <w:t>wonen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2.752</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3.243</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Z</w:t>
            </w:r>
            <w:r w:rsidRPr="00E6515F">
              <w:rPr>
                <w:b/>
                <w:sz w:val="20"/>
                <w:szCs w:val="20"/>
                <w:lang w:val="nl-BE"/>
              </w:rPr>
              <w:t xml:space="preserve">elfstandig </w:t>
            </w:r>
            <w:r w:rsidR="002859D7" w:rsidRPr="00E6515F">
              <w:rPr>
                <w:b/>
                <w:sz w:val="20"/>
                <w:szCs w:val="20"/>
                <w:lang w:val="nl-BE"/>
              </w:rPr>
              <w:t>wonen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311</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358</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B</w:t>
            </w:r>
            <w:r w:rsidRPr="00E6515F">
              <w:rPr>
                <w:b/>
                <w:sz w:val="20"/>
                <w:szCs w:val="20"/>
                <w:lang w:val="nl-BE"/>
              </w:rPr>
              <w:t xml:space="preserve">eschermd </w:t>
            </w:r>
            <w:r w:rsidR="002859D7" w:rsidRPr="00E6515F">
              <w:rPr>
                <w:b/>
                <w:sz w:val="20"/>
                <w:szCs w:val="20"/>
                <w:lang w:val="nl-BE"/>
              </w:rPr>
              <w:t>wonen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1.129</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1.131</w:t>
            </w:r>
          </w:p>
        </w:tc>
      </w:tr>
      <w:tr w:rsidR="00CD1B8C" w:rsidRPr="00E6515F" w:rsidTr="00691346">
        <w:trPr>
          <w:trHeight w:val="329"/>
        </w:trPr>
        <w:tc>
          <w:tcPr>
            <w:tcW w:w="3126" w:type="dxa"/>
            <w:vAlign w:val="center"/>
          </w:tcPr>
          <w:p w:rsidR="00CD1B8C" w:rsidRPr="00E6515F" w:rsidRDefault="00C62F6C" w:rsidP="00C62F6C">
            <w:pPr>
              <w:widowControl w:val="0"/>
              <w:pBdr>
                <w:top w:val="nil"/>
                <w:left w:val="nil"/>
                <w:bottom w:val="nil"/>
                <w:right w:val="nil"/>
                <w:between w:val="nil"/>
              </w:pBdr>
              <w:spacing w:line="276" w:lineRule="auto"/>
              <w:rPr>
                <w:b/>
                <w:sz w:val="20"/>
                <w:szCs w:val="20"/>
                <w:lang w:val="nl-BE"/>
              </w:rPr>
            </w:pPr>
            <w:r>
              <w:rPr>
                <w:b/>
                <w:sz w:val="20"/>
                <w:szCs w:val="20"/>
                <w:lang w:val="nl-BE"/>
              </w:rPr>
              <w:t>G</w:t>
            </w:r>
            <w:r w:rsidR="002859D7" w:rsidRPr="00E6515F">
              <w:rPr>
                <w:b/>
                <w:sz w:val="20"/>
                <w:szCs w:val="20"/>
                <w:lang w:val="nl-BE"/>
              </w:rPr>
              <w:t>e</w:t>
            </w:r>
            <w:r>
              <w:rPr>
                <w:b/>
                <w:sz w:val="20"/>
                <w:szCs w:val="20"/>
                <w:lang w:val="nl-BE"/>
              </w:rPr>
              <w:t>ï</w:t>
            </w:r>
            <w:r w:rsidR="002859D7" w:rsidRPr="00E6515F">
              <w:rPr>
                <w:b/>
                <w:sz w:val="20"/>
                <w:szCs w:val="20"/>
                <w:lang w:val="nl-BE"/>
              </w:rPr>
              <w:t>ntegreerd wonen</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91</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94</w:t>
            </w:r>
          </w:p>
        </w:tc>
      </w:tr>
      <w:tr w:rsidR="00CD1B8C" w:rsidRPr="00E6515F" w:rsidTr="00691346">
        <w:trPr>
          <w:trHeight w:val="329"/>
        </w:trPr>
        <w:tc>
          <w:tcPr>
            <w:tcW w:w="3126" w:type="dxa"/>
            <w:vAlign w:val="center"/>
          </w:tcPr>
          <w:p w:rsidR="00CD1B8C" w:rsidRPr="00E6515F" w:rsidRDefault="00C62F6C" w:rsidP="00A13359">
            <w:pPr>
              <w:widowControl w:val="0"/>
              <w:pBdr>
                <w:top w:val="nil"/>
                <w:left w:val="nil"/>
                <w:bottom w:val="nil"/>
                <w:right w:val="nil"/>
                <w:between w:val="nil"/>
              </w:pBdr>
              <w:spacing w:line="276" w:lineRule="auto"/>
              <w:rPr>
                <w:b/>
                <w:sz w:val="20"/>
                <w:szCs w:val="20"/>
                <w:lang w:val="nl-BE"/>
              </w:rPr>
            </w:pPr>
            <w:r>
              <w:rPr>
                <w:b/>
                <w:sz w:val="20"/>
                <w:szCs w:val="20"/>
                <w:lang w:val="nl-BE"/>
              </w:rPr>
              <w:t>P</w:t>
            </w:r>
            <w:r w:rsidR="002859D7" w:rsidRPr="00E6515F">
              <w:rPr>
                <w:b/>
                <w:sz w:val="20"/>
                <w:szCs w:val="20"/>
                <w:lang w:val="nl-BE"/>
              </w:rPr>
              <w:t>laatsing in gezinnen/</w:t>
            </w:r>
            <w:r>
              <w:rPr>
                <w:b/>
                <w:sz w:val="20"/>
                <w:szCs w:val="20"/>
                <w:lang w:val="nl-BE"/>
              </w:rPr>
              <w:t>WOP</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1.028</w:t>
            </w: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1.086</w:t>
            </w:r>
          </w:p>
        </w:tc>
      </w:tr>
      <w:tr w:rsidR="00CD1B8C" w:rsidRPr="00E6515F" w:rsidTr="00691346">
        <w:trPr>
          <w:trHeight w:val="329"/>
        </w:trPr>
        <w:tc>
          <w:tcPr>
            <w:tcW w:w="3126" w:type="dxa"/>
            <w:vAlign w:val="center"/>
          </w:tcPr>
          <w:p w:rsidR="00CD1B8C" w:rsidRPr="00E6515F" w:rsidRDefault="002859D7" w:rsidP="00A13359">
            <w:pPr>
              <w:widowControl w:val="0"/>
              <w:pBdr>
                <w:top w:val="nil"/>
                <w:left w:val="nil"/>
                <w:bottom w:val="nil"/>
                <w:right w:val="nil"/>
                <w:between w:val="nil"/>
              </w:pBdr>
              <w:spacing w:line="276" w:lineRule="auto"/>
              <w:rPr>
                <w:b/>
                <w:sz w:val="20"/>
                <w:szCs w:val="20"/>
                <w:lang w:val="nl-BE"/>
              </w:rPr>
            </w:pPr>
            <w:r w:rsidRPr="00E6515F">
              <w:rPr>
                <w:b/>
                <w:sz w:val="20"/>
                <w:szCs w:val="20"/>
                <w:lang w:val="nl-BE"/>
              </w:rPr>
              <w:t xml:space="preserve">Diensten </w:t>
            </w:r>
            <w:r w:rsidR="00C62F6C">
              <w:rPr>
                <w:b/>
                <w:sz w:val="20"/>
                <w:szCs w:val="20"/>
                <w:lang w:val="nl-BE"/>
              </w:rPr>
              <w:t>i</w:t>
            </w:r>
            <w:r w:rsidRPr="00E6515F">
              <w:rPr>
                <w:b/>
                <w:sz w:val="20"/>
                <w:szCs w:val="20"/>
                <w:lang w:val="nl-BE"/>
              </w:rPr>
              <w:t>nclusieve ondersteuning</w:t>
            </w:r>
            <w:r w:rsidR="00C5096C" w:rsidRPr="00E6515F">
              <w:rPr>
                <w:b/>
                <w:sz w:val="20"/>
                <w:szCs w:val="20"/>
                <w:lang w:val="nl-BE"/>
              </w:rPr>
              <w:t>**</w:t>
            </w:r>
          </w:p>
        </w:tc>
        <w:tc>
          <w:tcPr>
            <w:tcW w:w="1964" w:type="dxa"/>
            <w:vAlign w:val="center"/>
          </w:tcPr>
          <w:p w:rsidR="00CD1B8C" w:rsidRPr="00E6515F" w:rsidRDefault="00CD1B8C" w:rsidP="00A13359">
            <w:pPr>
              <w:widowControl w:val="0"/>
              <w:pBdr>
                <w:top w:val="nil"/>
                <w:left w:val="nil"/>
                <w:bottom w:val="nil"/>
                <w:right w:val="nil"/>
                <w:between w:val="nil"/>
              </w:pBdr>
              <w:spacing w:line="276" w:lineRule="auto"/>
              <w:jc w:val="center"/>
              <w:rPr>
                <w:sz w:val="20"/>
                <w:szCs w:val="20"/>
                <w:lang w:val="nl-BE"/>
              </w:rPr>
            </w:pP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6.416</w:t>
            </w:r>
          </w:p>
        </w:tc>
      </w:tr>
      <w:tr w:rsidR="00CD1B8C" w:rsidRPr="00E6515F" w:rsidTr="00691346">
        <w:trPr>
          <w:trHeight w:val="329"/>
        </w:trPr>
        <w:tc>
          <w:tcPr>
            <w:tcW w:w="3126" w:type="dxa"/>
            <w:vAlign w:val="center"/>
          </w:tcPr>
          <w:p w:rsidR="00CD1B8C" w:rsidRPr="00E6515F" w:rsidRDefault="002859D7" w:rsidP="00A13359">
            <w:pPr>
              <w:widowControl w:val="0"/>
              <w:pBdr>
                <w:top w:val="nil"/>
                <w:left w:val="nil"/>
                <w:bottom w:val="nil"/>
                <w:right w:val="nil"/>
                <w:between w:val="nil"/>
              </w:pBdr>
              <w:spacing w:line="276" w:lineRule="auto"/>
              <w:rPr>
                <w:b/>
                <w:sz w:val="20"/>
                <w:szCs w:val="20"/>
                <w:lang w:val="nl-BE"/>
              </w:rPr>
            </w:pPr>
            <w:r w:rsidRPr="00E6515F">
              <w:rPr>
                <w:b/>
                <w:sz w:val="20"/>
                <w:szCs w:val="20"/>
                <w:lang w:val="nl-BE"/>
              </w:rPr>
              <w:t>RTH</w:t>
            </w:r>
            <w:r w:rsidR="00063F78" w:rsidRPr="00E6515F">
              <w:rPr>
                <w:b/>
                <w:sz w:val="20"/>
                <w:szCs w:val="20"/>
                <w:lang w:val="nl-BE"/>
              </w:rPr>
              <w:t>**</w:t>
            </w:r>
          </w:p>
        </w:tc>
        <w:tc>
          <w:tcPr>
            <w:tcW w:w="1964" w:type="dxa"/>
            <w:vAlign w:val="center"/>
          </w:tcPr>
          <w:p w:rsidR="00CD1B8C" w:rsidRPr="00E6515F" w:rsidRDefault="00CD1B8C" w:rsidP="00A13359">
            <w:pPr>
              <w:widowControl w:val="0"/>
              <w:pBdr>
                <w:top w:val="nil"/>
                <w:left w:val="nil"/>
                <w:bottom w:val="nil"/>
                <w:right w:val="nil"/>
                <w:between w:val="nil"/>
              </w:pBdr>
              <w:spacing w:line="276" w:lineRule="auto"/>
              <w:jc w:val="center"/>
              <w:rPr>
                <w:sz w:val="20"/>
                <w:szCs w:val="20"/>
                <w:lang w:val="nl-BE"/>
              </w:rPr>
            </w:pPr>
          </w:p>
        </w:tc>
        <w:tc>
          <w:tcPr>
            <w:tcW w:w="1964" w:type="dxa"/>
            <w:vAlign w:val="center"/>
          </w:tcPr>
          <w:p w:rsidR="00CD1B8C" w:rsidRPr="00E6515F" w:rsidRDefault="002859D7" w:rsidP="00A13359">
            <w:pPr>
              <w:widowControl w:val="0"/>
              <w:pBdr>
                <w:top w:val="nil"/>
                <w:left w:val="nil"/>
                <w:bottom w:val="nil"/>
                <w:right w:val="nil"/>
                <w:between w:val="nil"/>
              </w:pBdr>
              <w:spacing w:line="276" w:lineRule="auto"/>
              <w:jc w:val="center"/>
              <w:rPr>
                <w:sz w:val="20"/>
                <w:szCs w:val="20"/>
                <w:lang w:val="nl-BE"/>
              </w:rPr>
            </w:pPr>
            <w:r w:rsidRPr="00E6515F">
              <w:rPr>
                <w:sz w:val="20"/>
                <w:szCs w:val="20"/>
                <w:lang w:val="nl-BE"/>
              </w:rPr>
              <w:t>7.854</w:t>
            </w:r>
          </w:p>
        </w:tc>
      </w:tr>
    </w:tbl>
    <w:p w:rsidR="00CD1B8C" w:rsidRPr="00E6515F" w:rsidRDefault="00691346">
      <w:pPr>
        <w:rPr>
          <w:sz w:val="18"/>
          <w:szCs w:val="18"/>
          <w:lang w:val="nl-BE"/>
        </w:rPr>
      </w:pPr>
      <w:r w:rsidRPr="00E6515F">
        <w:rPr>
          <w:sz w:val="18"/>
          <w:szCs w:val="18"/>
          <w:lang w:val="nl-BE"/>
        </w:rPr>
        <w:t xml:space="preserve">* </w:t>
      </w:r>
      <w:r w:rsidR="00C62F6C">
        <w:rPr>
          <w:sz w:val="18"/>
          <w:szCs w:val="18"/>
          <w:lang w:val="nl-BE"/>
        </w:rPr>
        <w:t>U</w:t>
      </w:r>
      <w:r w:rsidR="00C62F6C" w:rsidRPr="00E6515F">
        <w:rPr>
          <w:sz w:val="18"/>
          <w:szCs w:val="18"/>
          <w:lang w:val="nl-BE"/>
        </w:rPr>
        <w:t xml:space="preserve">itgedrukt </w:t>
      </w:r>
      <w:r w:rsidR="008834AD" w:rsidRPr="00E6515F">
        <w:rPr>
          <w:sz w:val="18"/>
          <w:szCs w:val="18"/>
          <w:lang w:val="nl-BE"/>
        </w:rPr>
        <w:t>in aantal begeleidingen</w:t>
      </w:r>
    </w:p>
    <w:p w:rsidR="00CD1B8C" w:rsidRPr="00E6515F" w:rsidRDefault="00691346">
      <w:pPr>
        <w:rPr>
          <w:lang w:val="nl-BE"/>
        </w:rPr>
      </w:pPr>
      <w:r w:rsidRPr="00E6515F">
        <w:rPr>
          <w:sz w:val="18"/>
          <w:szCs w:val="18"/>
          <w:lang w:val="nl-BE"/>
        </w:rPr>
        <w:t xml:space="preserve">** </w:t>
      </w:r>
      <w:r w:rsidR="00C62F6C">
        <w:rPr>
          <w:sz w:val="18"/>
          <w:szCs w:val="18"/>
          <w:lang w:val="nl-BE"/>
        </w:rPr>
        <w:t>U</w:t>
      </w:r>
      <w:r w:rsidR="008834AD" w:rsidRPr="00E6515F">
        <w:rPr>
          <w:sz w:val="18"/>
          <w:szCs w:val="18"/>
          <w:lang w:val="nl-BE"/>
        </w:rPr>
        <w:t>itgedrukt</w:t>
      </w:r>
      <w:r w:rsidR="008834AD" w:rsidRPr="00E6515F">
        <w:rPr>
          <w:sz w:val="18"/>
          <w:lang w:val="nl-BE"/>
        </w:rPr>
        <w:t xml:space="preserve"> in personeelspunten </w:t>
      </w:r>
    </w:p>
    <w:p w:rsidR="00C5096C" w:rsidRPr="00E6515F" w:rsidRDefault="00C5096C">
      <w:pPr>
        <w:rPr>
          <w:lang w:val="nl-BE"/>
        </w:rPr>
      </w:pPr>
    </w:p>
    <w:p w:rsidR="00D5238C" w:rsidRPr="00E6515F" w:rsidRDefault="00D5238C">
      <w:pPr>
        <w:rPr>
          <w:lang w:val="nl-BE"/>
        </w:rPr>
      </w:pPr>
      <w:r w:rsidRPr="00E6515F">
        <w:rPr>
          <w:lang w:val="nl-BE"/>
        </w:rPr>
        <w:t xml:space="preserve">Hierboven ziet u een overzicht van de capaciteit in 2008 per afdeling enerzijds en diezelfde gegevens voor het jaartal 2013 (toen erkenningen nog niet </w:t>
      </w:r>
      <w:r w:rsidR="00346DD7" w:rsidRPr="00E6515F">
        <w:rPr>
          <w:lang w:val="nl-BE"/>
        </w:rPr>
        <w:t>o</w:t>
      </w:r>
      <w:r w:rsidR="00346DD7">
        <w:rPr>
          <w:lang w:val="nl-BE"/>
        </w:rPr>
        <w:t>m</w:t>
      </w:r>
      <w:r w:rsidR="00346DD7" w:rsidRPr="00E6515F">
        <w:rPr>
          <w:lang w:val="nl-BE"/>
        </w:rPr>
        <w:t xml:space="preserve">gezet </w:t>
      </w:r>
      <w:r w:rsidRPr="00E6515F">
        <w:rPr>
          <w:lang w:val="nl-BE"/>
        </w:rPr>
        <w:t xml:space="preserve">waren naar die van een </w:t>
      </w:r>
      <w:r w:rsidR="00BC1704">
        <w:rPr>
          <w:lang w:val="nl-BE"/>
        </w:rPr>
        <w:t>multifunctioneel centrum</w:t>
      </w:r>
      <w:r w:rsidR="00BC1704" w:rsidRPr="00E6515F">
        <w:rPr>
          <w:lang w:val="nl-BE"/>
        </w:rPr>
        <w:t xml:space="preserve"> </w:t>
      </w:r>
      <w:r w:rsidRPr="00E6515F">
        <w:rPr>
          <w:lang w:val="nl-BE"/>
        </w:rPr>
        <w:t xml:space="preserve">of </w:t>
      </w:r>
      <w:r w:rsidR="00BC1704">
        <w:rPr>
          <w:lang w:val="nl-BE"/>
        </w:rPr>
        <w:t>flexibel aanbod meerderjarigen</w:t>
      </w:r>
      <w:r w:rsidRPr="00E6515F">
        <w:rPr>
          <w:lang w:val="nl-BE"/>
        </w:rPr>
        <w:t>). We zien vooral een stijging in het aantal plaatsen voor de tehuizen niet-werkenden</w:t>
      </w:r>
      <w:r w:rsidR="00AE09F9" w:rsidRPr="00E6515F">
        <w:rPr>
          <w:lang w:val="nl-BE"/>
        </w:rPr>
        <w:t xml:space="preserve"> bij de residentiële zorgvormen en een stijging van de capaciteit thuisbegeleiding en ambulante woonvormen. Rechtstreeks toegankelijke hulpverlening werd erkend vanaf 2010.</w:t>
      </w:r>
    </w:p>
    <w:p w:rsidR="00AF7FA5" w:rsidRPr="00E6515F" w:rsidRDefault="00AF7FA5">
      <w:pPr>
        <w:rPr>
          <w:lang w:val="nl-BE"/>
        </w:rPr>
      </w:pPr>
    </w:p>
    <w:p w:rsidR="00073427" w:rsidRPr="00E6515F" w:rsidRDefault="00073427">
      <w:pPr>
        <w:rPr>
          <w:b/>
          <w:sz w:val="34"/>
          <w:szCs w:val="34"/>
          <w:lang w:val="nl-BE"/>
        </w:rPr>
      </w:pPr>
      <w:bookmarkStart w:id="63" w:name="_Toc528227898"/>
      <w:r w:rsidRPr="00E6515F">
        <w:rPr>
          <w:sz w:val="34"/>
          <w:szCs w:val="34"/>
          <w:lang w:val="nl-BE"/>
        </w:rPr>
        <w:br w:type="page"/>
      </w:r>
    </w:p>
    <w:p w:rsidR="00CD1B8C" w:rsidRPr="00E6515F" w:rsidRDefault="008834AD" w:rsidP="008834AD">
      <w:pPr>
        <w:pStyle w:val="Kop1"/>
        <w:widowControl w:val="0"/>
        <w:numPr>
          <w:ilvl w:val="1"/>
          <w:numId w:val="1"/>
        </w:numPr>
        <w:pBdr>
          <w:top w:val="nil"/>
          <w:left w:val="nil"/>
          <w:bottom w:val="nil"/>
          <w:right w:val="nil"/>
          <w:between w:val="nil"/>
        </w:pBdr>
        <w:rPr>
          <w:sz w:val="34"/>
          <w:szCs w:val="34"/>
          <w:lang w:val="nl-BE"/>
        </w:rPr>
      </w:pPr>
      <w:bookmarkStart w:id="64" w:name="_Toc536797815"/>
      <w:r w:rsidRPr="00E6515F">
        <w:rPr>
          <w:sz w:val="34"/>
          <w:szCs w:val="34"/>
          <w:lang w:val="nl-BE"/>
        </w:rPr>
        <w:lastRenderedPageBreak/>
        <w:t>O</w:t>
      </w:r>
      <w:r w:rsidR="002859D7" w:rsidRPr="00E6515F">
        <w:rPr>
          <w:sz w:val="34"/>
          <w:szCs w:val="34"/>
          <w:lang w:val="nl-BE"/>
        </w:rPr>
        <w:t>verzicht van erkende en vergunde diensten sinds PVF</w:t>
      </w:r>
      <w:bookmarkEnd w:id="63"/>
      <w:bookmarkEnd w:id="64"/>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65" w:name="_j3fhaz87wz7t" w:colFirst="0" w:colLast="0"/>
      <w:bookmarkStart w:id="66" w:name="_Toc528227899"/>
      <w:bookmarkStart w:id="67" w:name="_Toc536797816"/>
      <w:bookmarkEnd w:id="65"/>
      <w:r w:rsidRPr="00E6515F">
        <w:rPr>
          <w:sz w:val="30"/>
          <w:szCs w:val="30"/>
          <w:lang w:val="nl-BE"/>
        </w:rPr>
        <w:t>Multifunctionele centra voor minderjarigen</w:t>
      </w:r>
      <w:bookmarkEnd w:id="66"/>
      <w:bookmarkEnd w:id="67"/>
    </w:p>
    <w:p w:rsidR="005E5E26" w:rsidRPr="00E6515F" w:rsidRDefault="005E5E26" w:rsidP="005E5E26">
      <w:pPr>
        <w:pStyle w:val="Bijschrif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28</w:t>
      </w:r>
      <w:r w:rsidRPr="00E6515F">
        <w:rPr>
          <w:lang w:val="nl-BE"/>
        </w:rPr>
        <w:fldChar w:fldCharType="end"/>
      </w:r>
      <w:r w:rsidRPr="00E6515F">
        <w:rPr>
          <w:lang w:val="nl-BE"/>
        </w:rPr>
        <w:t xml:space="preserve">: </w:t>
      </w:r>
      <w:r w:rsidR="00E957AF">
        <w:rPr>
          <w:lang w:val="nl-BE"/>
        </w:rPr>
        <w:t>O</w:t>
      </w:r>
      <w:r w:rsidR="00E957AF" w:rsidRPr="00E6515F">
        <w:rPr>
          <w:lang w:val="nl-BE"/>
        </w:rPr>
        <w:t xml:space="preserve">verzicht </w:t>
      </w:r>
      <w:r w:rsidRPr="00E6515F">
        <w:rPr>
          <w:lang w:val="nl-BE"/>
        </w:rPr>
        <w:t xml:space="preserve">van het aantal erkende </w:t>
      </w:r>
      <w:proofErr w:type="spellStart"/>
      <w:r w:rsidRPr="00E6515F">
        <w:rPr>
          <w:lang w:val="nl-BE"/>
        </w:rPr>
        <w:t>MFC</w:t>
      </w:r>
      <w:r w:rsidR="00AF7FA5" w:rsidRPr="00E6515F">
        <w:rPr>
          <w:lang w:val="nl-BE"/>
        </w:rPr>
        <w:t>’</w:t>
      </w:r>
      <w:r w:rsidRPr="00E6515F">
        <w:rPr>
          <w:lang w:val="nl-BE"/>
        </w:rPr>
        <w:t>s</w:t>
      </w:r>
      <w:proofErr w:type="spellEnd"/>
      <w:r w:rsidRPr="00E6515F">
        <w:rPr>
          <w:lang w:val="nl-BE"/>
        </w:rPr>
        <w:t xml:space="preserve"> </w:t>
      </w:r>
      <w:r w:rsidR="00AF7FA5" w:rsidRPr="00E6515F">
        <w:rPr>
          <w:lang w:val="nl-BE"/>
        </w:rPr>
        <w:t xml:space="preserve">eind 2017 </w:t>
      </w:r>
      <w:r w:rsidRPr="00E6515F">
        <w:rPr>
          <w:lang w:val="nl-BE"/>
        </w:rPr>
        <w:t>met hun erkende punten per provincie</w:t>
      </w:r>
    </w:p>
    <w:tbl>
      <w:tblPr>
        <w:tblStyle w:val="afa"/>
        <w:tblW w:w="609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99"/>
        <w:gridCol w:w="1798"/>
        <w:gridCol w:w="1799"/>
      </w:tblGrid>
      <w:tr w:rsidR="00CD1B8C" w:rsidRPr="00E6515F" w:rsidTr="00A13359">
        <w:trPr>
          <w:trHeight w:val="227"/>
        </w:trPr>
        <w:tc>
          <w:tcPr>
            <w:tcW w:w="2499"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vAlign w:val="center"/>
          </w:tcPr>
          <w:p w:rsidR="00CD1B8C" w:rsidRPr="00E6515F" w:rsidRDefault="00E40B88" w:rsidP="00E40B88">
            <w:pPr>
              <w:widowControl w:val="0"/>
              <w:spacing w:line="240" w:lineRule="auto"/>
              <w:rPr>
                <w:b/>
                <w:sz w:val="20"/>
                <w:lang w:val="nl-BE"/>
              </w:rPr>
            </w:pPr>
            <w:r w:rsidRPr="00E6515F">
              <w:rPr>
                <w:b/>
                <w:sz w:val="20"/>
                <w:lang w:val="nl-BE"/>
              </w:rPr>
              <w:t>P</w:t>
            </w:r>
            <w:r w:rsidR="002859D7" w:rsidRPr="00E6515F">
              <w:rPr>
                <w:b/>
                <w:sz w:val="20"/>
                <w:lang w:val="nl-BE"/>
              </w:rPr>
              <w:t>rovincie</w:t>
            </w:r>
          </w:p>
        </w:tc>
        <w:tc>
          <w:tcPr>
            <w:tcW w:w="179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vAlign w:val="center"/>
          </w:tcPr>
          <w:p w:rsidR="00CD1B8C" w:rsidRPr="00E6515F" w:rsidRDefault="00C5096C" w:rsidP="00C5096C">
            <w:pPr>
              <w:widowControl w:val="0"/>
              <w:spacing w:line="240" w:lineRule="auto"/>
              <w:jc w:val="center"/>
              <w:rPr>
                <w:b/>
                <w:sz w:val="20"/>
                <w:lang w:val="nl-BE"/>
              </w:rPr>
            </w:pPr>
            <w:r w:rsidRPr="00E6515F">
              <w:rPr>
                <w:b/>
                <w:sz w:val="20"/>
                <w:lang w:val="nl-BE"/>
              </w:rPr>
              <w:t>Som van e</w:t>
            </w:r>
            <w:r w:rsidR="002859D7" w:rsidRPr="00E6515F">
              <w:rPr>
                <w:b/>
                <w:sz w:val="20"/>
                <w:lang w:val="nl-BE"/>
              </w:rPr>
              <w:t>rkende punten (jaarbasis)</w:t>
            </w:r>
          </w:p>
        </w:tc>
        <w:tc>
          <w:tcPr>
            <w:tcW w:w="1799"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vAlign w:val="center"/>
          </w:tcPr>
          <w:p w:rsidR="00CD1B8C" w:rsidRPr="00E6515F" w:rsidRDefault="00C5096C" w:rsidP="00BC3BB2">
            <w:pPr>
              <w:widowControl w:val="0"/>
              <w:spacing w:line="240" w:lineRule="auto"/>
              <w:jc w:val="center"/>
              <w:rPr>
                <w:b/>
                <w:sz w:val="20"/>
                <w:lang w:val="nl-BE"/>
              </w:rPr>
            </w:pPr>
            <w:r w:rsidRPr="00E6515F">
              <w:rPr>
                <w:b/>
                <w:sz w:val="20"/>
                <w:lang w:val="nl-BE"/>
              </w:rPr>
              <w:t>Aantal erkenningen</w:t>
            </w:r>
            <w:r w:rsidR="002859D7" w:rsidRPr="00E6515F">
              <w:rPr>
                <w:b/>
                <w:sz w:val="20"/>
                <w:lang w:val="nl-BE"/>
              </w:rPr>
              <w:t xml:space="preserve"> MFC</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C5096C" w:rsidP="00C5096C">
            <w:pPr>
              <w:widowControl w:val="0"/>
              <w:spacing w:line="240" w:lineRule="auto"/>
              <w:rPr>
                <w:b/>
                <w:sz w:val="20"/>
                <w:lang w:val="nl-BE"/>
              </w:rPr>
            </w:pPr>
            <w:r w:rsidRPr="00E6515F">
              <w:rPr>
                <w:b/>
                <w:sz w:val="20"/>
                <w:lang w:val="nl-BE"/>
              </w:rPr>
              <w:t>Antwerpen</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102.419</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25</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E957AF" w:rsidP="00E40B88">
            <w:pPr>
              <w:widowControl w:val="0"/>
              <w:spacing w:line="240" w:lineRule="auto"/>
              <w:rPr>
                <w:b/>
                <w:sz w:val="20"/>
                <w:lang w:val="nl-BE"/>
              </w:rPr>
            </w:pPr>
            <w:r>
              <w:rPr>
                <w:b/>
                <w:sz w:val="20"/>
                <w:lang w:val="nl-BE"/>
              </w:rPr>
              <w:t>Brussels Hoofdstedelijk Gewest</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7.200</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2</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C5096C" w:rsidP="00C5096C">
            <w:pPr>
              <w:widowControl w:val="0"/>
              <w:spacing w:line="240" w:lineRule="auto"/>
              <w:rPr>
                <w:b/>
                <w:sz w:val="20"/>
                <w:lang w:val="nl-BE"/>
              </w:rPr>
            </w:pPr>
            <w:r w:rsidRPr="00E6515F">
              <w:rPr>
                <w:b/>
                <w:sz w:val="20"/>
                <w:lang w:val="nl-BE"/>
              </w:rPr>
              <w:t xml:space="preserve">Limburg </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63.424</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12</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C5096C" w:rsidP="00C5096C">
            <w:pPr>
              <w:widowControl w:val="0"/>
              <w:spacing w:line="240" w:lineRule="auto"/>
              <w:rPr>
                <w:b/>
                <w:sz w:val="20"/>
                <w:lang w:val="nl-BE"/>
              </w:rPr>
            </w:pPr>
            <w:r w:rsidRPr="00E6515F">
              <w:rPr>
                <w:b/>
                <w:sz w:val="20"/>
                <w:lang w:val="nl-BE"/>
              </w:rPr>
              <w:t>Oost-Vlaanderen</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103.003</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23</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C5096C" w:rsidP="00C5096C">
            <w:pPr>
              <w:widowControl w:val="0"/>
              <w:spacing w:line="240" w:lineRule="auto"/>
              <w:rPr>
                <w:b/>
                <w:sz w:val="20"/>
                <w:lang w:val="nl-BE"/>
              </w:rPr>
            </w:pPr>
            <w:r w:rsidRPr="00E6515F">
              <w:rPr>
                <w:b/>
                <w:sz w:val="20"/>
                <w:lang w:val="nl-BE"/>
              </w:rPr>
              <w:t>Vlaams-Brabant</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61.572</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16</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rPr>
                <w:b/>
                <w:sz w:val="20"/>
                <w:lang w:val="nl-BE"/>
              </w:rPr>
            </w:pPr>
            <w:r w:rsidRPr="00E6515F">
              <w:rPr>
                <w:b/>
                <w:sz w:val="20"/>
                <w:lang w:val="nl-BE"/>
              </w:rPr>
              <w:t>West-Vlaandere</w:t>
            </w:r>
            <w:r w:rsidR="00C5096C" w:rsidRPr="00E6515F">
              <w:rPr>
                <w:b/>
                <w:sz w:val="20"/>
                <w:lang w:val="nl-BE"/>
              </w:rPr>
              <w:t>n</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86.257</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sz w:val="20"/>
                <w:lang w:val="nl-BE"/>
              </w:rPr>
            </w:pPr>
            <w:r w:rsidRPr="00E6515F">
              <w:rPr>
                <w:sz w:val="20"/>
                <w:lang w:val="nl-BE"/>
              </w:rPr>
              <w:t>20</w:t>
            </w:r>
          </w:p>
        </w:tc>
      </w:tr>
      <w:tr w:rsidR="00CD1B8C" w:rsidRPr="00E6515F" w:rsidTr="00A13359">
        <w:trPr>
          <w:trHeight w:val="227"/>
        </w:trPr>
        <w:tc>
          <w:tcPr>
            <w:tcW w:w="2499" w:type="dxa"/>
            <w:tcBorders>
              <w:top w:val="nil"/>
              <w:left w:val="single" w:sz="8" w:space="0" w:color="414141"/>
              <w:bottom w:val="single" w:sz="8" w:space="0" w:color="414141"/>
              <w:right w:val="single" w:sz="8" w:space="0" w:color="414141"/>
            </w:tcBorders>
            <w:tcMar>
              <w:top w:w="60" w:type="dxa"/>
              <w:left w:w="100" w:type="dxa"/>
              <w:bottom w:w="60" w:type="dxa"/>
              <w:right w:w="100" w:type="dxa"/>
            </w:tcMar>
            <w:vAlign w:val="center"/>
          </w:tcPr>
          <w:p w:rsidR="00CD1B8C" w:rsidRPr="00E6515F" w:rsidRDefault="00C5096C" w:rsidP="00E40B88">
            <w:pPr>
              <w:widowControl w:val="0"/>
              <w:spacing w:line="240" w:lineRule="auto"/>
              <w:rPr>
                <w:b/>
                <w:i/>
                <w:sz w:val="20"/>
                <w:lang w:val="nl-BE"/>
              </w:rPr>
            </w:pPr>
            <w:r w:rsidRPr="00E6515F">
              <w:rPr>
                <w:b/>
                <w:i/>
                <w:sz w:val="20"/>
                <w:lang w:val="nl-BE"/>
              </w:rPr>
              <w:t>To</w:t>
            </w:r>
            <w:r w:rsidR="002859D7" w:rsidRPr="00E6515F">
              <w:rPr>
                <w:b/>
                <w:i/>
                <w:sz w:val="20"/>
                <w:lang w:val="nl-BE"/>
              </w:rPr>
              <w:t>taal</w:t>
            </w:r>
          </w:p>
        </w:tc>
        <w:tc>
          <w:tcPr>
            <w:tcW w:w="1798"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b/>
                <w:i/>
                <w:sz w:val="20"/>
                <w:lang w:val="nl-BE"/>
              </w:rPr>
            </w:pPr>
            <w:r w:rsidRPr="00E6515F">
              <w:rPr>
                <w:b/>
                <w:i/>
                <w:sz w:val="20"/>
                <w:lang w:val="nl-BE"/>
              </w:rPr>
              <w:t>423.875</w:t>
            </w:r>
          </w:p>
        </w:tc>
        <w:tc>
          <w:tcPr>
            <w:tcW w:w="1799" w:type="dxa"/>
            <w:tcBorders>
              <w:top w:val="nil"/>
              <w:left w:val="nil"/>
              <w:bottom w:val="single" w:sz="8" w:space="0" w:color="414141"/>
              <w:right w:val="single" w:sz="8" w:space="0" w:color="414141"/>
            </w:tcBorders>
            <w:tcMar>
              <w:top w:w="60" w:type="dxa"/>
              <w:left w:w="100" w:type="dxa"/>
              <w:bottom w:w="60" w:type="dxa"/>
              <w:right w:w="100" w:type="dxa"/>
            </w:tcMar>
            <w:vAlign w:val="center"/>
          </w:tcPr>
          <w:p w:rsidR="00CD1B8C" w:rsidRPr="00E6515F" w:rsidRDefault="002859D7" w:rsidP="00C5096C">
            <w:pPr>
              <w:widowControl w:val="0"/>
              <w:spacing w:line="240" w:lineRule="auto"/>
              <w:jc w:val="center"/>
              <w:rPr>
                <w:b/>
                <w:i/>
                <w:sz w:val="20"/>
                <w:lang w:val="nl-BE"/>
              </w:rPr>
            </w:pPr>
            <w:r w:rsidRPr="00E6515F">
              <w:rPr>
                <w:b/>
                <w:i/>
                <w:sz w:val="20"/>
                <w:lang w:val="nl-BE"/>
              </w:rPr>
              <w:t>98</w:t>
            </w:r>
          </w:p>
        </w:tc>
      </w:tr>
    </w:tbl>
    <w:p w:rsidR="00CD1B8C" w:rsidRPr="00E6515F" w:rsidRDefault="00CD1B8C">
      <w:pPr>
        <w:rPr>
          <w:lang w:val="nl-BE"/>
        </w:rPr>
      </w:pPr>
    </w:p>
    <w:p w:rsidR="005E5E26" w:rsidRPr="00E6515F" w:rsidRDefault="005E5E26" w:rsidP="005E5E26">
      <w:pPr>
        <w:jc w:val="both"/>
        <w:rPr>
          <w:lang w:val="nl-BE"/>
        </w:rPr>
      </w:pPr>
      <w:r w:rsidRPr="00E6515F">
        <w:rPr>
          <w:lang w:val="nl-BE"/>
        </w:rPr>
        <w:t xml:space="preserve">Dit is een overzicht van het aantal erkende </w:t>
      </w:r>
      <w:r w:rsidR="00E957AF">
        <w:rPr>
          <w:lang w:val="nl-BE"/>
        </w:rPr>
        <w:t>multifunctionele centra (</w:t>
      </w:r>
      <w:proofErr w:type="spellStart"/>
      <w:r w:rsidR="00E957AF">
        <w:rPr>
          <w:lang w:val="nl-BE"/>
        </w:rPr>
        <w:t>MFC’s</w:t>
      </w:r>
      <w:proofErr w:type="spellEnd"/>
      <w:r w:rsidR="00E957AF">
        <w:rPr>
          <w:lang w:val="nl-BE"/>
        </w:rPr>
        <w:t>)</w:t>
      </w:r>
      <w:r w:rsidR="00E957AF" w:rsidRPr="00E6515F">
        <w:rPr>
          <w:lang w:val="nl-BE"/>
        </w:rPr>
        <w:t xml:space="preserve"> </w:t>
      </w:r>
      <w:r w:rsidRPr="00E6515F">
        <w:rPr>
          <w:lang w:val="nl-BE"/>
        </w:rPr>
        <w:t xml:space="preserve">met hun erkende punten per provincie. Het betreft de capaciteit erkend op 31 december 2017. In 2018 zijn hierbij slecht kleine wijzigingen gebeurd. </w:t>
      </w:r>
    </w:p>
    <w:p w:rsidR="005E5E26" w:rsidRPr="00E6515F" w:rsidRDefault="005E5E26">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68" w:name="_maocf4tnt1ny" w:colFirst="0" w:colLast="0"/>
      <w:bookmarkStart w:id="69" w:name="_Toc536797817"/>
      <w:bookmarkStart w:id="70" w:name="_Toc528227900"/>
      <w:bookmarkEnd w:id="68"/>
      <w:r w:rsidRPr="00E6515F">
        <w:rPr>
          <w:sz w:val="30"/>
          <w:szCs w:val="30"/>
          <w:lang w:val="nl-BE"/>
        </w:rPr>
        <w:t>Vergunde zorgaanbieders</w:t>
      </w:r>
      <w:bookmarkEnd w:id="69"/>
      <w:r w:rsidRPr="00E6515F">
        <w:rPr>
          <w:sz w:val="30"/>
          <w:szCs w:val="30"/>
          <w:lang w:val="nl-BE"/>
        </w:rPr>
        <w:t xml:space="preserve"> </w:t>
      </w:r>
      <w:bookmarkEnd w:id="70"/>
    </w:p>
    <w:p w:rsidR="00CD1B8C" w:rsidRPr="00E6515F" w:rsidRDefault="00EA5E34">
      <w:pPr>
        <w:jc w:val="both"/>
        <w:rPr>
          <w:lang w:val="nl-BE"/>
        </w:rPr>
      </w:pPr>
      <w:r w:rsidRPr="00E6515F">
        <w:rPr>
          <w:lang w:val="nl-BE"/>
        </w:rPr>
        <w:t>De niet-rechtstreeks toegankelijke hulp</w:t>
      </w:r>
      <w:r w:rsidR="00E957AF">
        <w:rPr>
          <w:lang w:val="nl-BE"/>
        </w:rPr>
        <w:t xml:space="preserve"> voor</w:t>
      </w:r>
      <w:r w:rsidRPr="00E6515F">
        <w:rPr>
          <w:lang w:val="nl-BE"/>
        </w:rPr>
        <w:t xml:space="preserve"> meerderjarigen werd omgezet naar een systeem van persoonsvolgende budgetten. </w:t>
      </w:r>
      <w:r w:rsidR="00E957AF">
        <w:rPr>
          <w:lang w:val="nl-BE"/>
        </w:rPr>
        <w:t>B</w:t>
      </w:r>
      <w:r w:rsidRPr="00E6515F">
        <w:rPr>
          <w:lang w:val="nl-BE"/>
        </w:rPr>
        <w:t>udgethouder</w:t>
      </w:r>
      <w:r w:rsidR="00E957AF">
        <w:rPr>
          <w:lang w:val="nl-BE"/>
        </w:rPr>
        <w:t>s</w:t>
      </w:r>
      <w:r w:rsidRPr="00E6515F">
        <w:rPr>
          <w:lang w:val="nl-BE"/>
        </w:rPr>
        <w:t xml:space="preserve"> </w:t>
      </w:r>
      <w:r w:rsidR="00E957AF">
        <w:rPr>
          <w:lang w:val="nl-BE"/>
        </w:rPr>
        <w:t>kunnen</w:t>
      </w:r>
      <w:r w:rsidR="00E957AF" w:rsidRPr="00E6515F">
        <w:rPr>
          <w:lang w:val="nl-BE"/>
        </w:rPr>
        <w:t xml:space="preserve"> </w:t>
      </w:r>
      <w:r w:rsidRPr="00E6515F">
        <w:rPr>
          <w:lang w:val="nl-BE"/>
        </w:rPr>
        <w:t>binnen de geldende bestedings</w:t>
      </w:r>
      <w:r w:rsidR="00E957AF">
        <w:rPr>
          <w:lang w:val="nl-BE"/>
        </w:rPr>
        <w:t>r</w:t>
      </w:r>
      <w:r w:rsidRPr="00E6515F">
        <w:rPr>
          <w:lang w:val="nl-BE"/>
        </w:rPr>
        <w:t xml:space="preserve">egels ondersteuning op maat inkopen. Zij kunnen opteren voor inzet in cash, voucher of een combinatie van beide. De inzet van een voucher kan enkel bij een vergunde zorgaanbieder. </w:t>
      </w:r>
      <w:r w:rsidR="00E957AF">
        <w:rPr>
          <w:lang w:val="nl-BE"/>
        </w:rPr>
        <w:t>Die vergunde zorgaanbieders</w:t>
      </w:r>
      <w:r w:rsidRPr="00E6515F">
        <w:rPr>
          <w:lang w:val="nl-BE"/>
        </w:rPr>
        <w:t xml:space="preserve"> </w:t>
      </w:r>
      <w:r w:rsidR="002859D7" w:rsidRPr="00E6515F">
        <w:rPr>
          <w:lang w:val="nl-BE"/>
        </w:rPr>
        <w:t xml:space="preserve">kunnen via een rechtstreekse financiering door het </w:t>
      </w:r>
      <w:r w:rsidR="00627480" w:rsidRPr="00E6515F">
        <w:rPr>
          <w:lang w:val="nl-BE"/>
        </w:rPr>
        <w:t>VAPH</w:t>
      </w:r>
      <w:r w:rsidR="000F2719" w:rsidRPr="00E6515F">
        <w:rPr>
          <w:lang w:val="nl-BE"/>
        </w:rPr>
        <w:t xml:space="preserve"> aan de hand van</w:t>
      </w:r>
      <w:r w:rsidR="002859D7" w:rsidRPr="00E6515F">
        <w:rPr>
          <w:lang w:val="nl-BE"/>
        </w:rPr>
        <w:t xml:space="preserve"> een </w:t>
      </w:r>
      <w:proofErr w:type="spellStart"/>
      <w:r w:rsidR="002859D7" w:rsidRPr="00E6515F">
        <w:rPr>
          <w:lang w:val="nl-BE"/>
        </w:rPr>
        <w:t>voucher-systeem</w:t>
      </w:r>
      <w:proofErr w:type="spellEnd"/>
      <w:r w:rsidR="002859D7" w:rsidRPr="00E6515F">
        <w:rPr>
          <w:lang w:val="nl-BE"/>
        </w:rPr>
        <w:t xml:space="preserve"> betaald worden. </w:t>
      </w:r>
    </w:p>
    <w:p w:rsidR="00C5096C" w:rsidRPr="00E6515F" w:rsidRDefault="00C5096C">
      <w:pPr>
        <w:jc w:val="both"/>
        <w:rPr>
          <w:lang w:val="nl-BE"/>
        </w:rPr>
      </w:pPr>
    </w:p>
    <w:p w:rsidR="00CD1B8C" w:rsidRPr="00E6515F" w:rsidRDefault="002859D7">
      <w:pPr>
        <w:jc w:val="both"/>
        <w:rPr>
          <w:lang w:val="nl-BE"/>
        </w:rPr>
      </w:pPr>
      <w:r w:rsidRPr="00346DD7">
        <w:rPr>
          <w:lang w:val="nl-BE"/>
        </w:rPr>
        <w:t>Eind 2017 waren er 252 diensten vergund</w:t>
      </w:r>
      <w:r w:rsidRPr="00E957AF">
        <w:rPr>
          <w:lang w:val="nl-BE"/>
        </w:rPr>
        <w:t>.</w:t>
      </w:r>
      <w:r w:rsidRPr="00E6515F">
        <w:rPr>
          <w:lang w:val="nl-BE"/>
        </w:rPr>
        <w:t xml:space="preserve"> De meeste hiervan waren </w:t>
      </w:r>
      <w:r w:rsidR="00E957AF">
        <w:rPr>
          <w:lang w:val="nl-BE"/>
        </w:rPr>
        <w:t>al</w:t>
      </w:r>
      <w:r w:rsidR="00E957AF" w:rsidRPr="00E6515F">
        <w:rPr>
          <w:lang w:val="nl-BE"/>
        </w:rPr>
        <w:t xml:space="preserve"> </w:t>
      </w:r>
      <w:r w:rsidRPr="00E6515F">
        <w:rPr>
          <w:lang w:val="nl-BE"/>
        </w:rPr>
        <w:t>van rechtswege vergund vanaf 1 september 2016 op basis van hun toenmalige erkenning voor minder-</w:t>
      </w:r>
      <w:r w:rsidR="000F2719" w:rsidRPr="00E6515F">
        <w:rPr>
          <w:lang w:val="nl-BE"/>
        </w:rPr>
        <w:t xml:space="preserve"> en/</w:t>
      </w:r>
      <w:r w:rsidRPr="00E6515F">
        <w:rPr>
          <w:lang w:val="nl-BE"/>
        </w:rPr>
        <w:t>of meerderjarigen. Ook 16 nieuwe zorgaanbieders werden in de periode tussen 1 september 2016 en 31 december 2017</w:t>
      </w:r>
      <w:r w:rsidR="00E957AF">
        <w:rPr>
          <w:lang w:val="nl-BE"/>
        </w:rPr>
        <w:t xml:space="preserve"> al</w:t>
      </w:r>
      <w:r w:rsidRPr="00E6515F">
        <w:rPr>
          <w:lang w:val="nl-BE"/>
        </w:rPr>
        <w:t xml:space="preserve"> vergund.</w:t>
      </w:r>
    </w:p>
    <w:p w:rsidR="00C5096C" w:rsidRPr="00E6515F" w:rsidRDefault="00C5096C">
      <w:pPr>
        <w:jc w:val="both"/>
        <w:rPr>
          <w:lang w:val="nl-BE"/>
        </w:rPr>
      </w:pPr>
    </w:p>
    <w:p w:rsidR="000F2719" w:rsidRPr="00E6515F" w:rsidRDefault="002859D7">
      <w:pPr>
        <w:jc w:val="both"/>
        <w:rPr>
          <w:lang w:val="nl-BE"/>
        </w:rPr>
      </w:pPr>
      <w:r w:rsidRPr="00E6515F">
        <w:rPr>
          <w:lang w:val="nl-BE"/>
        </w:rPr>
        <w:t xml:space="preserve">Tegen </w:t>
      </w:r>
      <w:r w:rsidRPr="00346DD7">
        <w:rPr>
          <w:lang w:val="nl-BE"/>
        </w:rPr>
        <w:t>eind juni 2018 waren 270 diensten vergund</w:t>
      </w:r>
      <w:r w:rsidRPr="00E6515F">
        <w:rPr>
          <w:b/>
          <w:lang w:val="nl-BE"/>
        </w:rPr>
        <w:t>.</w:t>
      </w:r>
      <w:r w:rsidRPr="00E6515F">
        <w:rPr>
          <w:lang w:val="nl-BE"/>
        </w:rPr>
        <w:t xml:space="preserve"> Het verschil heeft enerzijds te maken met een </w:t>
      </w:r>
      <w:r w:rsidR="00E957AF">
        <w:rPr>
          <w:lang w:val="nl-BE"/>
        </w:rPr>
        <w:t>zeven</w:t>
      </w:r>
      <w:r w:rsidRPr="00E6515F">
        <w:rPr>
          <w:lang w:val="nl-BE"/>
        </w:rPr>
        <w:t xml:space="preserve">tal nieuwe vergunde zorgaanbieders en daarnaast zijn er ook nog twee nieuwe organisaties ontstaan door overdracht van beheer. </w:t>
      </w:r>
    </w:p>
    <w:p w:rsidR="000F2719" w:rsidRPr="00E6515F" w:rsidRDefault="000F2719">
      <w:pPr>
        <w:jc w:val="both"/>
        <w:rPr>
          <w:lang w:val="nl-BE"/>
        </w:rPr>
      </w:pPr>
    </w:p>
    <w:p w:rsidR="00CD1B8C" w:rsidRPr="00E6515F" w:rsidRDefault="002859D7">
      <w:pPr>
        <w:jc w:val="both"/>
        <w:rPr>
          <w:lang w:val="nl-BE"/>
        </w:rPr>
      </w:pPr>
      <w:r w:rsidRPr="00E6515F">
        <w:rPr>
          <w:lang w:val="nl-BE"/>
        </w:rPr>
        <w:t>Aan de nieuwe diensten wordt in het kader van het verwachte sociaal ondernemerschap bij de aanvraag van hun vergunning gevraagd om via een ondernemingsplan de toekomstplannen grondig uit te werken.</w:t>
      </w:r>
      <w:r w:rsidR="000F2719" w:rsidRPr="00E6515F">
        <w:rPr>
          <w:lang w:val="nl-BE"/>
        </w:rPr>
        <w:t xml:space="preserve"> </w:t>
      </w:r>
      <w:r w:rsidR="00E957AF" w:rsidRPr="00E6515F">
        <w:rPr>
          <w:lang w:val="nl-BE"/>
        </w:rPr>
        <w:t>D</w:t>
      </w:r>
      <w:r w:rsidR="00E957AF">
        <w:rPr>
          <w:lang w:val="nl-BE"/>
        </w:rPr>
        <w:t>a</w:t>
      </w:r>
      <w:r w:rsidR="00E957AF" w:rsidRPr="00E6515F">
        <w:rPr>
          <w:lang w:val="nl-BE"/>
        </w:rPr>
        <w:t xml:space="preserve">t </w:t>
      </w:r>
      <w:r w:rsidRPr="00E6515F">
        <w:rPr>
          <w:lang w:val="nl-BE"/>
        </w:rPr>
        <w:t xml:space="preserve">ondernemingsplan </w:t>
      </w:r>
      <w:r w:rsidR="00E957AF">
        <w:rPr>
          <w:lang w:val="nl-BE"/>
        </w:rPr>
        <w:t>moet</w:t>
      </w:r>
      <w:r w:rsidR="00E957AF" w:rsidRPr="00E6515F">
        <w:rPr>
          <w:lang w:val="nl-BE"/>
        </w:rPr>
        <w:t xml:space="preserve"> </w:t>
      </w:r>
      <w:r w:rsidRPr="00E6515F">
        <w:rPr>
          <w:lang w:val="nl-BE"/>
        </w:rPr>
        <w:t>een duidelijk missie en visie omvatten</w:t>
      </w:r>
      <w:r w:rsidR="00E957AF">
        <w:rPr>
          <w:lang w:val="nl-BE"/>
        </w:rPr>
        <w:t>,</w:t>
      </w:r>
      <w:r w:rsidRPr="00E6515F">
        <w:rPr>
          <w:lang w:val="nl-BE"/>
        </w:rPr>
        <w:t xml:space="preserve"> waarbij enerzijds de zorgvragen beschreven worden </w:t>
      </w:r>
      <w:r w:rsidR="00E957AF" w:rsidRPr="00E6515F">
        <w:rPr>
          <w:lang w:val="nl-BE"/>
        </w:rPr>
        <w:t>waaro</w:t>
      </w:r>
      <w:r w:rsidR="00E957AF">
        <w:rPr>
          <w:lang w:val="nl-BE"/>
        </w:rPr>
        <w:t>p</w:t>
      </w:r>
      <w:r w:rsidR="00E957AF" w:rsidRPr="00E6515F">
        <w:rPr>
          <w:lang w:val="nl-BE"/>
        </w:rPr>
        <w:t xml:space="preserve"> </w:t>
      </w:r>
      <w:r w:rsidRPr="00E6515F">
        <w:rPr>
          <w:lang w:val="nl-BE"/>
        </w:rPr>
        <w:t xml:space="preserve">ze als organisatie een antwoord </w:t>
      </w:r>
      <w:r w:rsidR="00E957AF">
        <w:rPr>
          <w:lang w:val="nl-BE"/>
        </w:rPr>
        <w:t>willen</w:t>
      </w:r>
      <w:r w:rsidRPr="00E6515F">
        <w:rPr>
          <w:lang w:val="nl-BE"/>
        </w:rPr>
        <w:t xml:space="preserve"> bieden, maar anderzijds ook via welke activiteiten men </w:t>
      </w:r>
      <w:r w:rsidR="00E957AF" w:rsidRPr="00E6515F">
        <w:rPr>
          <w:lang w:val="nl-BE"/>
        </w:rPr>
        <w:t>d</w:t>
      </w:r>
      <w:r w:rsidR="00E957AF">
        <w:rPr>
          <w:lang w:val="nl-BE"/>
        </w:rPr>
        <w:t>a</w:t>
      </w:r>
      <w:r w:rsidR="00E957AF" w:rsidRPr="00E6515F">
        <w:rPr>
          <w:lang w:val="nl-BE"/>
        </w:rPr>
        <w:t xml:space="preserve">t </w:t>
      </w:r>
      <w:r w:rsidR="00E957AF">
        <w:rPr>
          <w:lang w:val="nl-BE"/>
        </w:rPr>
        <w:t>wil</w:t>
      </w:r>
      <w:r w:rsidRPr="00E6515F">
        <w:rPr>
          <w:lang w:val="nl-BE"/>
        </w:rPr>
        <w:t xml:space="preserve"> organiseren. </w:t>
      </w:r>
      <w:r w:rsidR="00EA5E34" w:rsidRPr="00E6515F">
        <w:rPr>
          <w:lang w:val="nl-BE"/>
        </w:rPr>
        <w:t xml:space="preserve">De regelgeving voorziet ook de </w:t>
      </w:r>
      <w:r w:rsidR="00EA5E34" w:rsidRPr="00E6515F">
        <w:rPr>
          <w:lang w:val="nl-BE"/>
        </w:rPr>
        <w:lastRenderedPageBreak/>
        <w:t xml:space="preserve">opmaak van </w:t>
      </w:r>
      <w:r w:rsidRPr="00E6515F">
        <w:rPr>
          <w:lang w:val="nl-BE"/>
        </w:rPr>
        <w:t xml:space="preserve">een financieel plan gebaseerd op een raming van de verwachte budgethouders en een SWOT-analyse van </w:t>
      </w:r>
      <w:r w:rsidR="00E957AF">
        <w:rPr>
          <w:lang w:val="nl-BE"/>
        </w:rPr>
        <w:t>de</w:t>
      </w:r>
      <w:r w:rsidR="00E957AF" w:rsidRPr="00E6515F">
        <w:rPr>
          <w:lang w:val="nl-BE"/>
        </w:rPr>
        <w:t xml:space="preserve"> </w:t>
      </w:r>
      <w:r w:rsidRPr="00E6515F">
        <w:rPr>
          <w:lang w:val="nl-BE"/>
        </w:rPr>
        <w:t xml:space="preserve">organisatie. </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71" w:name="_Toc528227901"/>
      <w:bookmarkStart w:id="72" w:name="_Ref528756326"/>
      <w:bookmarkStart w:id="73" w:name="_Toc536797818"/>
      <w:r w:rsidRPr="00E6515F">
        <w:rPr>
          <w:sz w:val="30"/>
          <w:szCs w:val="30"/>
          <w:lang w:val="nl-BE"/>
        </w:rPr>
        <w:t>Observatie</w:t>
      </w:r>
      <w:r w:rsidR="00E957AF">
        <w:rPr>
          <w:sz w:val="30"/>
          <w:szCs w:val="30"/>
          <w:lang w:val="nl-BE"/>
        </w:rPr>
        <w:t>-</w:t>
      </w:r>
      <w:r w:rsidRPr="00E6515F">
        <w:rPr>
          <w:sz w:val="30"/>
          <w:szCs w:val="30"/>
          <w:lang w:val="nl-BE"/>
        </w:rPr>
        <w:t xml:space="preserve">, </w:t>
      </w:r>
      <w:r w:rsidR="00E957AF">
        <w:rPr>
          <w:sz w:val="30"/>
          <w:szCs w:val="30"/>
          <w:lang w:val="nl-BE"/>
        </w:rPr>
        <w:t>d</w:t>
      </w:r>
      <w:r w:rsidR="00E957AF" w:rsidRPr="00E6515F">
        <w:rPr>
          <w:sz w:val="30"/>
          <w:szCs w:val="30"/>
          <w:lang w:val="nl-BE"/>
        </w:rPr>
        <w:t>iagnose</w:t>
      </w:r>
      <w:r w:rsidR="00E957AF">
        <w:rPr>
          <w:sz w:val="30"/>
          <w:szCs w:val="30"/>
          <w:lang w:val="nl-BE"/>
        </w:rPr>
        <w:t>-</w:t>
      </w:r>
      <w:r w:rsidR="00E957AF" w:rsidRPr="00E6515F">
        <w:rPr>
          <w:sz w:val="30"/>
          <w:szCs w:val="30"/>
          <w:lang w:val="nl-BE"/>
        </w:rPr>
        <w:t xml:space="preserve"> </w:t>
      </w:r>
      <w:r w:rsidRPr="00E6515F">
        <w:rPr>
          <w:sz w:val="30"/>
          <w:szCs w:val="30"/>
          <w:lang w:val="nl-BE"/>
        </w:rPr>
        <w:t xml:space="preserve">en </w:t>
      </w:r>
      <w:r w:rsidR="00E957AF">
        <w:rPr>
          <w:sz w:val="30"/>
          <w:szCs w:val="30"/>
          <w:lang w:val="nl-BE"/>
        </w:rPr>
        <w:t>b</w:t>
      </w:r>
      <w:r w:rsidR="00E957AF" w:rsidRPr="00E6515F">
        <w:rPr>
          <w:sz w:val="30"/>
          <w:szCs w:val="30"/>
          <w:lang w:val="nl-BE"/>
        </w:rPr>
        <w:t>ehandeling</w:t>
      </w:r>
      <w:r w:rsidR="00E957AF">
        <w:rPr>
          <w:sz w:val="30"/>
          <w:szCs w:val="30"/>
          <w:lang w:val="nl-BE"/>
        </w:rPr>
        <w:t>s</w:t>
      </w:r>
      <w:r w:rsidRPr="00E6515F">
        <w:rPr>
          <w:sz w:val="30"/>
          <w:szCs w:val="30"/>
          <w:lang w:val="nl-BE"/>
        </w:rPr>
        <w:t>units voor volwassenen</w:t>
      </w:r>
      <w:bookmarkEnd w:id="71"/>
      <w:bookmarkEnd w:id="72"/>
      <w:bookmarkEnd w:id="73"/>
    </w:p>
    <w:p w:rsidR="00CD1B8C" w:rsidRPr="00E6515F" w:rsidRDefault="002859D7">
      <w:pPr>
        <w:jc w:val="both"/>
        <w:rPr>
          <w:lang w:val="nl-BE"/>
        </w:rPr>
      </w:pPr>
      <w:r w:rsidRPr="00E6515F">
        <w:rPr>
          <w:lang w:val="nl-BE"/>
        </w:rPr>
        <w:t xml:space="preserve">Omwille van de complexe problematiek </w:t>
      </w:r>
      <w:r w:rsidR="00EA5E34" w:rsidRPr="00E6515F">
        <w:rPr>
          <w:lang w:val="nl-BE"/>
        </w:rPr>
        <w:t xml:space="preserve">van de cliënten </w:t>
      </w:r>
      <w:r w:rsidRPr="00E6515F">
        <w:rPr>
          <w:lang w:val="nl-BE"/>
        </w:rPr>
        <w:t xml:space="preserve">en </w:t>
      </w:r>
      <w:r w:rsidR="00EA5E34" w:rsidRPr="00E6515F">
        <w:rPr>
          <w:lang w:val="nl-BE"/>
        </w:rPr>
        <w:t xml:space="preserve">de specifieke </w:t>
      </w:r>
      <w:r w:rsidRPr="00E6515F">
        <w:rPr>
          <w:lang w:val="nl-BE"/>
        </w:rPr>
        <w:t>expertise van deze organisaties</w:t>
      </w:r>
      <w:r w:rsidR="00E957AF">
        <w:rPr>
          <w:lang w:val="nl-BE"/>
        </w:rPr>
        <w:t>,</w:t>
      </w:r>
      <w:r w:rsidRPr="00E6515F">
        <w:rPr>
          <w:lang w:val="nl-BE"/>
        </w:rPr>
        <w:t xml:space="preserve"> werd ervoor gekozen om deze capaciteit niet mee om te zetten in </w:t>
      </w:r>
      <w:r w:rsidR="009F5B77">
        <w:rPr>
          <w:lang w:val="nl-BE"/>
        </w:rPr>
        <w:t>persoonsvolgende financiering</w:t>
      </w:r>
      <w:r w:rsidR="00EA5E34" w:rsidRPr="00E6515F">
        <w:rPr>
          <w:lang w:val="nl-BE"/>
        </w:rPr>
        <w:t xml:space="preserve">, maar </w:t>
      </w:r>
      <w:r w:rsidRPr="00E6515F">
        <w:rPr>
          <w:lang w:val="nl-BE"/>
        </w:rPr>
        <w:t xml:space="preserve">als aparte capaciteit te behouden. </w:t>
      </w:r>
    </w:p>
    <w:p w:rsidR="00C5096C" w:rsidRPr="00E6515F" w:rsidRDefault="00C5096C">
      <w:pPr>
        <w:jc w:val="both"/>
        <w:rPr>
          <w:lang w:val="nl-BE"/>
        </w:rPr>
      </w:pPr>
    </w:p>
    <w:p w:rsidR="00CD1B8C" w:rsidRPr="00E6515F" w:rsidRDefault="002859D7">
      <w:pPr>
        <w:jc w:val="both"/>
        <w:rPr>
          <w:lang w:val="nl-BE"/>
        </w:rPr>
      </w:pPr>
      <w:r w:rsidRPr="00E6515F">
        <w:rPr>
          <w:lang w:val="nl-BE"/>
        </w:rPr>
        <w:t xml:space="preserve">De </w:t>
      </w:r>
      <w:r w:rsidR="00E957AF">
        <w:rPr>
          <w:lang w:val="nl-BE"/>
        </w:rPr>
        <w:t>observatie-, diagnose- en behandelingsunits (</w:t>
      </w:r>
      <w:r w:rsidRPr="00E6515F">
        <w:rPr>
          <w:lang w:val="nl-BE"/>
        </w:rPr>
        <w:t>ODB-units</w:t>
      </w:r>
      <w:r w:rsidR="00E957AF">
        <w:rPr>
          <w:lang w:val="nl-BE"/>
        </w:rPr>
        <w:t>)</w:t>
      </w:r>
      <w:r w:rsidRPr="00E6515F">
        <w:rPr>
          <w:lang w:val="nl-BE"/>
        </w:rPr>
        <w:t xml:space="preserve"> bieden gespecialiseerde diagnostiek en behandeling aan volwassen personen met een handicap </w:t>
      </w:r>
      <w:r w:rsidR="00E957AF">
        <w:rPr>
          <w:lang w:val="nl-BE"/>
        </w:rPr>
        <w:t xml:space="preserve">die zich in een </w:t>
      </w:r>
      <w:r w:rsidRPr="00E6515F">
        <w:rPr>
          <w:lang w:val="nl-BE"/>
        </w:rPr>
        <w:t xml:space="preserve"> vastgelopen</w:t>
      </w:r>
      <w:r w:rsidR="00E957AF">
        <w:rPr>
          <w:lang w:val="nl-BE"/>
        </w:rPr>
        <w:t xml:space="preserve"> situatie bevinden</w:t>
      </w:r>
      <w:r w:rsidRPr="00E6515F">
        <w:rPr>
          <w:lang w:val="nl-BE"/>
        </w:rPr>
        <w:t xml:space="preserve"> en waarvoor de huidige </w:t>
      </w:r>
      <w:r w:rsidR="000F2719" w:rsidRPr="00E6515F">
        <w:rPr>
          <w:lang w:val="nl-BE"/>
        </w:rPr>
        <w:t>zorgaanbieder</w:t>
      </w:r>
      <w:r w:rsidRPr="00E6515F">
        <w:rPr>
          <w:lang w:val="nl-BE"/>
        </w:rPr>
        <w:t xml:space="preserve"> onvoldoende handvaten heeft om </w:t>
      </w:r>
      <w:r w:rsidR="00E957AF">
        <w:rPr>
          <w:lang w:val="nl-BE"/>
        </w:rPr>
        <w:t>die</w:t>
      </w:r>
      <w:r w:rsidR="00E957AF" w:rsidRPr="00E6515F">
        <w:rPr>
          <w:lang w:val="nl-BE"/>
        </w:rPr>
        <w:t xml:space="preserve"> </w:t>
      </w:r>
      <w:r w:rsidRPr="00E6515F">
        <w:rPr>
          <w:lang w:val="nl-BE"/>
        </w:rPr>
        <w:t xml:space="preserve">terug op het juiste spoor te brengen. Het gaat </w:t>
      </w:r>
      <w:r w:rsidR="00E957AF">
        <w:rPr>
          <w:lang w:val="nl-BE"/>
        </w:rPr>
        <w:t>om</w:t>
      </w:r>
      <w:r w:rsidR="00E957AF" w:rsidRPr="00E6515F">
        <w:rPr>
          <w:lang w:val="nl-BE"/>
        </w:rPr>
        <w:t xml:space="preserve"> </w:t>
      </w:r>
      <w:r w:rsidRPr="00E6515F">
        <w:rPr>
          <w:lang w:val="nl-BE"/>
        </w:rPr>
        <w:t xml:space="preserve">personen met een verstandelijke </w:t>
      </w:r>
      <w:r w:rsidR="00EA5E34" w:rsidRPr="00E6515F">
        <w:rPr>
          <w:lang w:val="nl-BE"/>
        </w:rPr>
        <w:t xml:space="preserve">handicap </w:t>
      </w:r>
      <w:r w:rsidRPr="00E6515F">
        <w:rPr>
          <w:lang w:val="nl-BE"/>
        </w:rPr>
        <w:t xml:space="preserve">en bijkomende gedragsproblemen, mogelijk ook in combinatie met andere </w:t>
      </w:r>
      <w:r w:rsidR="00EA5E34" w:rsidRPr="00E6515F">
        <w:rPr>
          <w:lang w:val="nl-BE"/>
        </w:rPr>
        <w:t>handicaps</w:t>
      </w:r>
      <w:r w:rsidRPr="00E6515F">
        <w:rPr>
          <w:lang w:val="nl-BE"/>
        </w:rPr>
        <w:t xml:space="preserve"> (</w:t>
      </w:r>
      <w:r w:rsidR="00E957AF">
        <w:rPr>
          <w:lang w:val="nl-BE"/>
        </w:rPr>
        <w:t>bijvoorbeeld een motorische</w:t>
      </w:r>
      <w:r w:rsidR="00EA5E34" w:rsidRPr="00E6515F">
        <w:rPr>
          <w:lang w:val="nl-BE"/>
        </w:rPr>
        <w:t xml:space="preserve"> handicap</w:t>
      </w:r>
      <w:r w:rsidRPr="00E6515F">
        <w:rPr>
          <w:lang w:val="nl-BE"/>
        </w:rPr>
        <w:t xml:space="preserve">). </w:t>
      </w:r>
      <w:r w:rsidR="00E957AF" w:rsidRPr="00E6515F">
        <w:rPr>
          <w:lang w:val="nl-BE"/>
        </w:rPr>
        <w:t>D</w:t>
      </w:r>
      <w:r w:rsidR="00E957AF">
        <w:rPr>
          <w:lang w:val="nl-BE"/>
        </w:rPr>
        <w:t>ie</w:t>
      </w:r>
      <w:r w:rsidR="00E957AF" w:rsidRPr="00E6515F">
        <w:rPr>
          <w:lang w:val="nl-BE"/>
        </w:rPr>
        <w:t xml:space="preserve"> </w:t>
      </w:r>
      <w:r w:rsidRPr="00E6515F">
        <w:rPr>
          <w:lang w:val="nl-BE"/>
        </w:rPr>
        <w:t xml:space="preserve">personen krijgen vaak al ondersteuning van een </w:t>
      </w:r>
      <w:r w:rsidR="00F27C3E">
        <w:rPr>
          <w:lang w:val="nl-BE"/>
        </w:rPr>
        <w:t xml:space="preserve">door het </w:t>
      </w:r>
      <w:r w:rsidR="00627480" w:rsidRPr="00E6515F">
        <w:rPr>
          <w:lang w:val="nl-BE"/>
        </w:rPr>
        <w:t>VAPH</w:t>
      </w:r>
      <w:r w:rsidR="00F27C3E">
        <w:rPr>
          <w:lang w:val="nl-BE"/>
        </w:rPr>
        <w:t xml:space="preserve"> </w:t>
      </w:r>
      <w:r w:rsidR="00EA5E34" w:rsidRPr="00E6515F">
        <w:rPr>
          <w:lang w:val="nl-BE"/>
        </w:rPr>
        <w:t>vergunde zorgaanbieder</w:t>
      </w:r>
      <w:r w:rsidRPr="00E6515F">
        <w:rPr>
          <w:lang w:val="nl-BE"/>
        </w:rPr>
        <w:t xml:space="preserve">. De </w:t>
      </w:r>
      <w:r w:rsidR="00F27C3E">
        <w:rPr>
          <w:lang w:val="nl-BE"/>
        </w:rPr>
        <w:t xml:space="preserve">observatie-, diagnose- en behandelingsunits </w:t>
      </w:r>
      <w:r w:rsidRPr="00E6515F">
        <w:rPr>
          <w:lang w:val="nl-BE"/>
        </w:rPr>
        <w:t>bieden kortlopende trajecten aan (max</w:t>
      </w:r>
      <w:r w:rsidR="00F27C3E">
        <w:rPr>
          <w:lang w:val="nl-BE"/>
        </w:rPr>
        <w:t>imaal</w:t>
      </w:r>
      <w:r w:rsidRPr="00E6515F">
        <w:rPr>
          <w:lang w:val="nl-BE"/>
        </w:rPr>
        <w:t xml:space="preserve"> </w:t>
      </w:r>
      <w:r w:rsidR="00F27C3E">
        <w:rPr>
          <w:lang w:val="nl-BE"/>
        </w:rPr>
        <w:t>negen</w:t>
      </w:r>
      <w:r w:rsidR="00F27C3E" w:rsidRPr="00E6515F">
        <w:rPr>
          <w:lang w:val="nl-BE"/>
        </w:rPr>
        <w:t xml:space="preserve"> </w:t>
      </w:r>
      <w:r w:rsidRPr="00E6515F">
        <w:rPr>
          <w:lang w:val="nl-BE"/>
        </w:rPr>
        <w:t xml:space="preserve">maanden), die indien mogelijk maximaal </w:t>
      </w:r>
      <w:r w:rsidR="00F27C3E">
        <w:rPr>
          <w:lang w:val="nl-BE"/>
        </w:rPr>
        <w:t>twee</w:t>
      </w:r>
      <w:r w:rsidR="00F27C3E" w:rsidRPr="00E6515F">
        <w:rPr>
          <w:lang w:val="nl-BE"/>
        </w:rPr>
        <w:t xml:space="preserve"> </w:t>
      </w:r>
      <w:r w:rsidR="000F2719" w:rsidRPr="00E6515F">
        <w:rPr>
          <w:lang w:val="nl-BE"/>
        </w:rPr>
        <w:t>keer</w:t>
      </w:r>
      <w:r w:rsidRPr="00E6515F">
        <w:rPr>
          <w:lang w:val="nl-BE"/>
        </w:rPr>
        <w:t xml:space="preserve"> kunnen verlengd worden mits motivatie. De ondersteuning kan zeer intensief zijn. </w:t>
      </w:r>
      <w:r w:rsidR="00F27C3E">
        <w:rPr>
          <w:lang w:val="nl-BE"/>
        </w:rPr>
        <w:t>Daarin</w:t>
      </w:r>
      <w:r w:rsidR="00F27C3E" w:rsidRPr="00E6515F">
        <w:rPr>
          <w:lang w:val="nl-BE"/>
        </w:rPr>
        <w:t xml:space="preserve"> </w:t>
      </w:r>
      <w:r w:rsidRPr="00E6515F">
        <w:rPr>
          <w:lang w:val="nl-BE"/>
        </w:rPr>
        <w:t xml:space="preserve">onderscheiden deze units zich van de consulentenwerkingen, die vooral mobiele en ambulante ondersteuning aanbieden, terwijl de </w:t>
      </w:r>
      <w:r w:rsidR="00F27C3E">
        <w:rPr>
          <w:lang w:val="nl-BE"/>
        </w:rPr>
        <w:t xml:space="preserve">observatie-, diagnose- en behandelingsunits </w:t>
      </w:r>
      <w:r w:rsidRPr="00E6515F">
        <w:rPr>
          <w:lang w:val="nl-BE"/>
        </w:rPr>
        <w:t xml:space="preserve">vooral bij aanvang residentiële ondersteuning aanbieden. De </w:t>
      </w:r>
      <w:r w:rsidR="00F27C3E">
        <w:rPr>
          <w:lang w:val="nl-BE"/>
        </w:rPr>
        <w:t xml:space="preserve">observatie-, diagnose- en behandelingsunits </w:t>
      </w:r>
      <w:r w:rsidRPr="00E6515F">
        <w:rPr>
          <w:lang w:val="nl-BE"/>
        </w:rPr>
        <w:t xml:space="preserve">zijn enkel toegankelijk voor meerderjarige personen met een handicap die een toewijzing hebben voor een </w:t>
      </w:r>
      <w:r w:rsidR="00DD02E4">
        <w:rPr>
          <w:lang w:val="nl-BE"/>
        </w:rPr>
        <w:t>persoonsvolgend budget</w:t>
      </w:r>
      <w:r w:rsidRPr="00E6515F">
        <w:rPr>
          <w:lang w:val="nl-BE"/>
        </w:rPr>
        <w:t xml:space="preserve">. Het gaat hier </w:t>
      </w:r>
      <w:r w:rsidR="00F27C3E">
        <w:rPr>
          <w:lang w:val="nl-BE"/>
        </w:rPr>
        <w:t>om</w:t>
      </w:r>
      <w:r w:rsidR="00F27C3E" w:rsidRPr="00E6515F">
        <w:rPr>
          <w:lang w:val="nl-BE"/>
        </w:rPr>
        <w:t xml:space="preserve"> </w:t>
      </w:r>
      <w:r w:rsidRPr="00E6515F">
        <w:rPr>
          <w:lang w:val="nl-BE"/>
        </w:rPr>
        <w:t xml:space="preserve">personen waarbij de ondersteuningsnood dermate ernstig is </w:t>
      </w:r>
      <w:r w:rsidR="00F27C3E">
        <w:rPr>
          <w:lang w:val="nl-BE"/>
        </w:rPr>
        <w:t>dat</w:t>
      </w:r>
      <w:r w:rsidR="00F27C3E" w:rsidRPr="00E6515F">
        <w:rPr>
          <w:lang w:val="nl-BE"/>
        </w:rPr>
        <w:t xml:space="preserve"> </w:t>
      </w:r>
      <w:r w:rsidRPr="00E6515F">
        <w:rPr>
          <w:lang w:val="nl-BE"/>
        </w:rPr>
        <w:t>men vaak al gebruik maakt van intensieve ondersteuning door een vergunde zorgaanbieder.</w:t>
      </w:r>
    </w:p>
    <w:p w:rsidR="00CD1B8C" w:rsidRPr="00E6515F" w:rsidRDefault="00CD1B8C">
      <w:pPr>
        <w:jc w:val="both"/>
        <w:rPr>
          <w:lang w:val="nl-BE"/>
        </w:rPr>
      </w:pPr>
    </w:p>
    <w:p w:rsidR="00CD1B8C" w:rsidRPr="00E6515F" w:rsidRDefault="002859D7">
      <w:pPr>
        <w:jc w:val="both"/>
        <w:rPr>
          <w:lang w:val="nl-BE"/>
        </w:rPr>
      </w:pPr>
      <w:r w:rsidRPr="00E6515F">
        <w:rPr>
          <w:lang w:val="nl-BE"/>
        </w:rPr>
        <w:t>De eerste erkenningen voor</w:t>
      </w:r>
      <w:r w:rsidR="00E96738" w:rsidRPr="00E6515F">
        <w:rPr>
          <w:lang w:val="nl-BE"/>
        </w:rPr>
        <w:t xml:space="preserve"> deze units werden vastgelegd in 2010. </w:t>
      </w:r>
      <w:r w:rsidRPr="00E6515F">
        <w:rPr>
          <w:lang w:val="nl-BE"/>
        </w:rPr>
        <w:t>In 2013 waren er 12 plaatsen voorzien</w:t>
      </w:r>
      <w:r w:rsidR="00F27C3E">
        <w:rPr>
          <w:lang w:val="nl-BE"/>
        </w:rPr>
        <w:t>,</w:t>
      </w:r>
      <w:r w:rsidRPr="00E6515F">
        <w:rPr>
          <w:lang w:val="nl-BE"/>
        </w:rPr>
        <w:t xml:space="preserve"> verspreid over vier organisaties in Vlaanderen. Op het moment dat dit uit de FAM-capaciteit gehaald werd vooraleer de resterende punten om te zetten in persoonsvolgende budgetten</w:t>
      </w:r>
      <w:r w:rsidR="00F27C3E">
        <w:rPr>
          <w:lang w:val="nl-BE"/>
        </w:rPr>
        <w:t>,</w:t>
      </w:r>
      <w:r w:rsidRPr="00E6515F">
        <w:rPr>
          <w:lang w:val="nl-BE"/>
        </w:rPr>
        <w:t xml:space="preserve"> werden ze ook via een aparte regelgeving erkend</w:t>
      </w:r>
      <w:r w:rsidR="00524DA0" w:rsidRPr="00E6515F">
        <w:rPr>
          <w:lang w:val="nl-BE"/>
        </w:rPr>
        <w:t>, dit</w:t>
      </w:r>
      <w:r w:rsidRPr="00E6515F">
        <w:rPr>
          <w:lang w:val="nl-BE"/>
        </w:rPr>
        <w:t xml:space="preserve"> voor</w:t>
      </w:r>
      <w:r w:rsidR="00EA5E34" w:rsidRPr="00E6515F">
        <w:rPr>
          <w:lang w:val="nl-BE"/>
        </w:rPr>
        <w:t xml:space="preserve"> in totaal</w:t>
      </w:r>
      <w:r w:rsidRPr="00E6515F">
        <w:rPr>
          <w:lang w:val="nl-BE"/>
        </w:rPr>
        <w:t xml:space="preserve"> 1</w:t>
      </w:r>
      <w:r w:rsidR="00AF7FA5" w:rsidRPr="00E6515F">
        <w:rPr>
          <w:lang w:val="nl-BE"/>
        </w:rPr>
        <w:t>.</w:t>
      </w:r>
      <w:r w:rsidRPr="00E6515F">
        <w:rPr>
          <w:lang w:val="nl-BE"/>
        </w:rPr>
        <w:t>969 personeelspunten.</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74" w:name="_8nnkpo8yzmfr" w:colFirst="0" w:colLast="0"/>
      <w:bookmarkStart w:id="75" w:name="_Toc528227902"/>
      <w:bookmarkStart w:id="76" w:name="_Ref528756353"/>
      <w:bookmarkStart w:id="77" w:name="_Toc536797819"/>
      <w:bookmarkEnd w:id="74"/>
      <w:r w:rsidRPr="00E6515F">
        <w:rPr>
          <w:sz w:val="30"/>
          <w:szCs w:val="30"/>
          <w:lang w:val="nl-BE"/>
        </w:rPr>
        <w:t>Units voor geïnterneerden</w:t>
      </w:r>
      <w:bookmarkEnd w:id="75"/>
      <w:bookmarkEnd w:id="76"/>
      <w:bookmarkEnd w:id="77"/>
    </w:p>
    <w:p w:rsidR="00CD1B8C" w:rsidRPr="00E6515F" w:rsidRDefault="00CD1B8C">
      <w:pPr>
        <w:rPr>
          <w:lang w:val="nl-BE"/>
        </w:rPr>
      </w:pPr>
    </w:p>
    <w:p w:rsidR="005E5E26" w:rsidRPr="00E6515F" w:rsidRDefault="002859D7">
      <w:pPr>
        <w:jc w:val="both"/>
        <w:rPr>
          <w:lang w:val="nl-BE"/>
        </w:rPr>
      </w:pPr>
      <w:r w:rsidRPr="00E6515F">
        <w:rPr>
          <w:lang w:val="nl-BE"/>
        </w:rPr>
        <w:t xml:space="preserve">Het is altijd de bedoeling geweest om zoveel mogelijk aparte plaatsen te voorzien voor geïnterneerden zodat zij met hun specifieke problematiek </w:t>
      </w:r>
      <w:r w:rsidR="00F27C3E">
        <w:rPr>
          <w:lang w:val="nl-BE"/>
        </w:rPr>
        <w:t xml:space="preserve">niet </w:t>
      </w:r>
      <w:r w:rsidRPr="00E6515F">
        <w:rPr>
          <w:lang w:val="nl-BE"/>
        </w:rPr>
        <w:t xml:space="preserve">in de gevangenis moesten verblijven. </w:t>
      </w:r>
      <w:r w:rsidR="00F27C3E">
        <w:rPr>
          <w:lang w:val="nl-BE"/>
        </w:rPr>
        <w:t>Daarom</w:t>
      </w:r>
      <w:r w:rsidR="00F27C3E" w:rsidRPr="00E6515F">
        <w:rPr>
          <w:lang w:val="nl-BE"/>
        </w:rPr>
        <w:t xml:space="preserve"> </w:t>
      </w:r>
      <w:r w:rsidRPr="00E6515F">
        <w:rPr>
          <w:lang w:val="nl-BE"/>
        </w:rPr>
        <w:t xml:space="preserve">was er enerzijds ondersteuning in de gevangenis mogelijk waarbij </w:t>
      </w:r>
      <w:r w:rsidR="00627480" w:rsidRPr="00E6515F">
        <w:rPr>
          <w:lang w:val="nl-BE"/>
        </w:rPr>
        <w:t>VAPH</w:t>
      </w:r>
      <w:r w:rsidRPr="00E6515F">
        <w:rPr>
          <w:lang w:val="nl-BE"/>
        </w:rPr>
        <w:t>-organisaties een vorm van dag</w:t>
      </w:r>
      <w:r w:rsidR="000E1743" w:rsidRPr="00E6515F">
        <w:rPr>
          <w:lang w:val="nl-BE"/>
        </w:rPr>
        <w:t>besteding</w:t>
      </w:r>
      <w:r w:rsidRPr="00E6515F">
        <w:rPr>
          <w:lang w:val="nl-BE"/>
        </w:rPr>
        <w:t xml:space="preserve"> in de gevangenis aanboden. Anderzijds waren er ook specifieke plaatsen </w:t>
      </w:r>
      <w:r w:rsidR="00F27C3E">
        <w:rPr>
          <w:lang w:val="nl-BE"/>
        </w:rPr>
        <w:t>in</w:t>
      </w:r>
      <w:r w:rsidR="00F27C3E" w:rsidRPr="00E6515F">
        <w:rPr>
          <w:lang w:val="nl-BE"/>
        </w:rPr>
        <w:t xml:space="preserve"> </w:t>
      </w:r>
      <w:r w:rsidRPr="00E6515F">
        <w:rPr>
          <w:lang w:val="nl-BE"/>
        </w:rPr>
        <w:t>de tehuizen niet-werkenden voor hen voorzien</w:t>
      </w:r>
      <w:r w:rsidR="00F27C3E">
        <w:rPr>
          <w:lang w:val="nl-BE"/>
        </w:rPr>
        <w:t>,</w:t>
      </w:r>
      <w:r w:rsidRPr="00E6515F">
        <w:rPr>
          <w:lang w:val="nl-BE"/>
        </w:rPr>
        <w:t xml:space="preserve"> om mensen </w:t>
      </w:r>
      <w:r w:rsidR="000E1743" w:rsidRPr="00E6515F">
        <w:rPr>
          <w:lang w:val="nl-BE"/>
        </w:rPr>
        <w:t xml:space="preserve">de nodige hulpverlening te bieden </w:t>
      </w:r>
      <w:r w:rsidRPr="00E6515F">
        <w:rPr>
          <w:lang w:val="nl-BE"/>
        </w:rPr>
        <w:t xml:space="preserve"> buiten de gevangenis. </w:t>
      </w:r>
    </w:p>
    <w:p w:rsidR="005E5E26" w:rsidRPr="00E6515F" w:rsidRDefault="005E5E26">
      <w:pPr>
        <w:jc w:val="both"/>
        <w:rPr>
          <w:lang w:val="nl-BE"/>
        </w:rPr>
      </w:pPr>
    </w:p>
    <w:p w:rsidR="00073427" w:rsidRPr="00E6515F" w:rsidRDefault="00073427">
      <w:pPr>
        <w:rPr>
          <w:bCs/>
          <w:szCs w:val="18"/>
          <w:u w:val="single"/>
          <w:lang w:val="nl-BE"/>
        </w:rPr>
      </w:pPr>
      <w:r w:rsidRPr="00E6515F">
        <w:rPr>
          <w:lang w:val="nl-BE"/>
        </w:rPr>
        <w:br w:type="page"/>
      </w:r>
    </w:p>
    <w:p w:rsidR="005E5E26" w:rsidRPr="00E6515F" w:rsidRDefault="005E5E26" w:rsidP="005E5E26">
      <w:pPr>
        <w:pStyle w:val="Bijschrif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29</w:t>
      </w:r>
      <w:r w:rsidRPr="00E6515F">
        <w:rPr>
          <w:lang w:val="nl-BE"/>
        </w:rPr>
        <w:fldChar w:fldCharType="end"/>
      </w:r>
      <w:r w:rsidRPr="00E6515F">
        <w:rPr>
          <w:lang w:val="nl-BE"/>
        </w:rPr>
        <w:t xml:space="preserve">: </w:t>
      </w:r>
      <w:r w:rsidR="0097530D">
        <w:rPr>
          <w:lang w:val="nl-BE"/>
        </w:rPr>
        <w:t>O</w:t>
      </w:r>
      <w:r w:rsidRPr="00E6515F">
        <w:rPr>
          <w:lang w:val="nl-BE"/>
        </w:rPr>
        <w:t>verzicht van het aantal voorziene plaatsen of punten</w:t>
      </w:r>
      <w:r w:rsidR="00FA0664" w:rsidRPr="00E6515F">
        <w:rPr>
          <w:lang w:val="nl-BE"/>
        </w:rPr>
        <w:t xml:space="preserve"> voor geïnterneerden</w:t>
      </w:r>
      <w:r w:rsidRPr="00E6515F">
        <w:rPr>
          <w:lang w:val="nl-BE"/>
        </w:rPr>
        <w:t xml:space="preserve"> per jaar</w:t>
      </w:r>
    </w:p>
    <w:tbl>
      <w:tblPr>
        <w:tblStyle w:val="afb"/>
        <w:tblW w:w="5529" w:type="dxa"/>
        <w:tblInd w:w="100" w:type="dxa"/>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Layout w:type="fixed"/>
        <w:tblLook w:val="0600" w:firstRow="0" w:lastRow="0" w:firstColumn="0" w:lastColumn="0" w:noHBand="1" w:noVBand="1"/>
      </w:tblPr>
      <w:tblGrid>
        <w:gridCol w:w="1020"/>
        <w:gridCol w:w="2241"/>
        <w:gridCol w:w="2268"/>
      </w:tblGrid>
      <w:tr w:rsidR="005E5E26" w:rsidRPr="00E6515F" w:rsidTr="005E5E26">
        <w:tc>
          <w:tcPr>
            <w:tcW w:w="1020"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5E5E26" w:rsidRPr="00E6515F" w:rsidRDefault="005E5E26" w:rsidP="005E5E26">
            <w:pPr>
              <w:widowControl w:val="0"/>
              <w:rPr>
                <w:b/>
                <w:color w:val="1D1D1D"/>
                <w:lang w:val="nl-BE"/>
              </w:rPr>
            </w:pPr>
            <w:r w:rsidRPr="00E6515F">
              <w:rPr>
                <w:b/>
                <w:color w:val="1D1D1D"/>
                <w:lang w:val="nl-BE"/>
              </w:rPr>
              <w:t>Jaar</w:t>
            </w:r>
          </w:p>
        </w:tc>
        <w:tc>
          <w:tcPr>
            <w:tcW w:w="2241"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5E5E26" w:rsidRPr="00E6515F" w:rsidRDefault="005E5E26" w:rsidP="005E5E26">
            <w:pPr>
              <w:widowControl w:val="0"/>
              <w:spacing w:line="240" w:lineRule="auto"/>
              <w:jc w:val="center"/>
              <w:rPr>
                <w:b/>
                <w:lang w:val="nl-BE"/>
              </w:rPr>
            </w:pPr>
            <w:r w:rsidRPr="00E6515F">
              <w:rPr>
                <w:b/>
                <w:lang w:val="nl-BE"/>
              </w:rPr>
              <w:t>Ondersteuning in de gevangenis</w:t>
            </w:r>
          </w:p>
        </w:tc>
        <w:tc>
          <w:tcPr>
            <w:tcW w:w="226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5E5E26" w:rsidRPr="00E6515F" w:rsidRDefault="005E5E26" w:rsidP="005E5E26">
            <w:pPr>
              <w:widowControl w:val="0"/>
              <w:spacing w:line="240" w:lineRule="auto"/>
              <w:jc w:val="center"/>
              <w:rPr>
                <w:b/>
                <w:lang w:val="nl-BE"/>
              </w:rPr>
            </w:pPr>
            <w:r w:rsidRPr="00E6515F">
              <w:rPr>
                <w:b/>
                <w:lang w:val="nl-BE"/>
              </w:rPr>
              <w:t>Units voor geïnterneerden</w:t>
            </w:r>
          </w:p>
        </w:tc>
      </w:tr>
      <w:tr w:rsidR="005E5E26" w:rsidRPr="00E6515F" w:rsidTr="005E5E26">
        <w:tc>
          <w:tcPr>
            <w:tcW w:w="102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rPr>
                <w:b/>
                <w:lang w:val="nl-BE"/>
              </w:rPr>
            </w:pPr>
            <w:r w:rsidRPr="00E6515F">
              <w:rPr>
                <w:b/>
                <w:lang w:val="nl-BE"/>
              </w:rPr>
              <w:t>2008</w:t>
            </w:r>
          </w:p>
        </w:tc>
        <w:tc>
          <w:tcPr>
            <w:tcW w:w="2241"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32</w:t>
            </w:r>
            <w:r w:rsidR="0097530D">
              <w:rPr>
                <w:lang w:val="nl-BE"/>
              </w:rPr>
              <w:t xml:space="preserve"> plaatsen</w:t>
            </w:r>
          </w:p>
        </w:tc>
        <w:tc>
          <w:tcPr>
            <w:tcW w:w="2268"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30</w:t>
            </w:r>
            <w:r w:rsidR="0097530D">
              <w:rPr>
                <w:lang w:val="nl-BE"/>
              </w:rPr>
              <w:t xml:space="preserve"> plaatsen</w:t>
            </w:r>
          </w:p>
        </w:tc>
      </w:tr>
      <w:tr w:rsidR="005E5E26" w:rsidRPr="00E6515F" w:rsidTr="005E5E26">
        <w:tc>
          <w:tcPr>
            <w:tcW w:w="102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rPr>
                <w:b/>
                <w:lang w:val="nl-BE"/>
              </w:rPr>
            </w:pPr>
            <w:r w:rsidRPr="00E6515F">
              <w:rPr>
                <w:b/>
                <w:lang w:val="nl-BE"/>
              </w:rPr>
              <w:t>2013</w:t>
            </w:r>
          </w:p>
        </w:tc>
        <w:tc>
          <w:tcPr>
            <w:tcW w:w="2241"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46</w:t>
            </w:r>
            <w:r w:rsidR="0097530D">
              <w:rPr>
                <w:lang w:val="nl-BE"/>
              </w:rPr>
              <w:t xml:space="preserve"> plaatsen</w:t>
            </w:r>
          </w:p>
        </w:tc>
        <w:tc>
          <w:tcPr>
            <w:tcW w:w="2268"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30</w:t>
            </w:r>
            <w:r w:rsidR="0097530D">
              <w:rPr>
                <w:lang w:val="nl-BE"/>
              </w:rPr>
              <w:t xml:space="preserve"> plaatsen</w:t>
            </w:r>
          </w:p>
        </w:tc>
      </w:tr>
      <w:tr w:rsidR="005E5E26" w:rsidRPr="00E6515F" w:rsidTr="005E5E26">
        <w:tc>
          <w:tcPr>
            <w:tcW w:w="102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rPr>
                <w:b/>
                <w:lang w:val="nl-BE"/>
              </w:rPr>
            </w:pPr>
            <w:r w:rsidRPr="00E6515F">
              <w:rPr>
                <w:b/>
                <w:lang w:val="nl-BE"/>
              </w:rPr>
              <w:t>2017</w:t>
            </w:r>
          </w:p>
        </w:tc>
        <w:tc>
          <w:tcPr>
            <w:tcW w:w="2241"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1.647 punten</w:t>
            </w:r>
          </w:p>
        </w:tc>
        <w:tc>
          <w:tcPr>
            <w:tcW w:w="2268"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47</w:t>
            </w:r>
            <w:r w:rsidR="0097530D">
              <w:rPr>
                <w:lang w:val="nl-BE"/>
              </w:rPr>
              <w:t xml:space="preserve"> plaatsen</w:t>
            </w:r>
          </w:p>
        </w:tc>
      </w:tr>
      <w:tr w:rsidR="005E5E26" w:rsidRPr="00E6515F" w:rsidTr="005E5E26">
        <w:tc>
          <w:tcPr>
            <w:tcW w:w="1020"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rPr>
                <w:b/>
                <w:lang w:val="nl-BE"/>
              </w:rPr>
            </w:pPr>
            <w:r w:rsidRPr="00E6515F">
              <w:rPr>
                <w:b/>
                <w:lang w:val="nl-BE"/>
              </w:rPr>
              <w:t>2018</w:t>
            </w:r>
          </w:p>
        </w:tc>
        <w:tc>
          <w:tcPr>
            <w:tcW w:w="2241"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1.647 punten</w:t>
            </w:r>
          </w:p>
        </w:tc>
        <w:tc>
          <w:tcPr>
            <w:tcW w:w="2268" w:type="dxa"/>
            <w:tcBorders>
              <w:top w:val="nil"/>
              <w:left w:val="nil"/>
              <w:bottom w:val="single" w:sz="8" w:space="0" w:color="414141"/>
              <w:right w:val="single" w:sz="8" w:space="0" w:color="414141"/>
            </w:tcBorders>
            <w:tcMar>
              <w:top w:w="60" w:type="dxa"/>
              <w:left w:w="100" w:type="dxa"/>
              <w:bottom w:w="60" w:type="dxa"/>
              <w:right w:w="100" w:type="dxa"/>
            </w:tcMar>
          </w:tcPr>
          <w:p w:rsidR="005E5E26" w:rsidRPr="00E6515F" w:rsidRDefault="005E5E26" w:rsidP="005E5E26">
            <w:pPr>
              <w:widowControl w:val="0"/>
              <w:spacing w:line="240" w:lineRule="auto"/>
              <w:jc w:val="center"/>
              <w:rPr>
                <w:lang w:val="nl-BE"/>
              </w:rPr>
            </w:pPr>
            <w:r w:rsidRPr="00E6515F">
              <w:rPr>
                <w:lang w:val="nl-BE"/>
              </w:rPr>
              <w:t>50</w:t>
            </w:r>
            <w:r w:rsidR="0097530D">
              <w:rPr>
                <w:lang w:val="nl-BE"/>
              </w:rPr>
              <w:t xml:space="preserve"> plaatsen</w:t>
            </w:r>
          </w:p>
        </w:tc>
      </w:tr>
    </w:tbl>
    <w:p w:rsidR="005E5E26" w:rsidRPr="00E6515F" w:rsidRDefault="005E5E26">
      <w:pPr>
        <w:jc w:val="both"/>
        <w:rPr>
          <w:lang w:val="nl-BE"/>
        </w:rPr>
      </w:pPr>
    </w:p>
    <w:p w:rsidR="00CD1B8C" w:rsidRPr="00E6515F" w:rsidRDefault="00FA0664" w:rsidP="00FA0664">
      <w:pPr>
        <w:rPr>
          <w:lang w:val="nl-BE"/>
        </w:rPr>
      </w:pPr>
      <w:r w:rsidRPr="00E6515F">
        <w:rPr>
          <w:lang w:val="nl-BE"/>
        </w:rPr>
        <w:t>Hierboven</w:t>
      </w:r>
      <w:r w:rsidR="002859D7" w:rsidRPr="00E6515F">
        <w:rPr>
          <w:lang w:val="nl-BE"/>
        </w:rPr>
        <w:t xml:space="preserve"> vindt u een overzicht van het aantal voorziene plaatsen of punten per jaar. </w:t>
      </w:r>
      <w:r w:rsidRPr="00E6515F">
        <w:rPr>
          <w:lang w:val="nl-BE"/>
        </w:rPr>
        <w:t xml:space="preserve">Vanaf 2017 werd de capaciteit vrijgehouden voor ondersteuning in de gevangenis uitgedrukt in personeelspunten. </w:t>
      </w:r>
      <w:r w:rsidR="0097530D">
        <w:rPr>
          <w:lang w:val="nl-BE"/>
        </w:rPr>
        <w:t>Vooral</w:t>
      </w:r>
      <w:r w:rsidR="002859D7" w:rsidRPr="00E6515F">
        <w:rPr>
          <w:lang w:val="nl-BE"/>
        </w:rPr>
        <w:t xml:space="preserve"> bij de aparte units </w:t>
      </w:r>
      <w:r w:rsidR="0097530D">
        <w:rPr>
          <w:lang w:val="nl-BE"/>
        </w:rPr>
        <w:t xml:space="preserve">is er </w:t>
      </w:r>
      <w:r w:rsidR="002859D7" w:rsidRPr="00E6515F">
        <w:rPr>
          <w:lang w:val="nl-BE"/>
        </w:rPr>
        <w:t>meer geïnvesteerd</w:t>
      </w:r>
      <w:r w:rsidR="000E1743" w:rsidRPr="00E6515F">
        <w:rPr>
          <w:lang w:val="nl-BE"/>
        </w:rPr>
        <w:t>. De</w:t>
      </w:r>
      <w:r w:rsidR="002859D7" w:rsidRPr="00E6515F">
        <w:rPr>
          <w:lang w:val="nl-BE"/>
        </w:rPr>
        <w:t xml:space="preserve"> komende jaren </w:t>
      </w:r>
      <w:r w:rsidR="000E1743" w:rsidRPr="00E6515F">
        <w:rPr>
          <w:lang w:val="nl-BE"/>
        </w:rPr>
        <w:t>zullen</w:t>
      </w:r>
      <w:r w:rsidR="002859D7" w:rsidRPr="00E6515F">
        <w:rPr>
          <w:lang w:val="nl-BE"/>
        </w:rPr>
        <w:t xml:space="preserve"> extra middelen voorzien</w:t>
      </w:r>
      <w:r w:rsidR="000E1743" w:rsidRPr="00E6515F">
        <w:rPr>
          <w:lang w:val="nl-BE"/>
        </w:rPr>
        <w:t xml:space="preserve"> worden</w:t>
      </w:r>
      <w:r w:rsidR="002859D7" w:rsidRPr="00E6515F">
        <w:rPr>
          <w:lang w:val="nl-BE"/>
        </w:rPr>
        <w:t xml:space="preserve"> </w:t>
      </w:r>
      <w:r w:rsidRPr="00E6515F">
        <w:rPr>
          <w:lang w:val="nl-BE"/>
        </w:rPr>
        <w:t>om</w:t>
      </w:r>
      <w:r w:rsidR="002859D7" w:rsidRPr="00E6515F">
        <w:rPr>
          <w:lang w:val="nl-BE"/>
        </w:rPr>
        <w:t xml:space="preserve"> zoveel mogelijk geïnterneerden </w:t>
      </w:r>
      <w:r w:rsidR="000E1743" w:rsidRPr="00E6515F">
        <w:rPr>
          <w:lang w:val="nl-BE"/>
        </w:rPr>
        <w:t>gepaste ondersteuning te bieden buiten de gevangenissen en de doorstroom naar VAPH-</w:t>
      </w:r>
      <w:proofErr w:type="spellStart"/>
      <w:r w:rsidR="000E1743" w:rsidRPr="00E6515F">
        <w:rPr>
          <w:lang w:val="nl-BE"/>
        </w:rPr>
        <w:t>settings</w:t>
      </w:r>
      <w:proofErr w:type="spellEnd"/>
      <w:r w:rsidR="000E1743" w:rsidRPr="00E6515F">
        <w:rPr>
          <w:lang w:val="nl-BE"/>
        </w:rPr>
        <w:t xml:space="preserve"> te faciliteren. </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78" w:name="_65xa7z9ep360" w:colFirst="0" w:colLast="0"/>
      <w:bookmarkStart w:id="79" w:name="_Toc528227903"/>
      <w:bookmarkStart w:id="80" w:name="_Toc536797820"/>
      <w:bookmarkEnd w:id="78"/>
      <w:r w:rsidRPr="00E6515F">
        <w:rPr>
          <w:sz w:val="30"/>
          <w:szCs w:val="30"/>
          <w:lang w:val="nl-BE"/>
        </w:rPr>
        <w:t xml:space="preserve">Diensten </w:t>
      </w:r>
      <w:r w:rsidR="0097530D">
        <w:rPr>
          <w:sz w:val="30"/>
          <w:szCs w:val="30"/>
          <w:lang w:val="nl-BE"/>
        </w:rPr>
        <w:t>r</w:t>
      </w:r>
      <w:r w:rsidR="0097530D" w:rsidRPr="00E6515F">
        <w:rPr>
          <w:sz w:val="30"/>
          <w:szCs w:val="30"/>
          <w:lang w:val="nl-BE"/>
        </w:rPr>
        <w:t xml:space="preserve">echtstreeks </w:t>
      </w:r>
      <w:r w:rsidR="0097530D">
        <w:rPr>
          <w:sz w:val="30"/>
          <w:szCs w:val="30"/>
          <w:lang w:val="nl-BE"/>
        </w:rPr>
        <w:t>t</w:t>
      </w:r>
      <w:r w:rsidR="0097530D" w:rsidRPr="00E6515F">
        <w:rPr>
          <w:sz w:val="30"/>
          <w:szCs w:val="30"/>
          <w:lang w:val="nl-BE"/>
        </w:rPr>
        <w:t xml:space="preserve">oegankelijke </w:t>
      </w:r>
      <w:r w:rsidRPr="00E6515F">
        <w:rPr>
          <w:sz w:val="30"/>
          <w:szCs w:val="30"/>
          <w:lang w:val="nl-BE"/>
        </w:rPr>
        <w:t>hulp</w:t>
      </w:r>
      <w:bookmarkEnd w:id="79"/>
      <w:bookmarkEnd w:id="80"/>
    </w:p>
    <w:p w:rsidR="00CD1B8C" w:rsidRPr="00E6515F" w:rsidRDefault="002859D7">
      <w:pPr>
        <w:jc w:val="both"/>
        <w:rPr>
          <w:lang w:val="nl-BE"/>
        </w:rPr>
      </w:pPr>
      <w:r w:rsidRPr="00E6515F">
        <w:rPr>
          <w:lang w:val="nl-BE"/>
        </w:rPr>
        <w:t>Bij de invo</w:t>
      </w:r>
      <w:r w:rsidR="00EF469E" w:rsidRPr="00E6515F">
        <w:rPr>
          <w:lang w:val="nl-BE"/>
        </w:rPr>
        <w:t xml:space="preserve">ering van </w:t>
      </w:r>
      <w:r w:rsidR="0097530D">
        <w:rPr>
          <w:lang w:val="nl-BE"/>
        </w:rPr>
        <w:t xml:space="preserve">de </w:t>
      </w:r>
      <w:r w:rsidR="009F5B77">
        <w:rPr>
          <w:lang w:val="nl-BE"/>
        </w:rPr>
        <w:t>persoonsvolgende financiering</w:t>
      </w:r>
      <w:r w:rsidR="00EF469E" w:rsidRPr="00E6515F">
        <w:rPr>
          <w:lang w:val="nl-BE"/>
        </w:rPr>
        <w:t xml:space="preserve"> is er </w:t>
      </w:r>
      <w:r w:rsidRPr="00E6515F">
        <w:rPr>
          <w:lang w:val="nl-BE"/>
        </w:rPr>
        <w:t xml:space="preserve">gekozen om de ondersteuning die aangeboden kan worden aan personen met een handicap te groeperen in twee trappen. In trap </w:t>
      </w:r>
      <w:r w:rsidR="0097530D">
        <w:rPr>
          <w:lang w:val="nl-BE"/>
        </w:rPr>
        <w:t>2</w:t>
      </w:r>
      <w:r w:rsidR="0097530D" w:rsidRPr="00E6515F">
        <w:rPr>
          <w:lang w:val="nl-BE"/>
        </w:rPr>
        <w:t xml:space="preserve"> </w:t>
      </w:r>
      <w:r w:rsidRPr="00E6515F">
        <w:rPr>
          <w:lang w:val="nl-BE"/>
        </w:rPr>
        <w:t xml:space="preserve">bevindt zich </w:t>
      </w:r>
      <w:r w:rsidR="000E1743" w:rsidRPr="00E6515F">
        <w:rPr>
          <w:lang w:val="nl-BE"/>
        </w:rPr>
        <w:t xml:space="preserve">de </w:t>
      </w:r>
      <w:r w:rsidRPr="00E6515F">
        <w:rPr>
          <w:lang w:val="nl-BE"/>
        </w:rPr>
        <w:t xml:space="preserve"> </w:t>
      </w:r>
      <w:proofErr w:type="spellStart"/>
      <w:r w:rsidRPr="00E6515F">
        <w:rPr>
          <w:lang w:val="nl-BE"/>
        </w:rPr>
        <w:t>handicapspecifieke</w:t>
      </w:r>
      <w:proofErr w:type="spellEnd"/>
      <w:r w:rsidRPr="00E6515F">
        <w:rPr>
          <w:lang w:val="nl-BE"/>
        </w:rPr>
        <w:t xml:space="preserve"> ondersteuning voor mensen die intensief en regelmatig hulp nodig hebben. In trap 1 kunnen mensen met een zorgbudget </w:t>
      </w:r>
      <w:r w:rsidR="0097530D">
        <w:rPr>
          <w:lang w:val="nl-BE"/>
        </w:rPr>
        <w:t xml:space="preserve">voor mensen met een handicap </w:t>
      </w:r>
      <w:r w:rsidRPr="00E6515F">
        <w:rPr>
          <w:lang w:val="nl-BE"/>
        </w:rPr>
        <w:t>(</w:t>
      </w:r>
      <w:proofErr w:type="spellStart"/>
      <w:r w:rsidRPr="00E6515F">
        <w:rPr>
          <w:lang w:val="nl-BE"/>
        </w:rPr>
        <w:t>basisondersteuningsbudget</w:t>
      </w:r>
      <w:proofErr w:type="spellEnd"/>
      <w:r w:rsidR="0097530D">
        <w:rPr>
          <w:lang w:val="nl-BE"/>
        </w:rPr>
        <w:t xml:space="preserve"> (BOB)</w:t>
      </w:r>
      <w:r w:rsidRPr="00E6515F">
        <w:rPr>
          <w:lang w:val="nl-BE"/>
        </w:rPr>
        <w:t xml:space="preserve">) en/of </w:t>
      </w:r>
      <w:r w:rsidR="00DD02E4">
        <w:rPr>
          <w:lang w:val="nl-BE"/>
        </w:rPr>
        <w:t>rechtstreeks toegankelijke hulp</w:t>
      </w:r>
      <w:r w:rsidRPr="00E6515F">
        <w:rPr>
          <w:lang w:val="nl-BE"/>
        </w:rPr>
        <w:t xml:space="preserve"> ondersteund worden. </w:t>
      </w:r>
    </w:p>
    <w:p w:rsidR="00CD1B8C" w:rsidRPr="00E6515F" w:rsidRDefault="00CD1B8C">
      <w:pPr>
        <w:rPr>
          <w:lang w:val="nl-BE"/>
        </w:rPr>
      </w:pPr>
    </w:p>
    <w:p w:rsidR="00FA0664" w:rsidRPr="00E6515F" w:rsidRDefault="00FA0664" w:rsidP="00FA0664">
      <w:pPr>
        <w:pStyle w:val="Bijschrif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30</w:t>
      </w:r>
      <w:r w:rsidRPr="00E6515F">
        <w:rPr>
          <w:lang w:val="nl-BE"/>
        </w:rPr>
        <w:fldChar w:fldCharType="end"/>
      </w:r>
      <w:r w:rsidRPr="00E6515F">
        <w:rPr>
          <w:lang w:val="nl-BE"/>
        </w:rPr>
        <w:t xml:space="preserve">: </w:t>
      </w:r>
      <w:r w:rsidR="0097530D">
        <w:rPr>
          <w:lang w:val="nl-BE"/>
        </w:rPr>
        <w:t>O</w:t>
      </w:r>
      <w:r w:rsidR="0097530D" w:rsidRPr="00E6515F">
        <w:rPr>
          <w:lang w:val="nl-BE"/>
        </w:rPr>
        <w:t xml:space="preserve">verzicht </w:t>
      </w:r>
      <w:r w:rsidRPr="00E6515F">
        <w:rPr>
          <w:lang w:val="nl-BE"/>
        </w:rPr>
        <w:t>van de capaciteit RTH per provincie in 2017 en 2018, uitgedrukt in personeelspunten</w:t>
      </w:r>
    </w:p>
    <w:tbl>
      <w:tblPr>
        <w:tblStyle w:val="Tabelraster"/>
        <w:tblW w:w="5353" w:type="dxa"/>
        <w:tblLayout w:type="fixed"/>
        <w:tblLook w:val="0600" w:firstRow="0" w:lastRow="0" w:firstColumn="0" w:lastColumn="0" w:noHBand="1" w:noVBand="1"/>
      </w:tblPr>
      <w:tblGrid>
        <w:gridCol w:w="1843"/>
        <w:gridCol w:w="1755"/>
        <w:gridCol w:w="1755"/>
      </w:tblGrid>
      <w:tr w:rsidR="00CD1B8C" w:rsidRPr="00E6515F" w:rsidTr="009641DC">
        <w:trPr>
          <w:trHeight w:val="440"/>
        </w:trPr>
        <w:tc>
          <w:tcPr>
            <w:tcW w:w="2235" w:type="dxa"/>
            <w:shd w:val="clear" w:color="auto" w:fill="BFBFBF" w:themeFill="background1" w:themeFillShade="BF"/>
            <w:vAlign w:val="center"/>
          </w:tcPr>
          <w:p w:rsidR="00CD1B8C" w:rsidRPr="00E6515F" w:rsidRDefault="0045583E" w:rsidP="0045583E">
            <w:pPr>
              <w:widowControl w:val="0"/>
              <w:pBdr>
                <w:top w:val="nil"/>
                <w:left w:val="nil"/>
                <w:bottom w:val="nil"/>
                <w:right w:val="nil"/>
                <w:between w:val="nil"/>
              </w:pBdr>
              <w:rPr>
                <w:b/>
                <w:lang w:val="nl-BE"/>
              </w:rPr>
            </w:pPr>
            <w:r w:rsidRPr="00E6515F">
              <w:rPr>
                <w:b/>
                <w:lang w:val="nl-BE"/>
              </w:rPr>
              <w:t>P</w:t>
            </w:r>
            <w:r w:rsidR="002859D7" w:rsidRPr="00E6515F">
              <w:rPr>
                <w:b/>
                <w:lang w:val="nl-BE"/>
              </w:rPr>
              <w:t>rovincie</w:t>
            </w:r>
          </w:p>
        </w:tc>
        <w:tc>
          <w:tcPr>
            <w:tcW w:w="2126" w:type="dxa"/>
            <w:shd w:val="clear" w:color="auto" w:fill="BFBFBF" w:themeFill="background1" w:themeFillShade="BF"/>
            <w:vAlign w:val="center"/>
          </w:tcPr>
          <w:p w:rsidR="00CD1B8C" w:rsidRPr="00E6515F" w:rsidRDefault="002859D7" w:rsidP="009641DC">
            <w:pPr>
              <w:widowControl w:val="0"/>
              <w:pBdr>
                <w:top w:val="nil"/>
                <w:left w:val="nil"/>
                <w:bottom w:val="nil"/>
                <w:right w:val="nil"/>
                <w:between w:val="nil"/>
              </w:pBdr>
              <w:jc w:val="center"/>
              <w:rPr>
                <w:lang w:val="nl-BE"/>
              </w:rPr>
            </w:pPr>
            <w:r w:rsidRPr="00E6515F">
              <w:rPr>
                <w:b/>
                <w:lang w:val="nl-BE"/>
              </w:rPr>
              <w:t>2017</w:t>
            </w:r>
          </w:p>
        </w:tc>
        <w:tc>
          <w:tcPr>
            <w:tcW w:w="2126" w:type="dxa"/>
            <w:shd w:val="clear" w:color="auto" w:fill="BFBFBF" w:themeFill="background1" w:themeFillShade="BF"/>
            <w:vAlign w:val="center"/>
          </w:tcPr>
          <w:p w:rsidR="00CD1B8C" w:rsidRPr="00E6515F" w:rsidRDefault="002859D7" w:rsidP="009641DC">
            <w:pPr>
              <w:widowControl w:val="0"/>
              <w:pBdr>
                <w:top w:val="nil"/>
                <w:left w:val="nil"/>
                <w:bottom w:val="nil"/>
                <w:right w:val="nil"/>
                <w:between w:val="nil"/>
              </w:pBdr>
              <w:jc w:val="center"/>
              <w:rPr>
                <w:lang w:val="nl-BE"/>
              </w:rPr>
            </w:pPr>
            <w:r w:rsidRPr="00E6515F">
              <w:rPr>
                <w:b/>
                <w:lang w:val="nl-BE"/>
              </w:rPr>
              <w:t>2018</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lang w:val="nl-BE"/>
              </w:rPr>
            </w:pPr>
            <w:r w:rsidRPr="00E6515F">
              <w:rPr>
                <w:b/>
                <w:lang w:val="nl-BE"/>
              </w:rPr>
              <w:t>Antwerpen</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20.485</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22.075</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lang w:val="nl-BE"/>
              </w:rPr>
            </w:pPr>
            <w:r w:rsidRPr="00E6515F">
              <w:rPr>
                <w:b/>
                <w:lang w:val="nl-BE"/>
              </w:rPr>
              <w:t>Vlaams-Brabant</w:t>
            </w:r>
            <w:r w:rsidR="00AE0490">
              <w:rPr>
                <w:b/>
                <w:lang w:val="nl-BE"/>
              </w:rPr>
              <w:t xml:space="preserve"> en Brussel</w:t>
            </w:r>
          </w:p>
        </w:tc>
        <w:tc>
          <w:tcPr>
            <w:tcW w:w="2126" w:type="dxa"/>
            <w:vAlign w:val="center"/>
          </w:tcPr>
          <w:p w:rsidR="00CD1B8C" w:rsidRPr="00E6515F" w:rsidRDefault="002859D7" w:rsidP="009641DC">
            <w:pPr>
              <w:widowControl w:val="0"/>
              <w:pBdr>
                <w:top w:val="nil"/>
                <w:left w:val="nil"/>
                <w:bottom w:val="nil"/>
                <w:right w:val="nil"/>
                <w:between w:val="nil"/>
              </w:pBdr>
              <w:jc w:val="center"/>
              <w:rPr>
                <w:lang w:val="nl-BE"/>
              </w:rPr>
            </w:pPr>
            <w:r w:rsidRPr="00E6515F">
              <w:rPr>
                <w:lang w:val="nl-BE"/>
              </w:rPr>
              <w:t>11.179</w:t>
            </w:r>
          </w:p>
        </w:tc>
        <w:tc>
          <w:tcPr>
            <w:tcW w:w="2126" w:type="dxa"/>
            <w:vAlign w:val="center"/>
          </w:tcPr>
          <w:p w:rsidR="00CD1B8C" w:rsidRPr="00E6515F" w:rsidRDefault="002859D7" w:rsidP="009641DC">
            <w:pPr>
              <w:widowControl w:val="0"/>
              <w:pBdr>
                <w:top w:val="nil"/>
                <w:left w:val="nil"/>
                <w:bottom w:val="nil"/>
                <w:right w:val="nil"/>
                <w:between w:val="nil"/>
              </w:pBdr>
              <w:jc w:val="center"/>
              <w:rPr>
                <w:lang w:val="nl-BE"/>
              </w:rPr>
            </w:pPr>
            <w:r w:rsidRPr="00E6515F">
              <w:rPr>
                <w:lang w:val="nl-BE"/>
              </w:rPr>
              <w:t>11.304</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lang w:val="nl-BE"/>
              </w:rPr>
            </w:pPr>
            <w:r w:rsidRPr="00E6515F">
              <w:rPr>
                <w:b/>
                <w:lang w:val="nl-BE"/>
              </w:rPr>
              <w:t>Limburg</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7.241</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8.506</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lang w:val="nl-BE"/>
              </w:rPr>
            </w:pPr>
            <w:r w:rsidRPr="00E6515F">
              <w:rPr>
                <w:b/>
                <w:lang w:val="nl-BE"/>
              </w:rPr>
              <w:t>Oost-Vlaanderen</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12.984</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14.872</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lang w:val="nl-BE"/>
              </w:rPr>
            </w:pPr>
            <w:r w:rsidRPr="00E6515F">
              <w:rPr>
                <w:b/>
                <w:lang w:val="nl-BE"/>
              </w:rPr>
              <w:t>West-Vlaanderen</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10.667</w:t>
            </w:r>
          </w:p>
        </w:tc>
        <w:tc>
          <w:tcPr>
            <w:tcW w:w="2126" w:type="dxa"/>
            <w:vAlign w:val="center"/>
          </w:tcPr>
          <w:p w:rsidR="00CD1B8C" w:rsidRPr="00E6515F" w:rsidRDefault="009641DC" w:rsidP="009641DC">
            <w:pPr>
              <w:widowControl w:val="0"/>
              <w:pBdr>
                <w:top w:val="nil"/>
                <w:left w:val="nil"/>
                <w:bottom w:val="nil"/>
                <w:right w:val="nil"/>
                <w:between w:val="nil"/>
              </w:pBdr>
              <w:jc w:val="center"/>
              <w:rPr>
                <w:lang w:val="nl-BE"/>
              </w:rPr>
            </w:pPr>
            <w:r w:rsidRPr="00E6515F">
              <w:rPr>
                <w:lang w:val="nl-BE"/>
              </w:rPr>
              <w:t>13.673</w:t>
            </w:r>
          </w:p>
        </w:tc>
      </w:tr>
      <w:tr w:rsidR="00CD1B8C" w:rsidRPr="00E6515F" w:rsidTr="009641DC">
        <w:trPr>
          <w:trHeight w:val="440"/>
        </w:trPr>
        <w:tc>
          <w:tcPr>
            <w:tcW w:w="2235" w:type="dxa"/>
            <w:vAlign w:val="center"/>
          </w:tcPr>
          <w:p w:rsidR="00CD1B8C" w:rsidRPr="00E6515F" w:rsidRDefault="002859D7" w:rsidP="0045583E">
            <w:pPr>
              <w:widowControl w:val="0"/>
              <w:pBdr>
                <w:top w:val="nil"/>
                <w:left w:val="nil"/>
                <w:bottom w:val="nil"/>
                <w:right w:val="nil"/>
                <w:between w:val="nil"/>
              </w:pBdr>
              <w:rPr>
                <w:b/>
                <w:i/>
                <w:lang w:val="nl-BE"/>
              </w:rPr>
            </w:pPr>
            <w:r w:rsidRPr="00E6515F">
              <w:rPr>
                <w:b/>
                <w:i/>
                <w:lang w:val="nl-BE"/>
              </w:rPr>
              <w:t>Totaal</w:t>
            </w:r>
          </w:p>
        </w:tc>
        <w:tc>
          <w:tcPr>
            <w:tcW w:w="2126" w:type="dxa"/>
            <w:vAlign w:val="center"/>
          </w:tcPr>
          <w:p w:rsidR="00CD1B8C" w:rsidRPr="00E6515F" w:rsidRDefault="0078143A" w:rsidP="009641DC">
            <w:pPr>
              <w:widowControl w:val="0"/>
              <w:pBdr>
                <w:top w:val="nil"/>
                <w:left w:val="nil"/>
                <w:bottom w:val="nil"/>
                <w:right w:val="nil"/>
                <w:between w:val="nil"/>
              </w:pBdr>
              <w:jc w:val="center"/>
              <w:rPr>
                <w:b/>
                <w:i/>
                <w:lang w:val="nl-BE"/>
              </w:rPr>
            </w:pPr>
            <w:r w:rsidRPr="00E6515F">
              <w:rPr>
                <w:b/>
                <w:i/>
                <w:lang w:val="nl-BE"/>
              </w:rPr>
              <w:t>62.556</w:t>
            </w:r>
          </w:p>
        </w:tc>
        <w:tc>
          <w:tcPr>
            <w:tcW w:w="2126" w:type="dxa"/>
            <w:vAlign w:val="center"/>
          </w:tcPr>
          <w:p w:rsidR="00CD1B8C" w:rsidRPr="00E6515F" w:rsidRDefault="009641DC" w:rsidP="009641DC">
            <w:pPr>
              <w:widowControl w:val="0"/>
              <w:pBdr>
                <w:top w:val="nil"/>
                <w:left w:val="nil"/>
                <w:bottom w:val="nil"/>
                <w:right w:val="nil"/>
                <w:between w:val="nil"/>
              </w:pBdr>
              <w:jc w:val="center"/>
              <w:rPr>
                <w:b/>
                <w:i/>
                <w:color w:val="FF0000"/>
                <w:lang w:val="nl-BE"/>
              </w:rPr>
            </w:pPr>
            <w:r w:rsidRPr="00E6515F">
              <w:rPr>
                <w:b/>
                <w:i/>
                <w:lang w:val="nl-BE"/>
              </w:rPr>
              <w:t>70.430</w:t>
            </w:r>
          </w:p>
        </w:tc>
      </w:tr>
    </w:tbl>
    <w:p w:rsidR="00CD1B8C" w:rsidRPr="00E6515F" w:rsidRDefault="00CD1B8C">
      <w:pPr>
        <w:rPr>
          <w:lang w:val="nl-BE"/>
        </w:rPr>
      </w:pPr>
    </w:p>
    <w:p w:rsidR="00FA0664" w:rsidRPr="00E6515F" w:rsidRDefault="0097530D" w:rsidP="00FA0664">
      <w:pPr>
        <w:jc w:val="both"/>
        <w:rPr>
          <w:lang w:val="nl-BE"/>
        </w:rPr>
      </w:pPr>
      <w:bookmarkStart w:id="81" w:name="_irfysdvmxd94" w:colFirst="0" w:colLast="0"/>
      <w:bookmarkStart w:id="82" w:name="_Toc528227904"/>
      <w:bookmarkEnd w:id="81"/>
      <w:r>
        <w:rPr>
          <w:lang w:val="nl-BE"/>
        </w:rPr>
        <w:t xml:space="preserve">De personeelspunten voor 2018 zijn hoger dan die voor 2017. </w:t>
      </w:r>
      <w:r w:rsidR="00FA0664" w:rsidRPr="00E6515F">
        <w:rPr>
          <w:lang w:val="nl-BE"/>
        </w:rPr>
        <w:t xml:space="preserve">De verschillen tussen 2017 en 2018 hebben drie mogelijke oorzaken. Enerzijds is de capaciteit van 2017 deels gebaseerd op de gegevens van de toenmalige diensten </w:t>
      </w:r>
      <w:r>
        <w:rPr>
          <w:lang w:val="nl-BE"/>
        </w:rPr>
        <w:t>flexibel aanbod meerderjarigen</w:t>
      </w:r>
      <w:r w:rsidRPr="00E6515F">
        <w:rPr>
          <w:lang w:val="nl-BE"/>
        </w:rPr>
        <w:t xml:space="preserve"> </w:t>
      </w:r>
      <w:r w:rsidR="00FA0664" w:rsidRPr="00E6515F">
        <w:rPr>
          <w:lang w:val="nl-BE"/>
        </w:rPr>
        <w:t xml:space="preserve">en thuisbegeleiding. Onder een bepaald gewicht werden deze middelen naar trap </w:t>
      </w:r>
      <w:r>
        <w:rPr>
          <w:lang w:val="nl-BE"/>
        </w:rPr>
        <w:t>1</w:t>
      </w:r>
      <w:r w:rsidRPr="00E6515F">
        <w:rPr>
          <w:lang w:val="nl-BE"/>
        </w:rPr>
        <w:t xml:space="preserve"> </w:t>
      </w:r>
      <w:r w:rsidR="002336C1">
        <w:rPr>
          <w:lang w:val="nl-BE"/>
        </w:rPr>
        <w:t>omgezet</w:t>
      </w:r>
      <w:r w:rsidR="00FA0664" w:rsidRPr="00E6515F">
        <w:rPr>
          <w:lang w:val="nl-BE"/>
        </w:rPr>
        <w:t>. De transitie gebeurde op basis van twee momentopnames, namelijk op basis van een foto van de ondersteuning op 31</w:t>
      </w:r>
      <w:r>
        <w:rPr>
          <w:lang w:val="nl-BE"/>
        </w:rPr>
        <w:t>.0</w:t>
      </w:r>
      <w:r w:rsidR="00FA0664" w:rsidRPr="00E6515F">
        <w:rPr>
          <w:lang w:val="nl-BE"/>
        </w:rPr>
        <w:t>3</w:t>
      </w:r>
      <w:r>
        <w:rPr>
          <w:lang w:val="nl-BE"/>
        </w:rPr>
        <w:t>.</w:t>
      </w:r>
      <w:r w:rsidR="00FA0664" w:rsidRPr="00E6515F">
        <w:rPr>
          <w:lang w:val="nl-BE"/>
        </w:rPr>
        <w:t>2016 en op basis van de ondersteuning op 31</w:t>
      </w:r>
      <w:r>
        <w:rPr>
          <w:lang w:val="nl-BE"/>
        </w:rPr>
        <w:t>.</w:t>
      </w:r>
      <w:r w:rsidR="00FA0664" w:rsidRPr="00E6515F">
        <w:rPr>
          <w:lang w:val="nl-BE"/>
        </w:rPr>
        <w:t>12</w:t>
      </w:r>
      <w:r>
        <w:rPr>
          <w:lang w:val="nl-BE"/>
        </w:rPr>
        <w:t>.</w:t>
      </w:r>
      <w:r w:rsidR="00FA0664" w:rsidRPr="00E6515F">
        <w:rPr>
          <w:lang w:val="nl-BE"/>
        </w:rPr>
        <w:t xml:space="preserve">2016. </w:t>
      </w:r>
      <w:r>
        <w:rPr>
          <w:lang w:val="nl-BE"/>
        </w:rPr>
        <w:t>Die gegevens</w:t>
      </w:r>
      <w:r w:rsidRPr="00E6515F">
        <w:rPr>
          <w:lang w:val="nl-BE"/>
        </w:rPr>
        <w:t xml:space="preserve"> </w:t>
      </w:r>
      <w:r w:rsidR="00FA0664" w:rsidRPr="00E6515F">
        <w:rPr>
          <w:lang w:val="nl-BE"/>
        </w:rPr>
        <w:t>werd</w:t>
      </w:r>
      <w:r>
        <w:rPr>
          <w:lang w:val="nl-BE"/>
        </w:rPr>
        <w:t>en</w:t>
      </w:r>
      <w:r w:rsidR="00FA0664" w:rsidRPr="00E6515F">
        <w:rPr>
          <w:lang w:val="nl-BE"/>
        </w:rPr>
        <w:t xml:space="preserve"> respectievelijk omgezet in een capaciteit vanaf </w:t>
      </w:r>
      <w:r>
        <w:rPr>
          <w:lang w:val="nl-BE"/>
        </w:rPr>
        <w:t>01.01.</w:t>
      </w:r>
      <w:r w:rsidR="00FA0664" w:rsidRPr="00E6515F">
        <w:rPr>
          <w:lang w:val="nl-BE"/>
        </w:rPr>
        <w:t xml:space="preserve">2017 en </w:t>
      </w:r>
      <w:r w:rsidR="00AE0490">
        <w:rPr>
          <w:lang w:val="nl-BE"/>
        </w:rPr>
        <w:t>01.01</w:t>
      </w:r>
      <w:r w:rsidR="00FA0664" w:rsidRPr="00E6515F">
        <w:rPr>
          <w:lang w:val="nl-BE"/>
        </w:rPr>
        <w:t xml:space="preserve">2018. Daarnaast konden </w:t>
      </w:r>
      <w:r>
        <w:rPr>
          <w:lang w:val="nl-BE"/>
        </w:rPr>
        <w:t>multifunctionele centra</w:t>
      </w:r>
      <w:r w:rsidRPr="00E6515F">
        <w:rPr>
          <w:lang w:val="nl-BE"/>
        </w:rPr>
        <w:t xml:space="preserve"> </w:t>
      </w:r>
      <w:r w:rsidR="00FA0664" w:rsidRPr="00E6515F">
        <w:rPr>
          <w:lang w:val="nl-BE"/>
        </w:rPr>
        <w:t xml:space="preserve">ook </w:t>
      </w:r>
      <w:r w:rsidR="00FA0664" w:rsidRPr="00E6515F">
        <w:rPr>
          <w:lang w:val="nl-BE"/>
        </w:rPr>
        <w:lastRenderedPageBreak/>
        <w:t xml:space="preserve">personeelspunten </w:t>
      </w:r>
      <w:proofErr w:type="spellStart"/>
      <w:r w:rsidR="00FA0664" w:rsidRPr="00E6515F">
        <w:rPr>
          <w:lang w:val="nl-BE"/>
        </w:rPr>
        <w:t>reconverteren</w:t>
      </w:r>
      <w:proofErr w:type="spellEnd"/>
      <w:r w:rsidR="00FA0664" w:rsidRPr="00E6515F">
        <w:rPr>
          <w:lang w:val="nl-BE"/>
        </w:rPr>
        <w:t xml:space="preserve"> naar </w:t>
      </w:r>
      <w:r w:rsidR="00DD02E4">
        <w:rPr>
          <w:lang w:val="nl-BE"/>
        </w:rPr>
        <w:t>rechtstreeks toegankelijke hulp</w:t>
      </w:r>
      <w:r w:rsidR="00FA0664" w:rsidRPr="00E6515F">
        <w:rPr>
          <w:lang w:val="nl-BE"/>
        </w:rPr>
        <w:t xml:space="preserve"> en werden er ook specifieke middelen toegevoegd in het kader van respijtzorg. </w:t>
      </w:r>
    </w:p>
    <w:p w:rsidR="00FA0664" w:rsidRPr="00E6515F" w:rsidRDefault="00FA0664" w:rsidP="00FA0664">
      <w:pPr>
        <w:pStyle w:val="Geenafstand"/>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83" w:name="_Toc536797821"/>
      <w:r w:rsidRPr="00E6515F">
        <w:rPr>
          <w:sz w:val="30"/>
          <w:szCs w:val="30"/>
          <w:lang w:val="nl-BE"/>
        </w:rPr>
        <w:t>Bijstandsorganisaties</w:t>
      </w:r>
      <w:bookmarkEnd w:id="82"/>
      <w:bookmarkEnd w:id="83"/>
    </w:p>
    <w:p w:rsidR="00CD1B8C" w:rsidRPr="00E6515F" w:rsidRDefault="002859D7">
      <w:pPr>
        <w:jc w:val="both"/>
        <w:rPr>
          <w:lang w:val="nl-BE"/>
        </w:rPr>
      </w:pPr>
      <w:r w:rsidRPr="00E6515F">
        <w:rPr>
          <w:lang w:val="nl-BE"/>
        </w:rPr>
        <w:t xml:space="preserve">Een bijstandsorganisatie helpt </w:t>
      </w:r>
      <w:r w:rsidR="00627480" w:rsidRPr="00E6515F">
        <w:rPr>
          <w:lang w:val="nl-BE"/>
        </w:rPr>
        <w:t>PVB</w:t>
      </w:r>
      <w:r w:rsidRPr="00E6515F">
        <w:rPr>
          <w:lang w:val="nl-BE"/>
        </w:rPr>
        <w:t xml:space="preserve">-budgethouders bij de opstart en het beheer van hun </w:t>
      </w:r>
      <w:r w:rsidR="00DD02E4">
        <w:rPr>
          <w:lang w:val="nl-BE"/>
        </w:rPr>
        <w:t>persoonsvolgend budget</w:t>
      </w:r>
      <w:r w:rsidRPr="00E6515F">
        <w:rPr>
          <w:lang w:val="nl-BE"/>
        </w:rPr>
        <w:t xml:space="preserve"> en de organisatie van hun ondersteuning.</w:t>
      </w:r>
    </w:p>
    <w:p w:rsidR="00C5096C" w:rsidRPr="00E6515F" w:rsidRDefault="00C5096C">
      <w:pPr>
        <w:jc w:val="both"/>
        <w:rPr>
          <w:lang w:val="nl-BE"/>
        </w:rPr>
      </w:pPr>
    </w:p>
    <w:p w:rsidR="00CD1B8C" w:rsidRPr="00E6515F" w:rsidRDefault="002859D7">
      <w:pPr>
        <w:jc w:val="both"/>
        <w:rPr>
          <w:lang w:val="nl-BE"/>
        </w:rPr>
      </w:pPr>
      <w:r w:rsidRPr="00E6515F">
        <w:rPr>
          <w:lang w:val="nl-BE"/>
        </w:rPr>
        <w:t>Een</w:t>
      </w:r>
      <w:r w:rsidR="008C2AD5" w:rsidRPr="00E6515F">
        <w:rPr>
          <w:lang w:val="nl-BE"/>
        </w:rPr>
        <w:t xml:space="preserve"> bijstandsorganisatie kan ook aan</w:t>
      </w:r>
      <w:r w:rsidRPr="00E6515F">
        <w:rPr>
          <w:lang w:val="nl-BE"/>
        </w:rPr>
        <w:t xml:space="preserve"> PAB-budgethouders advies verlenen over hun verplichtingen en activiteiten als werkgever (aanwerving van assistenten, richtlijnen van het </w:t>
      </w:r>
      <w:r w:rsidR="00627480" w:rsidRPr="00E6515F">
        <w:rPr>
          <w:lang w:val="nl-BE"/>
        </w:rPr>
        <w:t>VAPH</w:t>
      </w:r>
      <w:r w:rsidRPr="00E6515F">
        <w:rPr>
          <w:lang w:val="nl-BE"/>
        </w:rPr>
        <w:t xml:space="preserve">, overeenkomsten, reglementering </w:t>
      </w:r>
      <w:r w:rsidR="009641DC" w:rsidRPr="00E6515F">
        <w:rPr>
          <w:lang w:val="nl-BE"/>
        </w:rPr>
        <w:t>interim</w:t>
      </w:r>
      <w:r w:rsidR="00C73692">
        <w:rPr>
          <w:lang w:val="nl-BE"/>
        </w:rPr>
        <w:t>-</w:t>
      </w:r>
      <w:r w:rsidR="009641DC" w:rsidRPr="00E6515F">
        <w:rPr>
          <w:lang w:val="nl-BE"/>
        </w:rPr>
        <w:t>arbeid</w:t>
      </w:r>
      <w:r w:rsidR="00C73692">
        <w:rPr>
          <w:lang w:val="nl-BE"/>
        </w:rPr>
        <w:t xml:space="preserve"> </w:t>
      </w:r>
      <w:r w:rsidR="008C2AD5" w:rsidRPr="00E6515F">
        <w:rPr>
          <w:lang w:val="nl-BE"/>
        </w:rPr>
        <w:t>…</w:t>
      </w:r>
      <w:r w:rsidRPr="00E6515F">
        <w:rPr>
          <w:lang w:val="nl-BE"/>
        </w:rPr>
        <w:t>).</w:t>
      </w:r>
    </w:p>
    <w:p w:rsidR="00CD1B8C" w:rsidRPr="00E6515F" w:rsidRDefault="00CD1B8C">
      <w:pPr>
        <w:jc w:val="both"/>
        <w:rPr>
          <w:lang w:val="nl-BE"/>
        </w:rPr>
      </w:pPr>
    </w:p>
    <w:p w:rsidR="00CD1B8C" w:rsidRPr="00E6515F" w:rsidRDefault="008C2AD5">
      <w:pPr>
        <w:jc w:val="both"/>
        <w:rPr>
          <w:lang w:val="nl-BE"/>
        </w:rPr>
      </w:pPr>
      <w:r w:rsidRPr="00E6515F">
        <w:rPr>
          <w:lang w:val="nl-BE"/>
        </w:rPr>
        <w:t>Vanaf</w:t>
      </w:r>
      <w:r w:rsidR="002859D7" w:rsidRPr="00E6515F">
        <w:rPr>
          <w:lang w:val="nl-BE"/>
        </w:rPr>
        <w:t xml:space="preserve"> 2017 tot heden zijn er 5 bijstandsorganisaties vergund. Naast de 3 bestaande </w:t>
      </w:r>
      <w:proofErr w:type="spellStart"/>
      <w:r w:rsidR="002859D7" w:rsidRPr="00E6515F">
        <w:rPr>
          <w:lang w:val="nl-BE"/>
        </w:rPr>
        <w:t>budgethoudersvereniging</w:t>
      </w:r>
      <w:r w:rsidR="00524DA0" w:rsidRPr="00E6515F">
        <w:rPr>
          <w:lang w:val="nl-BE"/>
        </w:rPr>
        <w:t>en</w:t>
      </w:r>
      <w:proofErr w:type="spellEnd"/>
      <w:r w:rsidR="002859D7" w:rsidRPr="00E6515F">
        <w:rPr>
          <w:lang w:val="nl-BE"/>
        </w:rPr>
        <w:t xml:space="preserve"> die bij de invoering van </w:t>
      </w:r>
      <w:r w:rsidR="00C73692">
        <w:rPr>
          <w:lang w:val="nl-BE"/>
        </w:rPr>
        <w:t xml:space="preserve">de </w:t>
      </w:r>
      <w:r w:rsidR="009F5B77">
        <w:rPr>
          <w:lang w:val="nl-BE"/>
        </w:rPr>
        <w:t>persoonsvolgende financiering</w:t>
      </w:r>
      <w:r w:rsidR="002859D7" w:rsidRPr="00E6515F">
        <w:rPr>
          <w:lang w:val="nl-BE"/>
        </w:rPr>
        <w:t xml:space="preserve"> automatisch vergund werden als bijstandsorganisaties</w:t>
      </w:r>
      <w:r w:rsidR="00C73692">
        <w:rPr>
          <w:lang w:val="nl-BE"/>
        </w:rPr>
        <w:t>,</w:t>
      </w:r>
      <w:r w:rsidR="002859D7" w:rsidRPr="00E6515F">
        <w:rPr>
          <w:lang w:val="nl-BE"/>
        </w:rPr>
        <w:t xml:space="preserve"> kwamen er dus nog 2 nieuwe bijstandsorganisaties bij.</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84" w:name="_92tdxxxqfrs6" w:colFirst="0" w:colLast="0"/>
      <w:bookmarkStart w:id="85" w:name="_Toc536797822"/>
      <w:bookmarkStart w:id="86" w:name="_Toc528227905"/>
      <w:bookmarkEnd w:id="84"/>
      <w:r w:rsidRPr="00E6515F">
        <w:rPr>
          <w:sz w:val="30"/>
          <w:szCs w:val="30"/>
          <w:lang w:val="nl-BE"/>
        </w:rPr>
        <w:t xml:space="preserve">Diensten </w:t>
      </w:r>
      <w:r w:rsidR="00C73692">
        <w:rPr>
          <w:sz w:val="30"/>
          <w:szCs w:val="30"/>
          <w:lang w:val="nl-BE"/>
        </w:rPr>
        <w:t>o</w:t>
      </w:r>
      <w:r w:rsidR="00C73692" w:rsidRPr="00E6515F">
        <w:rPr>
          <w:sz w:val="30"/>
          <w:szCs w:val="30"/>
          <w:lang w:val="nl-BE"/>
        </w:rPr>
        <w:t>ndersteuningsplan</w:t>
      </w:r>
      <w:bookmarkEnd w:id="85"/>
      <w:r w:rsidR="00C73692" w:rsidRPr="00E6515F">
        <w:rPr>
          <w:sz w:val="30"/>
          <w:szCs w:val="30"/>
          <w:lang w:val="nl-BE"/>
        </w:rPr>
        <w:t xml:space="preserve"> </w:t>
      </w:r>
      <w:bookmarkEnd w:id="86"/>
    </w:p>
    <w:p w:rsidR="00CD1B8C" w:rsidRPr="00E6515F" w:rsidRDefault="002859D7">
      <w:pPr>
        <w:jc w:val="both"/>
        <w:rPr>
          <w:lang w:val="nl-BE"/>
        </w:rPr>
      </w:pPr>
      <w:r w:rsidRPr="00E6515F">
        <w:rPr>
          <w:lang w:val="nl-BE"/>
        </w:rPr>
        <w:t xml:space="preserve">Een </w:t>
      </w:r>
      <w:r w:rsidR="000C35CB">
        <w:rPr>
          <w:lang w:val="nl-BE"/>
        </w:rPr>
        <w:t>dienst ondersteuningsplan</w:t>
      </w:r>
      <w:r w:rsidRPr="00E6515F">
        <w:rPr>
          <w:lang w:val="nl-BE"/>
        </w:rPr>
        <w:t xml:space="preserve"> </w:t>
      </w:r>
      <w:r w:rsidR="00C73692">
        <w:rPr>
          <w:lang w:val="nl-BE"/>
        </w:rPr>
        <w:t xml:space="preserve">(DOP) </w:t>
      </w:r>
      <w:r w:rsidR="000E1743" w:rsidRPr="00E6515F">
        <w:rPr>
          <w:lang w:val="nl-BE"/>
        </w:rPr>
        <w:t xml:space="preserve">biedt trajectmatige ondersteuning aan de persoon met een handicap en zijn netwerk, waarbij de vraagverheldering en netwerkondersteuning centraal staan. </w:t>
      </w:r>
      <w:r w:rsidR="00C73692">
        <w:rPr>
          <w:lang w:val="nl-BE"/>
        </w:rPr>
        <w:t>Ook</w:t>
      </w:r>
      <w:r w:rsidR="00C73692" w:rsidRPr="00E6515F">
        <w:rPr>
          <w:lang w:val="nl-BE"/>
        </w:rPr>
        <w:t xml:space="preserve"> </w:t>
      </w:r>
      <w:r w:rsidR="000E1743" w:rsidRPr="00E6515F">
        <w:rPr>
          <w:lang w:val="nl-BE"/>
        </w:rPr>
        <w:t xml:space="preserve">wordt de persoon begeleid in zijn zoektocht naar de </w:t>
      </w:r>
      <w:r w:rsidRPr="00E6515F">
        <w:rPr>
          <w:lang w:val="nl-BE"/>
        </w:rPr>
        <w:t xml:space="preserve">meest geschikte ondersteuning. Als resultaat krijgt men een ondersteuningsplan (OP) dat al de mogelijkheden van de persoon met een handicap en zijn omgeving op een rijtje zet. Als uit de gesprekken met de </w:t>
      </w:r>
      <w:r w:rsidR="000C35CB">
        <w:rPr>
          <w:lang w:val="nl-BE"/>
        </w:rPr>
        <w:t>dienst ondersteuningsplan</w:t>
      </w:r>
      <w:r w:rsidRPr="00E6515F">
        <w:rPr>
          <w:lang w:val="nl-BE"/>
        </w:rPr>
        <w:t xml:space="preserve"> blijkt dat er meer intensieve en frequente </w:t>
      </w:r>
      <w:proofErr w:type="spellStart"/>
      <w:r w:rsidRPr="00E6515F">
        <w:rPr>
          <w:lang w:val="nl-BE"/>
        </w:rPr>
        <w:t>handicapspecifieke</w:t>
      </w:r>
      <w:proofErr w:type="spellEnd"/>
      <w:r w:rsidRPr="00E6515F">
        <w:rPr>
          <w:lang w:val="nl-BE"/>
        </w:rPr>
        <w:t xml:space="preserve"> ondersteuning nodig </w:t>
      </w:r>
      <w:r w:rsidR="008C2AD5" w:rsidRPr="00E6515F">
        <w:rPr>
          <w:lang w:val="nl-BE"/>
        </w:rPr>
        <w:t>is</w:t>
      </w:r>
      <w:r w:rsidRPr="00E6515F">
        <w:rPr>
          <w:lang w:val="nl-BE"/>
        </w:rPr>
        <w:t>, kan er daarvoor een persoonsvolgend budget (</w:t>
      </w:r>
      <w:r w:rsidR="00627480" w:rsidRPr="00E6515F">
        <w:rPr>
          <w:lang w:val="nl-BE"/>
        </w:rPr>
        <w:t>PVB</w:t>
      </w:r>
      <w:r w:rsidRPr="00E6515F">
        <w:rPr>
          <w:lang w:val="nl-BE"/>
        </w:rPr>
        <w:t xml:space="preserve">) </w:t>
      </w:r>
      <w:r w:rsidR="008C2AD5" w:rsidRPr="00E6515F">
        <w:rPr>
          <w:lang w:val="nl-BE"/>
        </w:rPr>
        <w:t>aangevraagd worden</w:t>
      </w:r>
      <w:r w:rsidRPr="00E6515F">
        <w:rPr>
          <w:lang w:val="nl-BE"/>
        </w:rPr>
        <w:t xml:space="preserve">. De </w:t>
      </w:r>
      <w:r w:rsidR="000C35CB">
        <w:rPr>
          <w:lang w:val="nl-BE"/>
        </w:rPr>
        <w:t>dienst ondersteuningsplan</w:t>
      </w:r>
      <w:r w:rsidRPr="00E6515F">
        <w:rPr>
          <w:lang w:val="nl-BE"/>
        </w:rPr>
        <w:t xml:space="preserve"> kan dan samen met de persoon met een handicap en zijn netwerk een </w:t>
      </w:r>
      <w:r w:rsidR="00DD02E4">
        <w:rPr>
          <w:lang w:val="nl-BE"/>
        </w:rPr>
        <w:t xml:space="preserve">ondersteuningsplan </w:t>
      </w:r>
      <w:r w:rsidR="00DD02E4" w:rsidRPr="00DD02E4">
        <w:rPr>
          <w:lang w:val="nl-BE"/>
        </w:rPr>
        <w:t>persoonsvolgend budget</w:t>
      </w:r>
      <w:r w:rsidRPr="00E6515F">
        <w:rPr>
          <w:lang w:val="nl-BE"/>
        </w:rPr>
        <w:t xml:space="preserve"> </w:t>
      </w:r>
      <w:r w:rsidR="00C73692">
        <w:rPr>
          <w:lang w:val="nl-BE"/>
        </w:rPr>
        <w:t xml:space="preserve">(OP PVB) </w:t>
      </w:r>
      <w:r w:rsidRPr="00E6515F">
        <w:rPr>
          <w:lang w:val="nl-BE"/>
        </w:rPr>
        <w:t>opstellen.</w:t>
      </w:r>
    </w:p>
    <w:p w:rsidR="00CD1B8C" w:rsidRPr="00E6515F" w:rsidRDefault="00CD1B8C">
      <w:pPr>
        <w:jc w:val="both"/>
        <w:rPr>
          <w:lang w:val="nl-BE"/>
        </w:rPr>
      </w:pPr>
    </w:p>
    <w:p w:rsidR="00CD1B8C" w:rsidRPr="00E6515F" w:rsidRDefault="002859D7">
      <w:pPr>
        <w:jc w:val="both"/>
        <w:rPr>
          <w:lang w:val="nl-BE"/>
        </w:rPr>
      </w:pPr>
      <w:r w:rsidRPr="00E6515F">
        <w:rPr>
          <w:lang w:val="nl-BE"/>
        </w:rPr>
        <w:t>Er zijn op heden 5 diensten ondersteuningsplan erkend</w:t>
      </w:r>
      <w:r w:rsidR="00C73692">
        <w:rPr>
          <w:lang w:val="nl-BE"/>
        </w:rPr>
        <w:t>, 1 per provincie. De diensten zijn</w:t>
      </w:r>
      <w:r w:rsidRPr="00E6515F">
        <w:rPr>
          <w:lang w:val="nl-BE"/>
        </w:rPr>
        <w:t xml:space="preserve"> samen voor 27.958 begeleidingen erkend. Ook voor hen werden bij de start van </w:t>
      </w:r>
      <w:r w:rsidR="00C73692">
        <w:rPr>
          <w:lang w:val="nl-BE"/>
        </w:rPr>
        <w:t xml:space="preserve">de </w:t>
      </w:r>
      <w:r w:rsidR="009F5B77">
        <w:rPr>
          <w:lang w:val="nl-BE"/>
        </w:rPr>
        <w:t>persoonsvolgende financiering</w:t>
      </w:r>
      <w:r w:rsidRPr="00E6515F">
        <w:rPr>
          <w:lang w:val="nl-BE"/>
        </w:rPr>
        <w:t xml:space="preserve"> samen met een aantal nieuwe verwachtingen ook extra middelen voorzien. </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87" w:name="_4pohg4f6hcdy" w:colFirst="0" w:colLast="0"/>
      <w:bookmarkStart w:id="88" w:name="_Toc528227906"/>
      <w:bookmarkStart w:id="89" w:name="_Toc536797823"/>
      <w:bookmarkEnd w:id="87"/>
      <w:proofErr w:type="spellStart"/>
      <w:r w:rsidRPr="00E6515F">
        <w:rPr>
          <w:sz w:val="30"/>
          <w:szCs w:val="30"/>
          <w:lang w:val="nl-BE"/>
        </w:rPr>
        <w:t>Groenezorginitiatieven</w:t>
      </w:r>
      <w:bookmarkEnd w:id="88"/>
      <w:bookmarkEnd w:id="89"/>
      <w:proofErr w:type="spellEnd"/>
    </w:p>
    <w:p w:rsidR="00CD1B8C" w:rsidRPr="00E6515F" w:rsidRDefault="002859D7" w:rsidP="009D5BE4">
      <w:pPr>
        <w:jc w:val="both"/>
        <w:rPr>
          <w:lang w:val="nl-BE"/>
        </w:rPr>
      </w:pPr>
      <w:r w:rsidRPr="00E6515F">
        <w:rPr>
          <w:lang w:val="nl-BE"/>
        </w:rPr>
        <w:t xml:space="preserve">Een </w:t>
      </w:r>
      <w:proofErr w:type="spellStart"/>
      <w:r w:rsidRPr="00E6515F">
        <w:rPr>
          <w:lang w:val="nl-BE"/>
        </w:rPr>
        <w:t>groenezorginitiatief</w:t>
      </w:r>
      <w:proofErr w:type="spellEnd"/>
      <w:r w:rsidRPr="00E6515F">
        <w:rPr>
          <w:lang w:val="nl-BE"/>
        </w:rPr>
        <w:t xml:space="preserve"> is een initiatief van een bedrijf, vereniging of particulier waarin activiteiten van land- of tuinbouwproductie of andere activiteiten die betrekking hebben op de omgang met planten of dieren, deel uitmaken van de dagactiviteiten voor mensen uit kwetsbare groepen. De activiteiten gebeuren onder begeleiding.</w:t>
      </w:r>
    </w:p>
    <w:p w:rsidR="00C5096C" w:rsidRPr="00E6515F" w:rsidRDefault="00C5096C" w:rsidP="009D5BE4">
      <w:pPr>
        <w:jc w:val="both"/>
        <w:rPr>
          <w:lang w:val="nl-BE"/>
        </w:rPr>
      </w:pPr>
    </w:p>
    <w:p w:rsidR="00CD1B8C" w:rsidRPr="00E6515F" w:rsidRDefault="002859D7" w:rsidP="009D5BE4">
      <w:pPr>
        <w:jc w:val="both"/>
        <w:rPr>
          <w:lang w:val="nl-BE"/>
        </w:rPr>
      </w:pPr>
      <w:r w:rsidRPr="00E6515F">
        <w:rPr>
          <w:lang w:val="nl-BE"/>
        </w:rPr>
        <w:t xml:space="preserve">Voorbeelden van </w:t>
      </w:r>
      <w:proofErr w:type="spellStart"/>
      <w:r w:rsidRPr="00E6515F">
        <w:rPr>
          <w:lang w:val="nl-BE"/>
        </w:rPr>
        <w:t>groenezorginitiatie</w:t>
      </w:r>
      <w:r w:rsidR="00C73692">
        <w:rPr>
          <w:lang w:val="nl-BE"/>
        </w:rPr>
        <w:t>ven</w:t>
      </w:r>
      <w:proofErr w:type="spellEnd"/>
      <w:r w:rsidRPr="00E6515F">
        <w:rPr>
          <w:lang w:val="nl-BE"/>
        </w:rPr>
        <w:t xml:space="preserve"> zijn een zorgboerderij, een dierenasiel, een dierenpension</w:t>
      </w:r>
      <w:r w:rsidR="00C73692">
        <w:rPr>
          <w:lang w:val="nl-BE"/>
        </w:rPr>
        <w:t xml:space="preserve"> en</w:t>
      </w:r>
      <w:r w:rsidR="00C73692" w:rsidRPr="00E6515F">
        <w:rPr>
          <w:lang w:val="nl-BE"/>
        </w:rPr>
        <w:t xml:space="preserve"> </w:t>
      </w:r>
      <w:r w:rsidRPr="00E6515F">
        <w:rPr>
          <w:lang w:val="nl-BE"/>
        </w:rPr>
        <w:t>een belevingshoeve.</w:t>
      </w:r>
    </w:p>
    <w:p w:rsidR="00C5096C" w:rsidRPr="00E6515F" w:rsidRDefault="00C5096C" w:rsidP="009D5BE4">
      <w:pPr>
        <w:jc w:val="both"/>
        <w:rPr>
          <w:lang w:val="nl-BE"/>
        </w:rPr>
      </w:pPr>
    </w:p>
    <w:p w:rsidR="00CD1B8C" w:rsidRPr="00E6515F" w:rsidRDefault="002859D7" w:rsidP="009D5BE4">
      <w:pPr>
        <w:jc w:val="both"/>
        <w:rPr>
          <w:lang w:val="nl-BE"/>
        </w:rPr>
      </w:pPr>
      <w:r w:rsidRPr="00E6515F">
        <w:rPr>
          <w:lang w:val="nl-BE"/>
        </w:rPr>
        <w:t xml:space="preserve">Ondersteuning door een </w:t>
      </w:r>
      <w:proofErr w:type="spellStart"/>
      <w:r w:rsidRPr="00E6515F">
        <w:rPr>
          <w:lang w:val="nl-BE"/>
        </w:rPr>
        <w:t>groenezorginitiatief</w:t>
      </w:r>
      <w:proofErr w:type="spellEnd"/>
      <w:r w:rsidRPr="00E6515F">
        <w:rPr>
          <w:lang w:val="nl-BE"/>
        </w:rPr>
        <w:t xml:space="preserve"> kan enkel betaald worden via het cash-systeem van het </w:t>
      </w:r>
      <w:r w:rsidR="00DD02E4">
        <w:rPr>
          <w:lang w:val="nl-BE"/>
        </w:rPr>
        <w:t>persoonsvolgend budget</w:t>
      </w:r>
      <w:r w:rsidRPr="00E6515F">
        <w:rPr>
          <w:lang w:val="nl-BE"/>
        </w:rPr>
        <w:t>.</w:t>
      </w:r>
    </w:p>
    <w:p w:rsidR="00CD1B8C" w:rsidRPr="00E6515F" w:rsidRDefault="00CD1B8C" w:rsidP="009D5BE4">
      <w:pPr>
        <w:jc w:val="both"/>
        <w:rPr>
          <w:lang w:val="nl-BE"/>
        </w:rPr>
      </w:pPr>
    </w:p>
    <w:p w:rsidR="00CD1B8C" w:rsidRPr="00E6515F" w:rsidRDefault="002859D7" w:rsidP="009D5BE4">
      <w:pPr>
        <w:jc w:val="both"/>
        <w:rPr>
          <w:lang w:val="nl-BE"/>
        </w:rPr>
      </w:pPr>
      <w:r w:rsidRPr="00E6515F">
        <w:rPr>
          <w:lang w:val="nl-BE"/>
        </w:rPr>
        <w:lastRenderedPageBreak/>
        <w:t xml:space="preserve">In 2017 werden er </w:t>
      </w:r>
      <w:r w:rsidR="00C73692">
        <w:rPr>
          <w:lang w:val="nl-BE"/>
        </w:rPr>
        <w:t>al</w:t>
      </w:r>
      <w:r w:rsidR="00C73692" w:rsidRPr="00E6515F">
        <w:rPr>
          <w:lang w:val="nl-BE"/>
        </w:rPr>
        <w:t xml:space="preserve"> </w:t>
      </w:r>
      <w:r w:rsidRPr="00E6515F">
        <w:rPr>
          <w:lang w:val="nl-BE"/>
        </w:rPr>
        <w:t xml:space="preserve">26 </w:t>
      </w:r>
      <w:proofErr w:type="spellStart"/>
      <w:r w:rsidRPr="00E6515F">
        <w:rPr>
          <w:lang w:val="nl-BE"/>
        </w:rPr>
        <w:t>groen</w:t>
      </w:r>
      <w:r w:rsidR="00C73692">
        <w:rPr>
          <w:lang w:val="nl-BE"/>
        </w:rPr>
        <w:t>e</w:t>
      </w:r>
      <w:r w:rsidRPr="00E6515F">
        <w:rPr>
          <w:lang w:val="nl-BE"/>
        </w:rPr>
        <w:t>zorginitiatieven</w:t>
      </w:r>
      <w:proofErr w:type="spellEnd"/>
      <w:r w:rsidRPr="00E6515F">
        <w:rPr>
          <w:lang w:val="nl-BE"/>
        </w:rPr>
        <w:t xml:space="preserve"> geregistreerd. In 2018 werden er voor 30</w:t>
      </w:r>
      <w:r w:rsidR="00C73692">
        <w:rPr>
          <w:lang w:val="nl-BE"/>
        </w:rPr>
        <w:t>.06.</w:t>
      </w:r>
      <w:r w:rsidRPr="00E6515F">
        <w:rPr>
          <w:lang w:val="nl-BE"/>
        </w:rPr>
        <w:t>2018 ook nog eens 13 extra geregistreerd.</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90" w:name="_f89iotw2d1q7" w:colFirst="0" w:colLast="0"/>
      <w:bookmarkStart w:id="91" w:name="_Toc528227907"/>
      <w:bookmarkStart w:id="92" w:name="_Toc536797824"/>
      <w:bookmarkEnd w:id="90"/>
      <w:r w:rsidRPr="00E6515F">
        <w:rPr>
          <w:sz w:val="30"/>
          <w:szCs w:val="30"/>
          <w:lang w:val="nl-BE"/>
        </w:rPr>
        <w:t>Organisaties voor vrijetijdszorg</w:t>
      </w:r>
      <w:bookmarkEnd w:id="91"/>
      <w:bookmarkEnd w:id="92"/>
    </w:p>
    <w:p w:rsidR="00CD1B8C" w:rsidRPr="00E6515F" w:rsidRDefault="002859D7">
      <w:pPr>
        <w:jc w:val="both"/>
        <w:rPr>
          <w:lang w:val="nl-BE"/>
        </w:rPr>
      </w:pPr>
      <w:r w:rsidRPr="00E6515F">
        <w:rPr>
          <w:lang w:val="nl-BE"/>
        </w:rPr>
        <w:t xml:space="preserve">Het </w:t>
      </w:r>
      <w:r w:rsidR="00627480" w:rsidRPr="00E6515F">
        <w:rPr>
          <w:lang w:val="nl-BE"/>
        </w:rPr>
        <w:t>VAPH</w:t>
      </w:r>
      <w:r w:rsidRPr="00E6515F">
        <w:rPr>
          <w:lang w:val="nl-BE"/>
        </w:rPr>
        <w:t xml:space="preserve"> erkent en subsidieert een aantal organisaties voor vrijetijdszorg. Die organisaties bieden aangepaste vrijetijdsactiviteiten aan voor personen met een handicap. Een erkenning als persoon met een handicap door het </w:t>
      </w:r>
      <w:r w:rsidR="00627480" w:rsidRPr="00E6515F">
        <w:rPr>
          <w:lang w:val="nl-BE"/>
        </w:rPr>
        <w:t>VAPH</w:t>
      </w:r>
      <w:r w:rsidRPr="00E6515F">
        <w:rPr>
          <w:lang w:val="nl-BE"/>
        </w:rPr>
        <w:t xml:space="preserve"> is niet vereist</w:t>
      </w:r>
      <w:r w:rsidR="00C73692">
        <w:rPr>
          <w:lang w:val="nl-BE"/>
        </w:rPr>
        <w:t xml:space="preserve"> om een beroep te kunnen doen op de diensten van een organisatie voor vrijetijdszorg.</w:t>
      </w:r>
    </w:p>
    <w:p w:rsidR="00C5096C" w:rsidRPr="00E6515F" w:rsidRDefault="00C5096C">
      <w:pPr>
        <w:jc w:val="both"/>
        <w:rPr>
          <w:lang w:val="nl-BE"/>
        </w:rPr>
      </w:pPr>
    </w:p>
    <w:p w:rsidR="00CD1B8C" w:rsidRPr="00E6515F" w:rsidRDefault="002859D7">
      <w:pPr>
        <w:jc w:val="both"/>
        <w:rPr>
          <w:lang w:val="nl-BE"/>
        </w:rPr>
      </w:pPr>
      <w:r w:rsidRPr="00E6515F">
        <w:rPr>
          <w:lang w:val="nl-BE"/>
        </w:rPr>
        <w:t>De meeste van de betrokken organisaties staan zelf in voor aangepaste activiteiten. Voor kinderen en jongeren gaat het onder meer om speelpleinwerking, jeugdateliers en vakantiekampen. Voor volwassenen bieden de organisaties voor vrijetijdszorg onder meer clubwerking, reizen, cultuuruitstappen, ontmoetingscafés, vorming en sport aan.</w:t>
      </w:r>
    </w:p>
    <w:p w:rsidR="00C5096C" w:rsidRPr="00E6515F" w:rsidRDefault="00C5096C">
      <w:pPr>
        <w:jc w:val="both"/>
        <w:rPr>
          <w:lang w:val="nl-BE"/>
        </w:rPr>
      </w:pPr>
    </w:p>
    <w:p w:rsidR="00CD1B8C" w:rsidRPr="00E6515F" w:rsidRDefault="002859D7">
      <w:pPr>
        <w:jc w:val="both"/>
        <w:rPr>
          <w:lang w:val="nl-BE"/>
        </w:rPr>
      </w:pPr>
      <w:r w:rsidRPr="00E6515F">
        <w:rPr>
          <w:lang w:val="nl-BE"/>
        </w:rPr>
        <w:t>Een aantal organisaties legt eerder de nadruk op vrijetijdsbemiddeling: zij stimuleren en begeleiden de personen met een handicap in hun zoektocht naar een geschikte, gewone vrijetijdsorganisatie die zich niet specifiek tot personen met een handicap richt.</w:t>
      </w:r>
    </w:p>
    <w:p w:rsidR="00CD1B8C" w:rsidRPr="00E6515F" w:rsidRDefault="00CD1B8C">
      <w:pPr>
        <w:jc w:val="both"/>
        <w:rPr>
          <w:lang w:val="nl-BE"/>
        </w:rPr>
      </w:pPr>
    </w:p>
    <w:p w:rsidR="00CD1B8C" w:rsidRPr="00E6515F" w:rsidRDefault="002859D7">
      <w:pPr>
        <w:jc w:val="both"/>
        <w:rPr>
          <w:lang w:val="nl-BE"/>
        </w:rPr>
      </w:pPr>
      <w:r w:rsidRPr="00E6515F">
        <w:rPr>
          <w:lang w:val="nl-BE"/>
        </w:rPr>
        <w:t>In Vlaanderen zijn er 20 organisaties actief in het kader van deze vrijetijdsondersteuning voor kinderen en volwassenen met een handicap.</w:t>
      </w:r>
      <w:r w:rsidRPr="00E6515F">
        <w:rPr>
          <w:rFonts w:ascii="Arial" w:eastAsia="Arial" w:hAnsi="Arial" w:cs="Arial"/>
          <w:color w:val="222222"/>
          <w:sz w:val="24"/>
          <w:szCs w:val="24"/>
          <w:lang w:val="nl-BE"/>
        </w:rPr>
        <w:t xml:space="preserve"> </w:t>
      </w:r>
      <w:r w:rsidRPr="00E6515F">
        <w:rPr>
          <w:lang w:val="nl-BE"/>
        </w:rPr>
        <w:t>Die organisaties boden in 2017 aan 6.284 cliënten vrijetijdsactiviteiten aan.</w:t>
      </w:r>
    </w:p>
    <w:p w:rsidR="00CD1B8C" w:rsidRPr="00E6515F" w:rsidRDefault="00CD1B8C">
      <w:pPr>
        <w:rPr>
          <w:lang w:val="nl-BE"/>
        </w:rPr>
      </w:pPr>
    </w:p>
    <w:p w:rsidR="00CD1B8C" w:rsidRPr="00E6515F" w:rsidRDefault="00C73692" w:rsidP="008834AD">
      <w:pPr>
        <w:pStyle w:val="Kop1"/>
        <w:widowControl w:val="0"/>
        <w:numPr>
          <w:ilvl w:val="2"/>
          <w:numId w:val="1"/>
        </w:numPr>
        <w:pBdr>
          <w:top w:val="nil"/>
          <w:left w:val="nil"/>
          <w:bottom w:val="nil"/>
          <w:right w:val="nil"/>
          <w:between w:val="nil"/>
        </w:pBdr>
        <w:rPr>
          <w:sz w:val="30"/>
          <w:szCs w:val="30"/>
          <w:lang w:val="nl-BE"/>
        </w:rPr>
      </w:pPr>
      <w:bookmarkStart w:id="93" w:name="_4zrrf8fbscf5" w:colFirst="0" w:colLast="0"/>
      <w:bookmarkStart w:id="94" w:name="_Toc528227908"/>
      <w:bookmarkStart w:id="95" w:name="_Toc536797825"/>
      <w:bookmarkEnd w:id="93"/>
      <w:r w:rsidRPr="00E6515F">
        <w:rPr>
          <w:sz w:val="30"/>
          <w:szCs w:val="30"/>
          <w:lang w:val="nl-BE"/>
        </w:rPr>
        <w:t>Centr</w:t>
      </w:r>
      <w:r>
        <w:rPr>
          <w:sz w:val="30"/>
          <w:szCs w:val="30"/>
          <w:lang w:val="nl-BE"/>
        </w:rPr>
        <w:t>a</w:t>
      </w:r>
      <w:r w:rsidRPr="00E6515F">
        <w:rPr>
          <w:sz w:val="30"/>
          <w:szCs w:val="30"/>
          <w:lang w:val="nl-BE"/>
        </w:rPr>
        <w:t xml:space="preserve"> </w:t>
      </w:r>
      <w:r w:rsidR="002859D7" w:rsidRPr="00E6515F">
        <w:rPr>
          <w:sz w:val="30"/>
          <w:szCs w:val="30"/>
          <w:lang w:val="nl-BE"/>
        </w:rPr>
        <w:t>voor ontwikkelingsstoornissen</w:t>
      </w:r>
      <w:bookmarkEnd w:id="94"/>
      <w:bookmarkEnd w:id="95"/>
    </w:p>
    <w:p w:rsidR="00CD1B8C" w:rsidRPr="00E6515F" w:rsidRDefault="002859D7">
      <w:pPr>
        <w:jc w:val="both"/>
        <w:rPr>
          <w:lang w:val="nl-BE"/>
        </w:rPr>
      </w:pPr>
      <w:r w:rsidRPr="00E6515F">
        <w:rPr>
          <w:lang w:val="nl-BE"/>
        </w:rPr>
        <w:t xml:space="preserve">Een centrum voor ontwikkelingsstoornissen </w:t>
      </w:r>
      <w:r w:rsidR="00C73692">
        <w:rPr>
          <w:lang w:val="nl-BE"/>
        </w:rPr>
        <w:t xml:space="preserve">(COS) </w:t>
      </w:r>
      <w:r w:rsidRPr="00E6515F">
        <w:rPr>
          <w:lang w:val="nl-BE"/>
        </w:rPr>
        <w:t xml:space="preserve">richt zich vooral tot jonge kinderen met een risico of vermoeden van een probleem tijdens de ontwikkeling. In het centrum </w:t>
      </w:r>
      <w:r w:rsidR="00C73692">
        <w:rPr>
          <w:lang w:val="nl-BE"/>
        </w:rPr>
        <w:t>kan men</w:t>
      </w:r>
      <w:r w:rsidRPr="00E6515F">
        <w:rPr>
          <w:lang w:val="nl-BE"/>
        </w:rPr>
        <w:t xml:space="preserve"> terecht voor een diagnose waarbij de graad en ernst van de handicap vastgesteld </w:t>
      </w:r>
      <w:r w:rsidR="00C73692">
        <w:rPr>
          <w:lang w:val="nl-BE"/>
        </w:rPr>
        <w:t>worden</w:t>
      </w:r>
      <w:r w:rsidRPr="00E6515F">
        <w:rPr>
          <w:lang w:val="nl-BE"/>
        </w:rPr>
        <w:t xml:space="preserve">. </w:t>
      </w:r>
      <w:r w:rsidR="00C73692">
        <w:rPr>
          <w:lang w:val="nl-BE"/>
        </w:rPr>
        <w:t xml:space="preserve">Ook </w:t>
      </w:r>
      <w:r w:rsidRPr="00E6515F">
        <w:rPr>
          <w:lang w:val="nl-BE"/>
        </w:rPr>
        <w:t>bijkomende moeilijkheden</w:t>
      </w:r>
      <w:r w:rsidR="00C73692">
        <w:rPr>
          <w:lang w:val="nl-BE"/>
        </w:rPr>
        <w:t xml:space="preserve"> kunnen er opgespoord worden</w:t>
      </w:r>
      <w:r w:rsidRPr="00E6515F">
        <w:rPr>
          <w:lang w:val="nl-BE"/>
        </w:rPr>
        <w:t xml:space="preserve">. Het centrum geeft advies over hulpmiddelen, verdere begeleiding of behandeling en verwijst </w:t>
      </w:r>
      <w:r w:rsidR="00C73692">
        <w:rPr>
          <w:lang w:val="nl-BE"/>
        </w:rPr>
        <w:t>mensen</w:t>
      </w:r>
      <w:r w:rsidR="00C73692" w:rsidRPr="00E6515F">
        <w:rPr>
          <w:lang w:val="nl-BE"/>
        </w:rPr>
        <w:t xml:space="preserve"> </w:t>
      </w:r>
      <w:r w:rsidRPr="00E6515F">
        <w:rPr>
          <w:lang w:val="nl-BE"/>
        </w:rPr>
        <w:t>naar diensten en organisaties die die ondersteuning kunnen bieden.</w:t>
      </w:r>
    </w:p>
    <w:p w:rsidR="00C5096C" w:rsidRPr="00E6515F" w:rsidRDefault="00C5096C">
      <w:pPr>
        <w:jc w:val="both"/>
        <w:rPr>
          <w:lang w:val="nl-BE"/>
        </w:rPr>
      </w:pPr>
    </w:p>
    <w:p w:rsidR="00CD1B8C" w:rsidRPr="00E6515F" w:rsidRDefault="002859D7">
      <w:pPr>
        <w:jc w:val="both"/>
        <w:rPr>
          <w:lang w:val="nl-BE"/>
        </w:rPr>
      </w:pPr>
      <w:r w:rsidRPr="00E6515F">
        <w:rPr>
          <w:lang w:val="nl-BE"/>
        </w:rPr>
        <w:t>In Vlaanderen zijn er vier diensten erkend, elk verbonden aan de universitaire ziekenhuizen van respectievelijk Antwerpen, Brussel, Leuven en Gent.</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96" w:name="_adjhp5k6x1jh" w:colFirst="0" w:colLast="0"/>
      <w:bookmarkStart w:id="97" w:name="_Toc528227909"/>
      <w:bookmarkStart w:id="98" w:name="_Toc536797826"/>
      <w:bookmarkEnd w:id="96"/>
      <w:r w:rsidRPr="00E6515F">
        <w:rPr>
          <w:sz w:val="30"/>
          <w:szCs w:val="30"/>
          <w:lang w:val="nl-BE"/>
        </w:rPr>
        <w:t>M</w:t>
      </w:r>
      <w:bookmarkEnd w:id="97"/>
      <w:r w:rsidR="009845F3" w:rsidRPr="00E6515F">
        <w:rPr>
          <w:sz w:val="30"/>
          <w:szCs w:val="30"/>
          <w:lang w:val="nl-BE"/>
        </w:rPr>
        <w:t>ultidisciplinaire teams</w:t>
      </w:r>
      <w:bookmarkEnd w:id="98"/>
    </w:p>
    <w:p w:rsidR="0004496E" w:rsidRPr="00E6515F" w:rsidRDefault="00AE09F9" w:rsidP="0004496E">
      <w:pPr>
        <w:jc w:val="both"/>
        <w:rPr>
          <w:lang w:val="nl-BE"/>
        </w:rPr>
      </w:pPr>
      <w:r w:rsidRPr="00E6515F">
        <w:rPr>
          <w:lang w:val="nl-BE"/>
        </w:rPr>
        <w:t>Een multidisciplinair team is een dienst die personen met een (vermoeden van) handicap bijstaat bij de aanvraag voor ondersteuning bij het VAPH.</w:t>
      </w:r>
      <w:r w:rsidR="006F0C4B" w:rsidRPr="00E6515F">
        <w:rPr>
          <w:lang w:val="nl-BE"/>
        </w:rPr>
        <w:t xml:space="preserve"> </w:t>
      </w:r>
      <w:r w:rsidR="007A53BD" w:rsidRPr="00E6515F">
        <w:rPr>
          <w:lang w:val="nl-BE"/>
        </w:rPr>
        <w:t>Zij maken multidisciplinaire verslagen op</w:t>
      </w:r>
      <w:r w:rsidR="00C73692">
        <w:rPr>
          <w:lang w:val="nl-BE"/>
        </w:rPr>
        <w:t>,</w:t>
      </w:r>
      <w:r w:rsidR="007A53BD" w:rsidRPr="00E6515F">
        <w:rPr>
          <w:lang w:val="nl-BE"/>
        </w:rPr>
        <w:t xml:space="preserve"> zowel in het kader van</w:t>
      </w:r>
      <w:r w:rsidR="00C73692">
        <w:rPr>
          <w:lang w:val="nl-BE"/>
        </w:rPr>
        <w:t xml:space="preserve"> de aanvraag van een tegemoetkoming voor</w:t>
      </w:r>
      <w:r w:rsidR="007A53BD" w:rsidRPr="00E6515F">
        <w:rPr>
          <w:lang w:val="nl-BE"/>
        </w:rPr>
        <w:t xml:space="preserve"> hulpmiddelen </w:t>
      </w:r>
      <w:r w:rsidR="00C73692">
        <w:rPr>
          <w:lang w:val="nl-BE"/>
        </w:rPr>
        <w:t xml:space="preserve">en aanpassingen </w:t>
      </w:r>
      <w:r w:rsidR="007A53BD" w:rsidRPr="00E6515F">
        <w:rPr>
          <w:lang w:val="nl-BE"/>
        </w:rPr>
        <w:t xml:space="preserve">als voor de aanvraag van een </w:t>
      </w:r>
      <w:r w:rsidR="00DD02E4">
        <w:rPr>
          <w:lang w:val="nl-BE"/>
        </w:rPr>
        <w:t>persoonsvolgend budget</w:t>
      </w:r>
      <w:r w:rsidR="007A53BD" w:rsidRPr="00E6515F">
        <w:rPr>
          <w:lang w:val="nl-BE"/>
        </w:rPr>
        <w:t xml:space="preserve">. </w:t>
      </w:r>
      <w:r w:rsidR="00CB4395" w:rsidRPr="00E6515F">
        <w:rPr>
          <w:lang w:val="nl-BE"/>
        </w:rPr>
        <w:t xml:space="preserve"> In het kader van de aanvraag van een </w:t>
      </w:r>
      <w:r w:rsidR="00DD02E4">
        <w:rPr>
          <w:lang w:val="nl-BE"/>
        </w:rPr>
        <w:t>persoonsvolgend budget</w:t>
      </w:r>
      <w:r w:rsidR="00CB4395" w:rsidRPr="00E6515F">
        <w:rPr>
          <w:lang w:val="nl-BE"/>
        </w:rPr>
        <w:t xml:space="preserve"> bijvoorbeeld zorgen zij voor een volledig verslag waarbij op een geobjectiveerde wijze alle noden van de aan</w:t>
      </w:r>
      <w:r w:rsidR="00423A31" w:rsidRPr="00E6515F">
        <w:rPr>
          <w:lang w:val="nl-BE"/>
        </w:rPr>
        <w:t xml:space="preserve">vrager in kaart worden gebracht. Ze kunnen ook instaan voor de opmaak van een </w:t>
      </w:r>
      <w:r w:rsidR="00C73692">
        <w:rPr>
          <w:lang w:val="nl-BE"/>
        </w:rPr>
        <w:t xml:space="preserve">zorgzwaarte-instrument (ZZI), </w:t>
      </w:r>
      <w:r w:rsidR="00423A31" w:rsidRPr="00E6515F">
        <w:rPr>
          <w:lang w:val="nl-BE"/>
        </w:rPr>
        <w:t>stellen</w:t>
      </w:r>
      <w:r w:rsidR="00CB4395" w:rsidRPr="00E6515F">
        <w:rPr>
          <w:lang w:val="nl-BE"/>
        </w:rPr>
        <w:t xml:space="preserve"> op basis daarvan een budgetcategorie voor en </w:t>
      </w:r>
      <w:r w:rsidR="00423A31" w:rsidRPr="00E6515F">
        <w:rPr>
          <w:lang w:val="nl-BE"/>
        </w:rPr>
        <w:t xml:space="preserve">maken een checklist prioritering op. </w:t>
      </w:r>
      <w:r w:rsidR="0004496E" w:rsidRPr="00E6515F">
        <w:rPr>
          <w:lang w:val="nl-BE"/>
        </w:rPr>
        <w:t xml:space="preserve">Op dit moment zijn er 105 </w:t>
      </w:r>
      <w:r w:rsidR="006F0C4B" w:rsidRPr="00E6515F">
        <w:rPr>
          <w:lang w:val="nl-BE"/>
        </w:rPr>
        <w:t>multidisciplinaire</w:t>
      </w:r>
      <w:r w:rsidR="0004496E" w:rsidRPr="00E6515F">
        <w:rPr>
          <w:lang w:val="nl-BE"/>
        </w:rPr>
        <w:t xml:space="preserve"> teams erkend door het VAPH.</w:t>
      </w:r>
    </w:p>
    <w:p w:rsidR="00CD1B8C" w:rsidRPr="00E6515F" w:rsidRDefault="00CD1B8C">
      <w:pPr>
        <w:rPr>
          <w:lang w:val="nl-BE"/>
        </w:rPr>
      </w:pPr>
    </w:p>
    <w:p w:rsidR="00CD1B8C" w:rsidRPr="00E6515F" w:rsidRDefault="002859D7" w:rsidP="008834AD">
      <w:pPr>
        <w:pStyle w:val="Kop1"/>
        <w:widowControl w:val="0"/>
        <w:numPr>
          <w:ilvl w:val="2"/>
          <w:numId w:val="1"/>
        </w:numPr>
        <w:pBdr>
          <w:top w:val="nil"/>
          <w:left w:val="nil"/>
          <w:bottom w:val="nil"/>
          <w:right w:val="nil"/>
          <w:between w:val="nil"/>
        </w:pBdr>
        <w:rPr>
          <w:sz w:val="30"/>
          <w:szCs w:val="30"/>
          <w:lang w:val="nl-BE"/>
        </w:rPr>
      </w:pPr>
      <w:bookmarkStart w:id="99" w:name="_Toc528227910"/>
      <w:bookmarkStart w:id="100" w:name="_Toc536797827"/>
      <w:r w:rsidRPr="00E6515F">
        <w:rPr>
          <w:sz w:val="30"/>
          <w:szCs w:val="30"/>
          <w:lang w:val="nl-BE"/>
        </w:rPr>
        <w:t>Consulentenwerking</w:t>
      </w:r>
      <w:bookmarkEnd w:id="99"/>
      <w:r w:rsidR="00C73692">
        <w:rPr>
          <w:sz w:val="30"/>
          <w:szCs w:val="30"/>
          <w:lang w:val="nl-BE"/>
        </w:rPr>
        <w:t>en</w:t>
      </w:r>
      <w:bookmarkEnd w:id="100"/>
    </w:p>
    <w:p w:rsidR="006C69CE" w:rsidRPr="00E6515F" w:rsidRDefault="006C69CE" w:rsidP="006C69CE">
      <w:pPr>
        <w:jc w:val="both"/>
        <w:rPr>
          <w:lang w:val="nl-BE"/>
        </w:rPr>
      </w:pPr>
      <w:r w:rsidRPr="00E6515F">
        <w:rPr>
          <w:lang w:val="nl-BE"/>
        </w:rPr>
        <w:t xml:space="preserve">De opdracht van de consulentenwerking is tweeledig. Enerzijds </w:t>
      </w:r>
      <w:r w:rsidR="00C73692" w:rsidRPr="00E6515F">
        <w:rPr>
          <w:lang w:val="nl-BE"/>
        </w:rPr>
        <w:t>ondersteun</w:t>
      </w:r>
      <w:r w:rsidR="00C73692">
        <w:rPr>
          <w:lang w:val="nl-BE"/>
        </w:rPr>
        <w:t>en</w:t>
      </w:r>
      <w:r w:rsidR="00C73692" w:rsidRPr="00E6515F">
        <w:rPr>
          <w:lang w:val="nl-BE"/>
        </w:rPr>
        <w:t xml:space="preserve"> </w:t>
      </w:r>
      <w:r w:rsidRPr="00E6515F">
        <w:rPr>
          <w:lang w:val="nl-BE"/>
        </w:rPr>
        <w:t>de consulentenwerking</w:t>
      </w:r>
      <w:r w:rsidR="00C73692">
        <w:rPr>
          <w:lang w:val="nl-BE"/>
        </w:rPr>
        <w:t>en</w:t>
      </w:r>
      <w:r w:rsidRPr="00E6515F">
        <w:rPr>
          <w:lang w:val="nl-BE"/>
        </w:rPr>
        <w:t xml:space="preserve"> personen met een handicap met bijkomende psychische problemen via mobiele en ambulante ondersteuning. Anderzijds spelen ze een rol in de intensieve bemiddeling </w:t>
      </w:r>
      <w:r w:rsidR="00254682" w:rsidRPr="00E6515F">
        <w:rPr>
          <w:lang w:val="nl-BE"/>
        </w:rPr>
        <w:t xml:space="preserve">voor mensen met een </w:t>
      </w:r>
      <w:r w:rsidR="00DD02E4">
        <w:rPr>
          <w:lang w:val="nl-BE"/>
        </w:rPr>
        <w:t>persoonsvolgend budget</w:t>
      </w:r>
      <w:r w:rsidR="00254682" w:rsidRPr="00E6515F">
        <w:rPr>
          <w:lang w:val="nl-BE"/>
        </w:rPr>
        <w:t xml:space="preserve"> die ondanks de nodige inspanningen niet de gepaste ondersteuning vinden</w:t>
      </w:r>
      <w:r w:rsidRPr="00E6515F">
        <w:rPr>
          <w:lang w:val="nl-BE"/>
        </w:rPr>
        <w:t>.</w:t>
      </w:r>
    </w:p>
    <w:p w:rsidR="00DD14B6" w:rsidRPr="00E6515F" w:rsidRDefault="00DD14B6" w:rsidP="006C69CE">
      <w:pPr>
        <w:jc w:val="both"/>
        <w:rPr>
          <w:lang w:val="nl-BE"/>
        </w:rPr>
      </w:pPr>
    </w:p>
    <w:p w:rsidR="00CD1B8C" w:rsidRPr="00E6515F" w:rsidRDefault="006C69CE" w:rsidP="006C69CE">
      <w:pPr>
        <w:jc w:val="both"/>
        <w:rPr>
          <w:lang w:val="nl-BE"/>
        </w:rPr>
      </w:pPr>
      <w:r w:rsidRPr="00E6515F">
        <w:rPr>
          <w:lang w:val="nl-BE"/>
        </w:rPr>
        <w:t xml:space="preserve">In </w:t>
      </w:r>
      <w:r w:rsidR="000B5957" w:rsidRPr="00E6515F">
        <w:rPr>
          <w:lang w:val="nl-BE"/>
        </w:rPr>
        <w:t>elke</w:t>
      </w:r>
      <w:r w:rsidRPr="00E6515F">
        <w:rPr>
          <w:lang w:val="nl-BE"/>
        </w:rPr>
        <w:t xml:space="preserve"> </w:t>
      </w:r>
      <w:r w:rsidR="00254682" w:rsidRPr="00E6515F">
        <w:rPr>
          <w:lang w:val="nl-BE"/>
        </w:rPr>
        <w:t xml:space="preserve">Vlaamse </w:t>
      </w:r>
      <w:r w:rsidR="000B5957" w:rsidRPr="00E6515F">
        <w:rPr>
          <w:lang w:val="nl-BE"/>
        </w:rPr>
        <w:t>provincie</w:t>
      </w:r>
      <w:r w:rsidRPr="00E6515F">
        <w:rPr>
          <w:lang w:val="nl-BE"/>
        </w:rPr>
        <w:t xml:space="preserve"> </w:t>
      </w:r>
      <w:r w:rsidR="00254682" w:rsidRPr="00E6515F">
        <w:rPr>
          <w:lang w:val="nl-BE"/>
        </w:rPr>
        <w:t xml:space="preserve">is </w:t>
      </w:r>
      <w:r w:rsidRPr="00E6515F">
        <w:rPr>
          <w:lang w:val="nl-BE"/>
        </w:rPr>
        <w:t xml:space="preserve">er </w:t>
      </w:r>
      <w:r w:rsidR="00254682" w:rsidRPr="00E6515F">
        <w:rPr>
          <w:lang w:val="nl-BE"/>
        </w:rPr>
        <w:t xml:space="preserve">een opdrachthouder </w:t>
      </w:r>
      <w:r w:rsidRPr="00E6515F">
        <w:rPr>
          <w:lang w:val="nl-BE"/>
        </w:rPr>
        <w:t>consulentenwerking actief</w:t>
      </w:r>
      <w:r w:rsidR="00254682" w:rsidRPr="00E6515F">
        <w:rPr>
          <w:lang w:val="nl-BE"/>
        </w:rPr>
        <w:t xml:space="preserve">. De consulentenwerking </w:t>
      </w:r>
      <w:r w:rsidR="00C73692">
        <w:rPr>
          <w:lang w:val="nl-BE"/>
        </w:rPr>
        <w:t xml:space="preserve">voor </w:t>
      </w:r>
      <w:r w:rsidR="00254682" w:rsidRPr="00E6515F">
        <w:rPr>
          <w:lang w:val="nl-BE"/>
        </w:rPr>
        <w:t>Vlaams</w:t>
      </w:r>
      <w:r w:rsidR="00C73692">
        <w:rPr>
          <w:lang w:val="nl-BE"/>
        </w:rPr>
        <w:t>-</w:t>
      </w:r>
      <w:r w:rsidR="00254682" w:rsidRPr="00E6515F">
        <w:rPr>
          <w:lang w:val="nl-BE"/>
        </w:rPr>
        <w:t xml:space="preserve">Brabant is ook actief in het Brussels Hoofdstedelijk Gewest. </w:t>
      </w:r>
      <w:r w:rsidR="00C73692">
        <w:rPr>
          <w:lang w:val="nl-BE"/>
        </w:rPr>
        <w:t>Consulentenwerkingen</w:t>
      </w:r>
      <w:r w:rsidR="00C73692" w:rsidRPr="00E6515F">
        <w:rPr>
          <w:lang w:val="nl-BE"/>
        </w:rPr>
        <w:t xml:space="preserve"> </w:t>
      </w:r>
      <w:r w:rsidR="00254682" w:rsidRPr="00E6515F">
        <w:rPr>
          <w:lang w:val="nl-BE"/>
        </w:rPr>
        <w:t xml:space="preserve">vormen </w:t>
      </w:r>
      <w:r w:rsidR="00524DA0" w:rsidRPr="00E6515F">
        <w:rPr>
          <w:lang w:val="nl-BE"/>
        </w:rPr>
        <w:t>een brug</w:t>
      </w:r>
      <w:r w:rsidRPr="00E6515F">
        <w:rPr>
          <w:lang w:val="nl-BE"/>
        </w:rPr>
        <w:t xml:space="preserve"> tussen de zorg voor mensen met een handicap en de geestelijke gezondheidszorg van de betrokkene. Er wordt gestart met een </w:t>
      </w:r>
      <w:r w:rsidR="00DD14B6" w:rsidRPr="00E6515F">
        <w:rPr>
          <w:lang w:val="nl-BE"/>
        </w:rPr>
        <w:t>diagnostische-</w:t>
      </w:r>
      <w:r w:rsidR="00C73692">
        <w:rPr>
          <w:lang w:val="nl-BE"/>
        </w:rPr>
        <w:t xml:space="preserve"> of</w:t>
      </w:r>
      <w:r w:rsidR="00DD14B6" w:rsidRPr="00E6515F">
        <w:rPr>
          <w:lang w:val="nl-BE"/>
        </w:rPr>
        <w:t xml:space="preserve"> </w:t>
      </w:r>
      <w:r w:rsidRPr="00E6515F">
        <w:rPr>
          <w:lang w:val="nl-BE"/>
        </w:rPr>
        <w:t xml:space="preserve">beeldvormingsfase. Op die manier wordt in kaart gebracht met welke problemen de persoon in aanraking komt. Vervolgens wordt in overleg met heel wat andere zorgverleners bekeken welke ondersteuning </w:t>
      </w:r>
      <w:r w:rsidR="004733C7">
        <w:rPr>
          <w:lang w:val="nl-BE"/>
        </w:rPr>
        <w:t xml:space="preserve">het </w:t>
      </w:r>
      <w:r w:rsidRPr="00E6515F">
        <w:rPr>
          <w:lang w:val="nl-BE"/>
        </w:rPr>
        <w:t xml:space="preserve">best voorzien kan worden. </w:t>
      </w:r>
      <w:r w:rsidR="004733C7">
        <w:rPr>
          <w:lang w:val="nl-BE"/>
        </w:rPr>
        <w:t>Als</w:t>
      </w:r>
      <w:r w:rsidR="004733C7" w:rsidRPr="00E6515F">
        <w:rPr>
          <w:lang w:val="nl-BE"/>
        </w:rPr>
        <w:t xml:space="preserve"> </w:t>
      </w:r>
      <w:r w:rsidRPr="00E6515F">
        <w:rPr>
          <w:lang w:val="nl-BE"/>
        </w:rPr>
        <w:t xml:space="preserve">de situatie helemaal is vastgelopen en begeleiding aan huis onmogelijk is geworden, kan de betrokkene doorverwezen worden naar de </w:t>
      </w:r>
      <w:r w:rsidR="004733C7">
        <w:rPr>
          <w:lang w:val="nl-BE"/>
        </w:rPr>
        <w:t>observatie, diagnose- en behandelings</w:t>
      </w:r>
      <w:r w:rsidRPr="00E6515F">
        <w:rPr>
          <w:lang w:val="nl-BE"/>
        </w:rPr>
        <w:t>units</w:t>
      </w:r>
      <w:r w:rsidR="004733C7">
        <w:rPr>
          <w:lang w:val="nl-BE"/>
        </w:rPr>
        <w:t xml:space="preserve"> (ODB-units)</w:t>
      </w:r>
      <w:r w:rsidRPr="00E6515F">
        <w:rPr>
          <w:lang w:val="nl-BE"/>
        </w:rPr>
        <w:t xml:space="preserve"> of naar de geestelijke gezondheidszorg. </w:t>
      </w:r>
      <w:r w:rsidR="004733C7">
        <w:rPr>
          <w:lang w:val="nl-BE"/>
        </w:rPr>
        <w:t>Als</w:t>
      </w:r>
      <w:r w:rsidR="004733C7" w:rsidRPr="00E6515F">
        <w:rPr>
          <w:lang w:val="nl-BE"/>
        </w:rPr>
        <w:t xml:space="preserve"> </w:t>
      </w:r>
      <w:r w:rsidRPr="00E6515F">
        <w:rPr>
          <w:lang w:val="nl-BE"/>
        </w:rPr>
        <w:t>er wel nog mogelijkheden zijn, wordt gekozen om mobiel aan de slag te gaan en kan een traject door de consulentenwerking opgestart worden.</w:t>
      </w:r>
    </w:p>
    <w:p w:rsidR="00DD14B6" w:rsidRPr="00E6515F" w:rsidRDefault="00DD14B6" w:rsidP="006C69CE">
      <w:pPr>
        <w:jc w:val="both"/>
        <w:rPr>
          <w:lang w:val="nl-BE"/>
        </w:rPr>
      </w:pPr>
    </w:p>
    <w:p w:rsidR="004733C7" w:rsidRDefault="00DD14B6" w:rsidP="006C69CE">
      <w:pPr>
        <w:jc w:val="both"/>
        <w:rPr>
          <w:lang w:val="nl-BE"/>
        </w:rPr>
      </w:pPr>
      <w:r w:rsidRPr="00E6515F">
        <w:rPr>
          <w:lang w:val="nl-BE"/>
        </w:rPr>
        <w:t xml:space="preserve">In het systeem van persoonsvolgende financiering is het mogelijk dat mensen ondanks hun terbeschikkingstelling moeilijkheden ondervinden bij het vinden van de gepaste ondersteuning. Het gaat vaak </w:t>
      </w:r>
      <w:r w:rsidR="004733C7">
        <w:rPr>
          <w:lang w:val="nl-BE"/>
        </w:rPr>
        <w:t>om</w:t>
      </w:r>
      <w:r w:rsidR="004733C7" w:rsidRPr="00E6515F">
        <w:rPr>
          <w:lang w:val="nl-BE"/>
        </w:rPr>
        <w:t xml:space="preserve"> </w:t>
      </w:r>
      <w:r w:rsidRPr="00E6515F">
        <w:rPr>
          <w:lang w:val="nl-BE"/>
        </w:rPr>
        <w:t xml:space="preserve">personen met een complexe, meervoudige problematiek waarvoor een intensieve, vasthoudende bemiddeling nodig is die niet stopt als er een oplossing is gevonden. Intensieve bemiddeling is mogelijk onder de vorm van casemanagement en onder </w:t>
      </w:r>
      <w:r w:rsidR="004733C7">
        <w:rPr>
          <w:lang w:val="nl-BE"/>
        </w:rPr>
        <w:t xml:space="preserve">de </w:t>
      </w:r>
      <w:r w:rsidRPr="00E6515F">
        <w:rPr>
          <w:lang w:val="nl-BE"/>
        </w:rPr>
        <w:t>vorm van collectieve bemiddeling.</w:t>
      </w:r>
    </w:p>
    <w:p w:rsidR="004733C7" w:rsidRDefault="004733C7" w:rsidP="006C69CE">
      <w:pPr>
        <w:jc w:val="both"/>
        <w:rPr>
          <w:lang w:val="nl-BE"/>
        </w:rPr>
      </w:pPr>
    </w:p>
    <w:p w:rsidR="004733C7" w:rsidRDefault="00DD14B6" w:rsidP="006C69CE">
      <w:pPr>
        <w:jc w:val="both"/>
        <w:rPr>
          <w:lang w:val="nl-BE"/>
        </w:rPr>
      </w:pPr>
      <w:r w:rsidRPr="00E6515F">
        <w:rPr>
          <w:lang w:val="nl-BE"/>
        </w:rPr>
        <w:t xml:space="preserve">Collectieve bemiddeling brengt partners rond de tafel om op zoek te gaan naar geschikte oplossingen. </w:t>
      </w:r>
      <w:r w:rsidR="004733C7" w:rsidRPr="00E6515F">
        <w:rPr>
          <w:lang w:val="nl-BE"/>
        </w:rPr>
        <w:t>D</w:t>
      </w:r>
      <w:r w:rsidR="004733C7">
        <w:rPr>
          <w:lang w:val="nl-BE"/>
        </w:rPr>
        <w:t>a</w:t>
      </w:r>
      <w:r w:rsidR="004733C7" w:rsidRPr="00E6515F">
        <w:rPr>
          <w:lang w:val="nl-BE"/>
        </w:rPr>
        <w:t xml:space="preserve">t </w:t>
      </w:r>
      <w:r w:rsidRPr="00E6515F">
        <w:rPr>
          <w:lang w:val="nl-BE"/>
        </w:rPr>
        <w:t xml:space="preserve">is </w:t>
      </w:r>
      <w:r w:rsidR="00147850" w:rsidRPr="00E6515F">
        <w:rPr>
          <w:lang w:val="nl-BE"/>
        </w:rPr>
        <w:t>echter</w:t>
      </w:r>
      <w:r w:rsidRPr="00E6515F">
        <w:rPr>
          <w:lang w:val="nl-BE"/>
        </w:rPr>
        <w:t xml:space="preserve"> niet altijd voldoende</w:t>
      </w:r>
      <w:r w:rsidR="00147850" w:rsidRPr="00E6515F">
        <w:rPr>
          <w:lang w:val="nl-BE"/>
        </w:rPr>
        <w:t xml:space="preserve"> om een oplossing te vinden</w:t>
      </w:r>
      <w:r w:rsidRPr="00E6515F">
        <w:rPr>
          <w:lang w:val="nl-BE"/>
        </w:rPr>
        <w:t xml:space="preserve">. Dikwijls is ook de input van specifieke expertise en een </w:t>
      </w:r>
      <w:proofErr w:type="spellStart"/>
      <w:r w:rsidRPr="00E6515F">
        <w:rPr>
          <w:lang w:val="nl-BE"/>
        </w:rPr>
        <w:t>outreachende</w:t>
      </w:r>
      <w:proofErr w:type="spellEnd"/>
      <w:r w:rsidRPr="00E6515F">
        <w:rPr>
          <w:lang w:val="nl-BE"/>
        </w:rPr>
        <w:t xml:space="preserve"> methodiek noodzakelijk om tot een oplossing te komen. </w:t>
      </w:r>
      <w:r w:rsidR="00147850" w:rsidRPr="00E6515F">
        <w:rPr>
          <w:lang w:val="nl-BE"/>
        </w:rPr>
        <w:t>Hiervoor kan casemanagement ingeschakeld worden.</w:t>
      </w:r>
    </w:p>
    <w:p w:rsidR="004733C7" w:rsidRDefault="004733C7" w:rsidP="006C69CE">
      <w:pPr>
        <w:jc w:val="both"/>
        <w:rPr>
          <w:lang w:val="nl-BE"/>
        </w:rPr>
      </w:pPr>
    </w:p>
    <w:p w:rsidR="00DD14B6" w:rsidRPr="00E6515F" w:rsidRDefault="004733C7" w:rsidP="006C69CE">
      <w:pPr>
        <w:jc w:val="both"/>
        <w:rPr>
          <w:lang w:val="nl-BE"/>
        </w:rPr>
      </w:pPr>
      <w:r>
        <w:rPr>
          <w:lang w:val="nl-BE"/>
        </w:rPr>
        <w:t>Casemanagement</w:t>
      </w:r>
      <w:r w:rsidRPr="00E6515F">
        <w:rPr>
          <w:lang w:val="nl-BE"/>
        </w:rPr>
        <w:t xml:space="preserve"> </w:t>
      </w:r>
      <w:r w:rsidR="00DD14B6" w:rsidRPr="00E6515F">
        <w:rPr>
          <w:lang w:val="nl-BE"/>
        </w:rPr>
        <w:t xml:space="preserve">is een vorm van individuele bemiddeling die start met </w:t>
      </w:r>
      <w:r w:rsidR="00147850" w:rsidRPr="00E6515F">
        <w:rPr>
          <w:lang w:val="nl-BE"/>
        </w:rPr>
        <w:t>intensieve vraagverduidelijking met bijkomende beeldvorming en</w:t>
      </w:r>
      <w:r w:rsidR="00DD14B6" w:rsidRPr="00E6515F">
        <w:rPr>
          <w:lang w:val="nl-BE"/>
        </w:rPr>
        <w:t xml:space="preserve"> diagnostiek</w:t>
      </w:r>
      <w:r w:rsidR="00147850" w:rsidRPr="00E6515F">
        <w:rPr>
          <w:lang w:val="nl-BE"/>
        </w:rPr>
        <w:t>. Er wordt</w:t>
      </w:r>
      <w:r w:rsidR="00DD14B6" w:rsidRPr="00E6515F">
        <w:rPr>
          <w:lang w:val="nl-BE"/>
        </w:rPr>
        <w:t xml:space="preserve"> naar een gepas</w:t>
      </w:r>
      <w:r w:rsidR="00147850" w:rsidRPr="00E6515F">
        <w:rPr>
          <w:lang w:val="nl-BE"/>
        </w:rPr>
        <w:t>te begeleidingsstijl</w:t>
      </w:r>
      <w:r w:rsidR="00DD14B6" w:rsidRPr="00E6515F">
        <w:rPr>
          <w:lang w:val="nl-BE"/>
        </w:rPr>
        <w:t xml:space="preserve"> gezocht met bij aanvang </w:t>
      </w:r>
      <w:r w:rsidR="00147850" w:rsidRPr="00E6515F">
        <w:rPr>
          <w:lang w:val="nl-BE"/>
        </w:rPr>
        <w:t>soms</w:t>
      </w:r>
      <w:r w:rsidR="00DD14B6" w:rsidRPr="00E6515F">
        <w:rPr>
          <w:lang w:val="nl-BE"/>
        </w:rPr>
        <w:t xml:space="preserve"> een voorlopige of gedeeltelijke oplossing om ondersteuningsvraag en -aanbod zo goed mogelijk op elkaar af te stemmen. Een blijvende opvolging via actieve begeleiding met soms snelle interveniërende, tijdelijke coaching  </w:t>
      </w:r>
      <w:r>
        <w:rPr>
          <w:lang w:val="nl-BE"/>
        </w:rPr>
        <w:t>is</w:t>
      </w:r>
      <w:r w:rsidRPr="00E6515F">
        <w:rPr>
          <w:lang w:val="nl-BE"/>
        </w:rPr>
        <w:t xml:space="preserve"> </w:t>
      </w:r>
      <w:r w:rsidR="00DD14B6" w:rsidRPr="00E6515F">
        <w:rPr>
          <w:lang w:val="nl-BE"/>
        </w:rPr>
        <w:t xml:space="preserve">soms </w:t>
      </w:r>
      <w:r>
        <w:rPr>
          <w:lang w:val="nl-BE"/>
        </w:rPr>
        <w:t xml:space="preserve">een </w:t>
      </w:r>
      <w:r w:rsidR="00DD14B6" w:rsidRPr="00E6515F">
        <w:rPr>
          <w:lang w:val="nl-BE"/>
        </w:rPr>
        <w:t>kritische succesfactor in een traject naar een duurzaam</w:t>
      </w:r>
      <w:r w:rsidR="00147850" w:rsidRPr="00E6515F">
        <w:rPr>
          <w:lang w:val="nl-BE"/>
        </w:rPr>
        <w:t>,</w:t>
      </w:r>
      <w:r w:rsidR="00DD14B6" w:rsidRPr="00E6515F">
        <w:rPr>
          <w:lang w:val="nl-BE"/>
        </w:rPr>
        <w:t xml:space="preserve"> </w:t>
      </w:r>
      <w:proofErr w:type="spellStart"/>
      <w:r w:rsidR="00DD14B6" w:rsidRPr="00E6515F">
        <w:rPr>
          <w:lang w:val="nl-BE"/>
        </w:rPr>
        <w:t>vraaggestuurd</w:t>
      </w:r>
      <w:proofErr w:type="spellEnd"/>
      <w:r w:rsidR="00DD14B6" w:rsidRPr="00E6515F">
        <w:rPr>
          <w:lang w:val="nl-BE"/>
        </w:rPr>
        <w:t xml:space="preserve">  antwoord.  </w:t>
      </w:r>
    </w:p>
    <w:p w:rsidR="006C69CE" w:rsidRPr="00E6515F" w:rsidRDefault="006C69CE" w:rsidP="006C69CE">
      <w:pPr>
        <w:jc w:val="both"/>
        <w:rPr>
          <w:lang w:val="nl-BE"/>
        </w:rPr>
      </w:pPr>
    </w:p>
    <w:p w:rsidR="00CD1B8C" w:rsidRPr="00E6515F" w:rsidRDefault="002859D7" w:rsidP="006C69CE">
      <w:pPr>
        <w:pStyle w:val="Kop1"/>
        <w:widowControl w:val="0"/>
        <w:numPr>
          <w:ilvl w:val="2"/>
          <w:numId w:val="1"/>
        </w:numPr>
        <w:pBdr>
          <w:top w:val="nil"/>
          <w:left w:val="nil"/>
          <w:bottom w:val="nil"/>
          <w:right w:val="nil"/>
          <w:between w:val="nil"/>
        </w:pBdr>
        <w:rPr>
          <w:sz w:val="30"/>
          <w:szCs w:val="30"/>
          <w:lang w:val="nl-BE"/>
        </w:rPr>
      </w:pPr>
      <w:bookmarkStart w:id="101" w:name="_Toc528227911"/>
      <w:bookmarkStart w:id="102" w:name="_Toc536797828"/>
      <w:r w:rsidRPr="00E6515F">
        <w:rPr>
          <w:sz w:val="30"/>
          <w:szCs w:val="30"/>
          <w:lang w:val="nl-BE"/>
        </w:rPr>
        <w:t>Revalidatiecentra</w:t>
      </w:r>
      <w:bookmarkEnd w:id="101"/>
      <w:bookmarkEnd w:id="102"/>
    </w:p>
    <w:p w:rsidR="00CD1B8C" w:rsidRPr="00E6515F" w:rsidRDefault="002859D7">
      <w:pPr>
        <w:jc w:val="both"/>
        <w:rPr>
          <w:lang w:val="nl-BE"/>
        </w:rPr>
      </w:pPr>
      <w:r w:rsidRPr="00E6515F">
        <w:rPr>
          <w:lang w:val="nl-BE"/>
        </w:rPr>
        <w:t>In een revalidatiecentrum kunnen zowel kinderen als volwassenen terecht voor een diagnose en behandeling van functionele en structurele beperkingen (bijvoorbeeld spraak- en taalproblemen, problemen op het vlak van bewegen, coördinatie</w:t>
      </w:r>
      <w:r w:rsidR="004733C7">
        <w:rPr>
          <w:lang w:val="nl-BE"/>
        </w:rPr>
        <w:t>problemen</w:t>
      </w:r>
      <w:r w:rsidRPr="00E6515F">
        <w:rPr>
          <w:lang w:val="nl-BE"/>
        </w:rPr>
        <w:t>),</w:t>
      </w:r>
      <w:r w:rsidR="00CA020E" w:rsidRPr="00E6515F">
        <w:rPr>
          <w:lang w:val="nl-BE"/>
        </w:rPr>
        <w:t xml:space="preserve"> </w:t>
      </w:r>
      <w:r w:rsidRPr="00E6515F">
        <w:rPr>
          <w:lang w:val="nl-BE"/>
        </w:rPr>
        <w:t>voor ontwikkelingsstoornissen, autismespectrumstoornissen ...</w:t>
      </w:r>
    </w:p>
    <w:p w:rsidR="00C5096C" w:rsidRPr="00E6515F" w:rsidRDefault="00C5096C">
      <w:pPr>
        <w:jc w:val="both"/>
        <w:rPr>
          <w:lang w:val="nl-BE"/>
        </w:rPr>
      </w:pPr>
    </w:p>
    <w:p w:rsidR="00CD1B8C" w:rsidRPr="00E6515F" w:rsidRDefault="002859D7">
      <w:pPr>
        <w:jc w:val="both"/>
        <w:rPr>
          <w:rFonts w:ascii="Arial" w:eastAsia="Arial" w:hAnsi="Arial" w:cs="Arial"/>
          <w:b/>
          <w:color w:val="1D1D1D"/>
          <w:sz w:val="24"/>
          <w:szCs w:val="24"/>
          <w:lang w:val="nl-BE"/>
        </w:rPr>
      </w:pPr>
      <w:r w:rsidRPr="00E6515F">
        <w:rPr>
          <w:lang w:val="nl-BE"/>
        </w:rPr>
        <w:t xml:space="preserve">Sommige revalidatiecentra zijn gespecialiseerd in de diagnose en behandeling van een bepaald type problematiek. Er zijn momenteel </w:t>
      </w:r>
      <w:r w:rsidR="004733C7">
        <w:rPr>
          <w:lang w:val="nl-BE"/>
        </w:rPr>
        <w:t>zestig</w:t>
      </w:r>
      <w:r w:rsidR="004733C7" w:rsidRPr="00E6515F">
        <w:rPr>
          <w:lang w:val="nl-BE"/>
        </w:rPr>
        <w:t xml:space="preserve"> </w:t>
      </w:r>
      <w:r w:rsidRPr="00E6515F">
        <w:rPr>
          <w:lang w:val="nl-BE"/>
        </w:rPr>
        <w:t xml:space="preserve">centra die door het </w:t>
      </w:r>
      <w:r w:rsidR="00627480" w:rsidRPr="00E6515F">
        <w:rPr>
          <w:lang w:val="nl-BE"/>
        </w:rPr>
        <w:t>VAPH</w:t>
      </w:r>
      <w:r w:rsidRPr="00E6515F">
        <w:rPr>
          <w:lang w:val="nl-BE"/>
        </w:rPr>
        <w:t xml:space="preserve"> erkend en gefinancierd worden</w:t>
      </w:r>
    </w:p>
    <w:p w:rsidR="00CD1B8C" w:rsidRPr="00E6515F" w:rsidRDefault="00CD1B8C">
      <w:pPr>
        <w:rPr>
          <w:lang w:val="nl-BE"/>
        </w:rPr>
      </w:pPr>
    </w:p>
    <w:p w:rsidR="00073427" w:rsidRPr="00E6515F" w:rsidRDefault="00073427">
      <w:pPr>
        <w:rPr>
          <w:b/>
          <w:sz w:val="38"/>
          <w:szCs w:val="38"/>
          <w:lang w:val="nl-BE"/>
        </w:rPr>
      </w:pPr>
      <w:bookmarkStart w:id="103" w:name="_npvmf45r9d9p" w:colFirst="0" w:colLast="0"/>
      <w:bookmarkStart w:id="104" w:name="_Toc528227912"/>
      <w:bookmarkEnd w:id="103"/>
      <w:r w:rsidRPr="00E6515F">
        <w:rPr>
          <w:lang w:val="nl-BE"/>
        </w:rPr>
        <w:br w:type="page"/>
      </w:r>
    </w:p>
    <w:p w:rsidR="00CD1B8C" w:rsidRPr="00E6515F" w:rsidRDefault="002859D7" w:rsidP="004D50C4">
      <w:pPr>
        <w:pStyle w:val="Kop1"/>
        <w:widowControl w:val="0"/>
        <w:numPr>
          <w:ilvl w:val="0"/>
          <w:numId w:val="1"/>
        </w:numPr>
        <w:pBdr>
          <w:top w:val="nil"/>
          <w:left w:val="nil"/>
          <w:bottom w:val="nil"/>
          <w:right w:val="nil"/>
          <w:between w:val="nil"/>
        </w:pBdr>
        <w:spacing w:line="360" w:lineRule="auto"/>
        <w:ind w:left="544" w:hanging="570"/>
        <w:rPr>
          <w:lang w:val="nl-BE"/>
        </w:rPr>
      </w:pPr>
      <w:bookmarkStart w:id="105" w:name="_Toc536797829"/>
      <w:r w:rsidRPr="00E6515F">
        <w:rPr>
          <w:lang w:val="nl-BE"/>
        </w:rPr>
        <w:lastRenderedPageBreak/>
        <w:t>Personeelsgegevens</w:t>
      </w:r>
      <w:bookmarkEnd w:id="104"/>
      <w:bookmarkEnd w:id="105"/>
    </w:p>
    <w:p w:rsidR="00254682" w:rsidRDefault="00CA020E" w:rsidP="00300667">
      <w:pPr>
        <w:jc w:val="both"/>
        <w:rPr>
          <w:lang w:val="nl-BE"/>
        </w:rPr>
      </w:pPr>
      <w:r w:rsidRPr="00E6515F">
        <w:rPr>
          <w:lang w:val="nl-BE"/>
        </w:rPr>
        <w:t xml:space="preserve">Ook </w:t>
      </w:r>
      <w:r w:rsidR="00EC600A">
        <w:rPr>
          <w:lang w:val="nl-BE"/>
        </w:rPr>
        <w:t>op het vlak van</w:t>
      </w:r>
      <w:r w:rsidR="00EC600A" w:rsidRPr="00E6515F">
        <w:rPr>
          <w:lang w:val="nl-BE"/>
        </w:rPr>
        <w:t xml:space="preserve"> </w:t>
      </w:r>
      <w:r w:rsidR="002859D7" w:rsidRPr="00E6515F">
        <w:rPr>
          <w:lang w:val="nl-BE"/>
        </w:rPr>
        <w:t>het personeelskader is er de afgelopen</w:t>
      </w:r>
      <w:r w:rsidRPr="00E6515F">
        <w:rPr>
          <w:lang w:val="nl-BE"/>
        </w:rPr>
        <w:t xml:space="preserve"> tien jaar heel wat gewijzigd. </w:t>
      </w:r>
      <w:r w:rsidR="002336C1" w:rsidRPr="002336C1">
        <w:rPr>
          <w:lang w:val="nl-BE"/>
        </w:rPr>
        <w:t>De belangrijkste wijziging sinds de hervorming naar flexibel aanbod meerderjarigen (FAM) en multifunctioneel centrum (MFC)</w:t>
      </w:r>
      <w:r w:rsidR="002336C1">
        <w:rPr>
          <w:lang w:val="nl-BE"/>
        </w:rPr>
        <w:t xml:space="preserve"> </w:t>
      </w:r>
      <w:r w:rsidRPr="00E6515F">
        <w:rPr>
          <w:lang w:val="nl-BE"/>
        </w:rPr>
        <w:t>is dat er geen strikte</w:t>
      </w:r>
      <w:r w:rsidR="002859D7" w:rsidRPr="00E6515F">
        <w:rPr>
          <w:lang w:val="nl-BE"/>
        </w:rPr>
        <w:t xml:space="preserve"> kader</w:t>
      </w:r>
      <w:r w:rsidRPr="00E6515F">
        <w:rPr>
          <w:lang w:val="nl-BE"/>
        </w:rPr>
        <w:t>s</w:t>
      </w:r>
      <w:r w:rsidR="002859D7" w:rsidRPr="00E6515F">
        <w:rPr>
          <w:lang w:val="nl-BE"/>
        </w:rPr>
        <w:t xml:space="preserve"> meer zijn </w:t>
      </w:r>
      <w:r w:rsidR="00EC600A">
        <w:rPr>
          <w:lang w:val="nl-BE"/>
        </w:rPr>
        <w:t>waarbinnen</w:t>
      </w:r>
      <w:r w:rsidR="00EC600A" w:rsidRPr="00E6515F">
        <w:rPr>
          <w:lang w:val="nl-BE"/>
        </w:rPr>
        <w:t xml:space="preserve"> </w:t>
      </w:r>
      <w:r w:rsidR="002859D7" w:rsidRPr="00E6515F">
        <w:rPr>
          <w:lang w:val="nl-BE"/>
        </w:rPr>
        <w:t xml:space="preserve">men personeel </w:t>
      </w:r>
      <w:r w:rsidR="009641DC" w:rsidRPr="00E6515F">
        <w:rPr>
          <w:lang w:val="nl-BE"/>
        </w:rPr>
        <w:t>moet</w:t>
      </w:r>
      <w:r w:rsidR="002859D7" w:rsidRPr="00E6515F">
        <w:rPr>
          <w:lang w:val="nl-BE"/>
        </w:rPr>
        <w:t xml:space="preserve"> aanwerven. Vroeger werd een effectief aantal per functie per afdeling bepaald. Sinds de invoering van de zorgvernieuwingsprojecten wordt er gewerkt met personeelspunten waarbij personeel dient aangetoond </w:t>
      </w:r>
      <w:r w:rsidR="00EC600A">
        <w:rPr>
          <w:lang w:val="nl-BE"/>
        </w:rPr>
        <w:t>te worden</w:t>
      </w:r>
      <w:r w:rsidR="003D1B86">
        <w:rPr>
          <w:lang w:val="nl-BE"/>
        </w:rPr>
        <w:t xml:space="preserve"> </w:t>
      </w:r>
      <w:r w:rsidR="002859D7" w:rsidRPr="00E6515F">
        <w:rPr>
          <w:lang w:val="nl-BE"/>
        </w:rPr>
        <w:t>op</w:t>
      </w:r>
      <w:r w:rsidR="002336C1">
        <w:rPr>
          <w:lang w:val="nl-BE"/>
        </w:rPr>
        <w:t xml:space="preserve"> het niveau van de </w:t>
      </w:r>
      <w:r w:rsidR="002859D7" w:rsidRPr="00E6515F">
        <w:rPr>
          <w:lang w:val="nl-BE"/>
        </w:rPr>
        <w:t>subs</w:t>
      </w:r>
      <w:r w:rsidR="009641DC" w:rsidRPr="00E6515F">
        <w:rPr>
          <w:lang w:val="nl-BE"/>
        </w:rPr>
        <w:t>i</w:t>
      </w:r>
      <w:r w:rsidR="002859D7" w:rsidRPr="00E6515F">
        <w:rPr>
          <w:lang w:val="nl-BE"/>
        </w:rPr>
        <w:t>die-eenheid</w:t>
      </w:r>
      <w:r w:rsidR="002336C1">
        <w:rPr>
          <w:lang w:val="nl-BE"/>
        </w:rPr>
        <w:t xml:space="preserve"> </w:t>
      </w:r>
      <w:r w:rsidR="002859D7" w:rsidRPr="00E6515F">
        <w:rPr>
          <w:lang w:val="nl-BE"/>
        </w:rPr>
        <w:t xml:space="preserve">en niet meer op afdelingsniveau. </w:t>
      </w:r>
      <w:r w:rsidR="00EC600A" w:rsidRPr="00E6515F">
        <w:rPr>
          <w:lang w:val="nl-BE"/>
        </w:rPr>
        <w:t>D</w:t>
      </w:r>
      <w:r w:rsidR="00EC600A">
        <w:rPr>
          <w:lang w:val="nl-BE"/>
        </w:rPr>
        <w:t>a</w:t>
      </w:r>
      <w:r w:rsidR="00EC600A" w:rsidRPr="00E6515F">
        <w:rPr>
          <w:lang w:val="nl-BE"/>
        </w:rPr>
        <w:t xml:space="preserve">t </w:t>
      </w:r>
      <w:r w:rsidR="002859D7" w:rsidRPr="00E6515F">
        <w:rPr>
          <w:lang w:val="nl-BE"/>
        </w:rPr>
        <w:t xml:space="preserve">betekent dat er geen aparte contracten meer dienen gemaakt </w:t>
      </w:r>
      <w:r w:rsidR="00EC600A">
        <w:rPr>
          <w:lang w:val="nl-BE"/>
        </w:rPr>
        <w:t>te worden als</w:t>
      </w:r>
      <w:r w:rsidR="00EC600A" w:rsidRPr="00E6515F">
        <w:rPr>
          <w:lang w:val="nl-BE"/>
        </w:rPr>
        <w:t xml:space="preserve"> </w:t>
      </w:r>
      <w:r w:rsidR="002859D7" w:rsidRPr="00E6515F">
        <w:rPr>
          <w:lang w:val="nl-BE"/>
        </w:rPr>
        <w:t xml:space="preserve">iemand bijvoorbeeld deeltijds in het </w:t>
      </w:r>
      <w:r w:rsidR="002336C1">
        <w:rPr>
          <w:lang w:val="nl-BE"/>
        </w:rPr>
        <w:t xml:space="preserve">multifunctioneel </w:t>
      </w:r>
      <w:r w:rsidR="00EC600A">
        <w:rPr>
          <w:lang w:val="nl-BE"/>
        </w:rPr>
        <w:t>centrum</w:t>
      </w:r>
      <w:r w:rsidR="00EC600A" w:rsidRPr="00E6515F">
        <w:rPr>
          <w:lang w:val="nl-BE"/>
        </w:rPr>
        <w:t xml:space="preserve"> </w:t>
      </w:r>
      <w:r w:rsidR="002859D7" w:rsidRPr="00E6515F">
        <w:rPr>
          <w:lang w:val="nl-BE"/>
        </w:rPr>
        <w:t>en deeltijds bij volwassenen werkt.</w:t>
      </w:r>
    </w:p>
    <w:p w:rsidR="00EC600A" w:rsidRPr="00E6515F" w:rsidRDefault="00EC600A" w:rsidP="00300667">
      <w:pPr>
        <w:jc w:val="both"/>
        <w:rPr>
          <w:lang w:val="nl-BE"/>
        </w:rPr>
      </w:pPr>
    </w:p>
    <w:p w:rsidR="00254682" w:rsidRPr="00E6515F" w:rsidRDefault="00254682" w:rsidP="00300667">
      <w:pPr>
        <w:jc w:val="both"/>
        <w:rPr>
          <w:lang w:val="nl-BE"/>
        </w:rPr>
      </w:pPr>
      <w:r w:rsidRPr="00E6515F">
        <w:rPr>
          <w:lang w:val="nl-BE"/>
        </w:rPr>
        <w:t xml:space="preserve">Door het systeem van personeelspunten kunnen diensten en voorzieningen flexibel inspelen op de vragen naar ondersteuning die zich aandienen en wordt het sociaal ondernemerschap gefaciliteerd. </w:t>
      </w:r>
    </w:p>
    <w:p w:rsidR="00CD1B8C" w:rsidRPr="00E6515F" w:rsidRDefault="00CD1B8C">
      <w:pPr>
        <w:rPr>
          <w:lang w:val="nl-BE"/>
        </w:rPr>
      </w:pPr>
    </w:p>
    <w:p w:rsidR="00300667" w:rsidRPr="00E6515F" w:rsidRDefault="00300667" w:rsidP="00300667">
      <w:pPr>
        <w:pStyle w:val="Bijschrift"/>
        <w:keepNex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31</w:t>
      </w:r>
      <w:r w:rsidRPr="00E6515F">
        <w:rPr>
          <w:lang w:val="nl-BE"/>
        </w:rPr>
        <w:fldChar w:fldCharType="end"/>
      </w:r>
      <w:r w:rsidRPr="00E6515F">
        <w:rPr>
          <w:lang w:val="nl-BE"/>
        </w:rPr>
        <w:t xml:space="preserve">: Overzicht van het gesubsidieerd aantal </w:t>
      </w:r>
      <w:proofErr w:type="spellStart"/>
      <w:r w:rsidRPr="00E6515F">
        <w:rPr>
          <w:lang w:val="nl-BE"/>
        </w:rPr>
        <w:t>VTE</w:t>
      </w:r>
      <w:r w:rsidR="00EC600A">
        <w:rPr>
          <w:lang w:val="nl-BE"/>
        </w:rPr>
        <w:t>’s</w:t>
      </w:r>
      <w:proofErr w:type="spellEnd"/>
      <w:r w:rsidRPr="00E6515F">
        <w:rPr>
          <w:lang w:val="nl-BE"/>
        </w:rPr>
        <w:t xml:space="preserve"> voor 2008 en 2017</w:t>
      </w:r>
    </w:p>
    <w:tbl>
      <w:tblPr>
        <w:tblStyle w:val="Tabelraster"/>
        <w:tblW w:w="8046" w:type="dxa"/>
        <w:tblLayout w:type="fixed"/>
        <w:tblLook w:val="0600" w:firstRow="0" w:lastRow="0" w:firstColumn="0" w:lastColumn="0" w:noHBand="1" w:noVBand="1"/>
      </w:tblPr>
      <w:tblGrid>
        <w:gridCol w:w="2802"/>
        <w:gridCol w:w="1311"/>
        <w:gridCol w:w="1311"/>
        <w:gridCol w:w="1311"/>
        <w:gridCol w:w="1311"/>
      </w:tblGrid>
      <w:tr w:rsidR="00A13359" w:rsidRPr="00E6515F" w:rsidTr="00A13359">
        <w:trPr>
          <w:trHeight w:val="380"/>
        </w:trPr>
        <w:tc>
          <w:tcPr>
            <w:tcW w:w="2802" w:type="dxa"/>
            <w:shd w:val="clear" w:color="auto" w:fill="BFBFBF" w:themeFill="background1" w:themeFillShade="BF"/>
            <w:vAlign w:val="center"/>
          </w:tcPr>
          <w:p w:rsidR="00A13359" w:rsidRPr="00E6515F" w:rsidRDefault="00A13359" w:rsidP="00A13359">
            <w:pPr>
              <w:widowControl w:val="0"/>
              <w:pBdr>
                <w:top w:val="nil"/>
                <w:left w:val="nil"/>
                <w:bottom w:val="nil"/>
                <w:right w:val="nil"/>
                <w:between w:val="nil"/>
              </w:pBdr>
              <w:rPr>
                <w:b/>
                <w:sz w:val="20"/>
                <w:lang w:val="nl-BE"/>
              </w:rPr>
            </w:pPr>
            <w:r w:rsidRPr="00E6515F">
              <w:rPr>
                <w:b/>
                <w:sz w:val="20"/>
                <w:lang w:val="nl-BE"/>
              </w:rPr>
              <w:t xml:space="preserve"> Functiegroep </w:t>
            </w:r>
          </w:p>
        </w:tc>
        <w:tc>
          <w:tcPr>
            <w:tcW w:w="1311" w:type="dxa"/>
            <w:shd w:val="clear" w:color="auto" w:fill="BFBFBF" w:themeFill="background1" w:themeFillShade="BF"/>
            <w:vAlign w:val="center"/>
          </w:tcPr>
          <w:p w:rsidR="00A13359" w:rsidRPr="00E6515F" w:rsidRDefault="00A13359">
            <w:pPr>
              <w:jc w:val="center"/>
              <w:rPr>
                <w:b/>
                <w:bCs/>
                <w:color w:val="000000"/>
                <w:lang w:val="nl-BE"/>
              </w:rPr>
            </w:pPr>
            <w:r w:rsidRPr="00E6515F">
              <w:rPr>
                <w:b/>
                <w:bCs/>
                <w:color w:val="000000"/>
                <w:lang w:val="nl-BE"/>
              </w:rPr>
              <w:t>Totaal 2008</w:t>
            </w:r>
          </w:p>
        </w:tc>
        <w:tc>
          <w:tcPr>
            <w:tcW w:w="1311" w:type="dxa"/>
            <w:shd w:val="clear" w:color="auto" w:fill="BFBFBF" w:themeFill="background1" w:themeFillShade="BF"/>
            <w:vAlign w:val="center"/>
          </w:tcPr>
          <w:p w:rsidR="00A13359" w:rsidRPr="00E6515F" w:rsidRDefault="00A13359">
            <w:pPr>
              <w:jc w:val="center"/>
              <w:rPr>
                <w:b/>
                <w:bCs/>
                <w:color w:val="000000"/>
                <w:lang w:val="nl-BE"/>
              </w:rPr>
            </w:pPr>
            <w:r w:rsidRPr="00E6515F">
              <w:rPr>
                <w:b/>
                <w:bCs/>
                <w:color w:val="000000"/>
                <w:lang w:val="nl-BE"/>
              </w:rPr>
              <w:t>Totaal 2008 in %</w:t>
            </w:r>
          </w:p>
        </w:tc>
        <w:tc>
          <w:tcPr>
            <w:tcW w:w="1311" w:type="dxa"/>
            <w:shd w:val="clear" w:color="auto" w:fill="BFBFBF" w:themeFill="background1" w:themeFillShade="BF"/>
            <w:vAlign w:val="center"/>
          </w:tcPr>
          <w:p w:rsidR="00A13359" w:rsidRPr="00E6515F" w:rsidRDefault="00A13359">
            <w:pPr>
              <w:jc w:val="center"/>
              <w:rPr>
                <w:b/>
                <w:bCs/>
                <w:color w:val="000000"/>
                <w:lang w:val="nl-BE"/>
              </w:rPr>
            </w:pPr>
            <w:r w:rsidRPr="00E6515F">
              <w:rPr>
                <w:b/>
                <w:bCs/>
                <w:color w:val="000000"/>
                <w:lang w:val="nl-BE"/>
              </w:rPr>
              <w:t>Totaal 2017</w:t>
            </w:r>
          </w:p>
        </w:tc>
        <w:tc>
          <w:tcPr>
            <w:tcW w:w="1311" w:type="dxa"/>
            <w:shd w:val="clear" w:color="auto" w:fill="BFBFBF" w:themeFill="background1" w:themeFillShade="BF"/>
            <w:vAlign w:val="center"/>
          </w:tcPr>
          <w:p w:rsidR="00A13359" w:rsidRPr="00E6515F" w:rsidRDefault="00A13359">
            <w:pPr>
              <w:jc w:val="center"/>
              <w:rPr>
                <w:b/>
                <w:bCs/>
                <w:color w:val="000000"/>
                <w:lang w:val="nl-BE"/>
              </w:rPr>
            </w:pPr>
            <w:r w:rsidRPr="00E6515F">
              <w:rPr>
                <w:b/>
                <w:bCs/>
                <w:color w:val="000000"/>
                <w:lang w:val="nl-BE"/>
              </w:rPr>
              <w:t>Totaal 2017 in %</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sz w:val="20"/>
                <w:lang w:val="nl-BE"/>
              </w:rPr>
            </w:pPr>
            <w:r w:rsidRPr="00E6515F">
              <w:rPr>
                <w:sz w:val="20"/>
                <w:lang w:val="nl-BE"/>
              </w:rPr>
              <w:t xml:space="preserve"> Directie en directiepersoneel </w:t>
            </w:r>
          </w:p>
        </w:tc>
        <w:tc>
          <w:tcPr>
            <w:tcW w:w="1311" w:type="dxa"/>
            <w:vAlign w:val="center"/>
          </w:tcPr>
          <w:p w:rsidR="00A13359" w:rsidRPr="00E6515F" w:rsidRDefault="00A13359">
            <w:pPr>
              <w:jc w:val="center"/>
              <w:rPr>
                <w:color w:val="000000"/>
                <w:lang w:val="nl-BE"/>
              </w:rPr>
            </w:pPr>
            <w:r w:rsidRPr="00E6515F">
              <w:rPr>
                <w:color w:val="000000"/>
                <w:lang w:val="nl-BE"/>
              </w:rPr>
              <w:t>581</w:t>
            </w:r>
          </w:p>
        </w:tc>
        <w:tc>
          <w:tcPr>
            <w:tcW w:w="1311" w:type="dxa"/>
            <w:vAlign w:val="center"/>
          </w:tcPr>
          <w:p w:rsidR="00A13359" w:rsidRPr="00E6515F" w:rsidRDefault="00A13359">
            <w:pPr>
              <w:jc w:val="center"/>
              <w:rPr>
                <w:color w:val="000000"/>
                <w:lang w:val="nl-BE"/>
              </w:rPr>
            </w:pPr>
            <w:r w:rsidRPr="00E6515F">
              <w:rPr>
                <w:color w:val="000000"/>
                <w:lang w:val="nl-BE"/>
              </w:rPr>
              <w:t>3,3%</w:t>
            </w:r>
          </w:p>
        </w:tc>
        <w:tc>
          <w:tcPr>
            <w:tcW w:w="1311" w:type="dxa"/>
            <w:vAlign w:val="center"/>
          </w:tcPr>
          <w:p w:rsidR="00A13359" w:rsidRPr="00E6515F" w:rsidRDefault="00A13359">
            <w:pPr>
              <w:jc w:val="center"/>
              <w:rPr>
                <w:color w:val="000000"/>
                <w:lang w:val="nl-BE"/>
              </w:rPr>
            </w:pPr>
            <w:r w:rsidRPr="00E6515F">
              <w:rPr>
                <w:color w:val="000000"/>
                <w:lang w:val="nl-BE"/>
              </w:rPr>
              <w:t>705</w:t>
            </w:r>
          </w:p>
        </w:tc>
        <w:tc>
          <w:tcPr>
            <w:tcW w:w="1311" w:type="dxa"/>
            <w:vAlign w:val="center"/>
          </w:tcPr>
          <w:p w:rsidR="00A13359" w:rsidRPr="00E6515F" w:rsidRDefault="00A13359">
            <w:pPr>
              <w:jc w:val="center"/>
              <w:rPr>
                <w:color w:val="000000"/>
                <w:lang w:val="nl-BE"/>
              </w:rPr>
            </w:pPr>
            <w:r w:rsidRPr="00E6515F">
              <w:rPr>
                <w:color w:val="000000"/>
                <w:lang w:val="nl-BE"/>
              </w:rPr>
              <w:t>3,4%</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sz w:val="20"/>
                <w:lang w:val="nl-BE"/>
              </w:rPr>
            </w:pPr>
            <w:r w:rsidRPr="00E6515F">
              <w:rPr>
                <w:sz w:val="20"/>
                <w:lang w:val="nl-BE"/>
              </w:rPr>
              <w:t xml:space="preserve"> Administratief personeel </w:t>
            </w:r>
          </w:p>
        </w:tc>
        <w:tc>
          <w:tcPr>
            <w:tcW w:w="1311" w:type="dxa"/>
            <w:vAlign w:val="center"/>
          </w:tcPr>
          <w:p w:rsidR="00A13359" w:rsidRPr="00E6515F" w:rsidRDefault="00A13359">
            <w:pPr>
              <w:jc w:val="center"/>
              <w:rPr>
                <w:color w:val="000000"/>
                <w:lang w:val="nl-BE"/>
              </w:rPr>
            </w:pPr>
            <w:r w:rsidRPr="00E6515F">
              <w:rPr>
                <w:color w:val="000000"/>
                <w:lang w:val="nl-BE"/>
              </w:rPr>
              <w:t>942</w:t>
            </w:r>
          </w:p>
        </w:tc>
        <w:tc>
          <w:tcPr>
            <w:tcW w:w="1311" w:type="dxa"/>
            <w:vAlign w:val="center"/>
          </w:tcPr>
          <w:p w:rsidR="00A13359" w:rsidRPr="00E6515F" w:rsidRDefault="00A13359">
            <w:pPr>
              <w:jc w:val="center"/>
              <w:rPr>
                <w:color w:val="000000"/>
                <w:lang w:val="nl-BE"/>
              </w:rPr>
            </w:pPr>
            <w:r w:rsidRPr="00E6515F">
              <w:rPr>
                <w:color w:val="000000"/>
                <w:lang w:val="nl-BE"/>
              </w:rPr>
              <w:t>5,4%</w:t>
            </w:r>
          </w:p>
        </w:tc>
        <w:tc>
          <w:tcPr>
            <w:tcW w:w="1311" w:type="dxa"/>
            <w:vAlign w:val="center"/>
          </w:tcPr>
          <w:p w:rsidR="00A13359" w:rsidRPr="00E6515F" w:rsidRDefault="00A13359">
            <w:pPr>
              <w:jc w:val="center"/>
              <w:rPr>
                <w:color w:val="000000"/>
                <w:lang w:val="nl-BE"/>
              </w:rPr>
            </w:pPr>
            <w:r w:rsidRPr="00E6515F">
              <w:rPr>
                <w:color w:val="000000"/>
                <w:lang w:val="nl-BE"/>
              </w:rPr>
              <w:t>994</w:t>
            </w:r>
          </w:p>
        </w:tc>
        <w:tc>
          <w:tcPr>
            <w:tcW w:w="1311" w:type="dxa"/>
            <w:vAlign w:val="center"/>
          </w:tcPr>
          <w:p w:rsidR="00A13359" w:rsidRPr="00E6515F" w:rsidRDefault="00A13359">
            <w:pPr>
              <w:jc w:val="center"/>
              <w:rPr>
                <w:color w:val="000000"/>
                <w:lang w:val="nl-BE"/>
              </w:rPr>
            </w:pPr>
            <w:r w:rsidRPr="00E6515F">
              <w:rPr>
                <w:color w:val="000000"/>
                <w:lang w:val="nl-BE"/>
              </w:rPr>
              <w:t>4,8%</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sz w:val="20"/>
                <w:lang w:val="nl-BE"/>
              </w:rPr>
            </w:pPr>
            <w:r w:rsidRPr="00E6515F">
              <w:rPr>
                <w:sz w:val="20"/>
                <w:lang w:val="nl-BE"/>
              </w:rPr>
              <w:t xml:space="preserve"> Logistiek personeel </w:t>
            </w:r>
          </w:p>
        </w:tc>
        <w:tc>
          <w:tcPr>
            <w:tcW w:w="1311" w:type="dxa"/>
            <w:vAlign w:val="center"/>
          </w:tcPr>
          <w:p w:rsidR="00A13359" w:rsidRPr="00E6515F" w:rsidRDefault="00A13359">
            <w:pPr>
              <w:jc w:val="center"/>
              <w:rPr>
                <w:color w:val="000000"/>
                <w:lang w:val="nl-BE"/>
              </w:rPr>
            </w:pPr>
            <w:r w:rsidRPr="00E6515F">
              <w:rPr>
                <w:color w:val="000000"/>
                <w:lang w:val="nl-BE"/>
              </w:rPr>
              <w:t>2.589</w:t>
            </w:r>
          </w:p>
        </w:tc>
        <w:tc>
          <w:tcPr>
            <w:tcW w:w="1311" w:type="dxa"/>
            <w:vAlign w:val="center"/>
          </w:tcPr>
          <w:p w:rsidR="00A13359" w:rsidRPr="00E6515F" w:rsidRDefault="00A13359">
            <w:pPr>
              <w:jc w:val="center"/>
              <w:rPr>
                <w:color w:val="000000"/>
                <w:lang w:val="nl-BE"/>
              </w:rPr>
            </w:pPr>
            <w:r w:rsidRPr="00E6515F">
              <w:rPr>
                <w:color w:val="000000"/>
                <w:lang w:val="nl-BE"/>
              </w:rPr>
              <w:t>14,8%</w:t>
            </w:r>
          </w:p>
        </w:tc>
        <w:tc>
          <w:tcPr>
            <w:tcW w:w="1311" w:type="dxa"/>
            <w:vAlign w:val="center"/>
          </w:tcPr>
          <w:p w:rsidR="00A13359" w:rsidRPr="00E6515F" w:rsidRDefault="00A13359">
            <w:pPr>
              <w:jc w:val="center"/>
              <w:rPr>
                <w:color w:val="000000"/>
                <w:lang w:val="nl-BE"/>
              </w:rPr>
            </w:pPr>
            <w:r w:rsidRPr="00E6515F">
              <w:rPr>
                <w:color w:val="000000"/>
                <w:lang w:val="nl-BE"/>
              </w:rPr>
              <w:t>2.851</w:t>
            </w:r>
          </w:p>
        </w:tc>
        <w:tc>
          <w:tcPr>
            <w:tcW w:w="1311" w:type="dxa"/>
            <w:vAlign w:val="center"/>
          </w:tcPr>
          <w:p w:rsidR="00A13359" w:rsidRPr="00E6515F" w:rsidRDefault="00A13359">
            <w:pPr>
              <w:jc w:val="center"/>
              <w:rPr>
                <w:color w:val="000000"/>
                <w:lang w:val="nl-BE"/>
              </w:rPr>
            </w:pPr>
            <w:r w:rsidRPr="00E6515F">
              <w:rPr>
                <w:color w:val="000000"/>
                <w:lang w:val="nl-BE"/>
              </w:rPr>
              <w:t>13,8%</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sz w:val="20"/>
                <w:lang w:val="nl-BE"/>
              </w:rPr>
            </w:pPr>
            <w:r w:rsidRPr="00E6515F">
              <w:rPr>
                <w:sz w:val="20"/>
                <w:lang w:val="nl-BE"/>
              </w:rPr>
              <w:t xml:space="preserve"> Opvoedend personeel </w:t>
            </w:r>
          </w:p>
        </w:tc>
        <w:tc>
          <w:tcPr>
            <w:tcW w:w="1311" w:type="dxa"/>
            <w:vAlign w:val="center"/>
          </w:tcPr>
          <w:p w:rsidR="00A13359" w:rsidRPr="00E6515F" w:rsidRDefault="00A13359">
            <w:pPr>
              <w:jc w:val="center"/>
              <w:rPr>
                <w:color w:val="000000"/>
                <w:lang w:val="nl-BE"/>
              </w:rPr>
            </w:pPr>
            <w:r w:rsidRPr="00E6515F">
              <w:rPr>
                <w:color w:val="000000"/>
                <w:lang w:val="nl-BE"/>
              </w:rPr>
              <w:t>11.100</w:t>
            </w:r>
          </w:p>
        </w:tc>
        <w:tc>
          <w:tcPr>
            <w:tcW w:w="1311" w:type="dxa"/>
            <w:vAlign w:val="center"/>
          </w:tcPr>
          <w:p w:rsidR="00A13359" w:rsidRPr="00E6515F" w:rsidRDefault="00A13359">
            <w:pPr>
              <w:jc w:val="center"/>
              <w:rPr>
                <w:color w:val="000000"/>
                <w:lang w:val="nl-BE"/>
              </w:rPr>
            </w:pPr>
            <w:r w:rsidRPr="00E6515F">
              <w:rPr>
                <w:color w:val="000000"/>
                <w:lang w:val="nl-BE"/>
              </w:rPr>
              <w:t>63,4%</w:t>
            </w:r>
          </w:p>
        </w:tc>
        <w:tc>
          <w:tcPr>
            <w:tcW w:w="1311" w:type="dxa"/>
            <w:vAlign w:val="center"/>
          </w:tcPr>
          <w:p w:rsidR="00A13359" w:rsidRPr="00E6515F" w:rsidRDefault="00A13359">
            <w:pPr>
              <w:jc w:val="center"/>
              <w:rPr>
                <w:color w:val="000000"/>
                <w:lang w:val="nl-BE"/>
              </w:rPr>
            </w:pPr>
            <w:r w:rsidRPr="00E6515F">
              <w:rPr>
                <w:color w:val="000000"/>
                <w:lang w:val="nl-BE"/>
              </w:rPr>
              <w:t>13.392</w:t>
            </w:r>
          </w:p>
        </w:tc>
        <w:tc>
          <w:tcPr>
            <w:tcW w:w="1311" w:type="dxa"/>
            <w:vAlign w:val="center"/>
          </w:tcPr>
          <w:p w:rsidR="00A13359" w:rsidRPr="00E6515F" w:rsidRDefault="00A13359">
            <w:pPr>
              <w:jc w:val="center"/>
              <w:rPr>
                <w:color w:val="000000"/>
                <w:lang w:val="nl-BE"/>
              </w:rPr>
            </w:pPr>
            <w:r w:rsidRPr="00E6515F">
              <w:rPr>
                <w:color w:val="000000"/>
                <w:lang w:val="nl-BE"/>
              </w:rPr>
              <w:t>64,6%</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sz w:val="20"/>
                <w:lang w:val="nl-BE"/>
              </w:rPr>
            </w:pPr>
            <w:r w:rsidRPr="00E6515F">
              <w:rPr>
                <w:sz w:val="20"/>
                <w:lang w:val="nl-BE"/>
              </w:rPr>
              <w:t xml:space="preserve"> Licentiaatsfunctie </w:t>
            </w:r>
          </w:p>
        </w:tc>
        <w:tc>
          <w:tcPr>
            <w:tcW w:w="1311" w:type="dxa"/>
            <w:vAlign w:val="center"/>
          </w:tcPr>
          <w:p w:rsidR="00A13359" w:rsidRPr="00E6515F" w:rsidRDefault="00A13359">
            <w:pPr>
              <w:jc w:val="center"/>
              <w:rPr>
                <w:color w:val="000000"/>
                <w:lang w:val="nl-BE"/>
              </w:rPr>
            </w:pPr>
            <w:r w:rsidRPr="00E6515F">
              <w:rPr>
                <w:color w:val="000000"/>
                <w:lang w:val="nl-BE"/>
              </w:rPr>
              <w:t>454</w:t>
            </w:r>
          </w:p>
        </w:tc>
        <w:tc>
          <w:tcPr>
            <w:tcW w:w="1311" w:type="dxa"/>
            <w:vAlign w:val="center"/>
          </w:tcPr>
          <w:p w:rsidR="00A13359" w:rsidRPr="00E6515F" w:rsidRDefault="00A13359">
            <w:pPr>
              <w:jc w:val="center"/>
              <w:rPr>
                <w:color w:val="000000"/>
                <w:lang w:val="nl-BE"/>
              </w:rPr>
            </w:pPr>
            <w:r w:rsidRPr="00E6515F">
              <w:rPr>
                <w:color w:val="000000"/>
                <w:lang w:val="nl-BE"/>
              </w:rPr>
              <w:t>2,6%</w:t>
            </w:r>
          </w:p>
        </w:tc>
        <w:tc>
          <w:tcPr>
            <w:tcW w:w="1311" w:type="dxa"/>
            <w:vAlign w:val="center"/>
          </w:tcPr>
          <w:p w:rsidR="00A13359" w:rsidRPr="00E6515F" w:rsidRDefault="00A13359">
            <w:pPr>
              <w:jc w:val="center"/>
              <w:rPr>
                <w:color w:val="000000"/>
                <w:lang w:val="nl-BE"/>
              </w:rPr>
            </w:pPr>
            <w:r w:rsidRPr="00E6515F">
              <w:rPr>
                <w:color w:val="000000"/>
                <w:lang w:val="nl-BE"/>
              </w:rPr>
              <w:t>791</w:t>
            </w:r>
          </w:p>
        </w:tc>
        <w:tc>
          <w:tcPr>
            <w:tcW w:w="1311" w:type="dxa"/>
            <w:vAlign w:val="center"/>
          </w:tcPr>
          <w:p w:rsidR="00A13359" w:rsidRPr="00E6515F" w:rsidRDefault="00A13359">
            <w:pPr>
              <w:jc w:val="center"/>
              <w:rPr>
                <w:color w:val="000000"/>
                <w:lang w:val="nl-BE"/>
              </w:rPr>
            </w:pPr>
            <w:r w:rsidRPr="00E6515F">
              <w:rPr>
                <w:color w:val="000000"/>
                <w:lang w:val="nl-BE"/>
              </w:rPr>
              <w:t>3,8%</w:t>
            </w:r>
          </w:p>
        </w:tc>
      </w:tr>
      <w:tr w:rsidR="00A13359" w:rsidRPr="00E6515F" w:rsidTr="00A13359">
        <w:trPr>
          <w:trHeight w:val="380"/>
        </w:trPr>
        <w:tc>
          <w:tcPr>
            <w:tcW w:w="2802" w:type="dxa"/>
            <w:vAlign w:val="center"/>
          </w:tcPr>
          <w:p w:rsidR="00A13359" w:rsidRPr="00E6515F" w:rsidRDefault="00A13359" w:rsidP="00EC600A">
            <w:pPr>
              <w:widowControl w:val="0"/>
              <w:pBdr>
                <w:top w:val="nil"/>
                <w:left w:val="nil"/>
                <w:bottom w:val="nil"/>
                <w:right w:val="nil"/>
                <w:between w:val="nil"/>
              </w:pBdr>
              <w:rPr>
                <w:sz w:val="20"/>
                <w:lang w:val="nl-BE"/>
              </w:rPr>
            </w:pPr>
            <w:r w:rsidRPr="00E6515F">
              <w:rPr>
                <w:sz w:val="20"/>
                <w:lang w:val="nl-BE"/>
              </w:rPr>
              <w:t xml:space="preserve"> </w:t>
            </w:r>
            <w:r w:rsidR="00EC600A">
              <w:rPr>
                <w:sz w:val="20"/>
                <w:lang w:val="nl-BE"/>
              </w:rPr>
              <w:t>G</w:t>
            </w:r>
            <w:r w:rsidR="00EC600A" w:rsidRPr="00E6515F">
              <w:rPr>
                <w:sz w:val="20"/>
                <w:lang w:val="nl-BE"/>
              </w:rPr>
              <w:t xml:space="preserve">eneesheer </w:t>
            </w:r>
          </w:p>
        </w:tc>
        <w:tc>
          <w:tcPr>
            <w:tcW w:w="1311" w:type="dxa"/>
            <w:vAlign w:val="center"/>
          </w:tcPr>
          <w:p w:rsidR="00A13359" w:rsidRPr="00E6515F" w:rsidRDefault="00A13359">
            <w:pPr>
              <w:jc w:val="center"/>
              <w:rPr>
                <w:color w:val="000000"/>
                <w:lang w:val="nl-BE"/>
              </w:rPr>
            </w:pPr>
            <w:r w:rsidRPr="00E6515F">
              <w:rPr>
                <w:color w:val="000000"/>
                <w:lang w:val="nl-BE"/>
              </w:rPr>
              <w:t>102</w:t>
            </w:r>
          </w:p>
        </w:tc>
        <w:tc>
          <w:tcPr>
            <w:tcW w:w="1311" w:type="dxa"/>
            <w:vAlign w:val="center"/>
          </w:tcPr>
          <w:p w:rsidR="00A13359" w:rsidRPr="00E6515F" w:rsidRDefault="00A13359">
            <w:pPr>
              <w:jc w:val="center"/>
              <w:rPr>
                <w:color w:val="000000"/>
                <w:lang w:val="nl-BE"/>
              </w:rPr>
            </w:pPr>
            <w:r w:rsidRPr="00E6515F">
              <w:rPr>
                <w:color w:val="000000"/>
                <w:lang w:val="nl-BE"/>
              </w:rPr>
              <w:t>0,6%</w:t>
            </w:r>
          </w:p>
        </w:tc>
        <w:tc>
          <w:tcPr>
            <w:tcW w:w="1311" w:type="dxa"/>
            <w:vAlign w:val="center"/>
          </w:tcPr>
          <w:p w:rsidR="00A13359" w:rsidRPr="00E6515F" w:rsidRDefault="00A13359">
            <w:pPr>
              <w:jc w:val="center"/>
              <w:rPr>
                <w:color w:val="000000"/>
                <w:lang w:val="nl-BE"/>
              </w:rPr>
            </w:pPr>
            <w:r w:rsidRPr="00E6515F">
              <w:rPr>
                <w:color w:val="000000"/>
                <w:lang w:val="nl-BE"/>
              </w:rPr>
              <w:t>78</w:t>
            </w:r>
          </w:p>
        </w:tc>
        <w:tc>
          <w:tcPr>
            <w:tcW w:w="1311" w:type="dxa"/>
            <w:vAlign w:val="center"/>
          </w:tcPr>
          <w:p w:rsidR="00A13359" w:rsidRPr="00E6515F" w:rsidRDefault="00A13359">
            <w:pPr>
              <w:jc w:val="center"/>
              <w:rPr>
                <w:color w:val="000000"/>
                <w:lang w:val="nl-BE"/>
              </w:rPr>
            </w:pPr>
            <w:r w:rsidRPr="00E6515F">
              <w:rPr>
                <w:color w:val="000000"/>
                <w:lang w:val="nl-BE"/>
              </w:rPr>
              <w:t>0,4%</w:t>
            </w:r>
          </w:p>
        </w:tc>
      </w:tr>
      <w:tr w:rsidR="00A13359" w:rsidRPr="00E6515F" w:rsidTr="00A13359">
        <w:trPr>
          <w:trHeight w:val="380"/>
        </w:trPr>
        <w:tc>
          <w:tcPr>
            <w:tcW w:w="2802" w:type="dxa"/>
            <w:vAlign w:val="center"/>
          </w:tcPr>
          <w:p w:rsidR="00A13359" w:rsidRPr="00E6515F" w:rsidRDefault="00A13359" w:rsidP="00EC600A">
            <w:pPr>
              <w:widowControl w:val="0"/>
              <w:pBdr>
                <w:top w:val="nil"/>
                <w:left w:val="nil"/>
                <w:bottom w:val="nil"/>
                <w:right w:val="nil"/>
                <w:between w:val="nil"/>
              </w:pBdr>
              <w:rPr>
                <w:sz w:val="20"/>
                <w:lang w:val="nl-BE"/>
              </w:rPr>
            </w:pPr>
            <w:r w:rsidRPr="00E6515F">
              <w:rPr>
                <w:sz w:val="20"/>
                <w:lang w:val="nl-BE"/>
              </w:rPr>
              <w:t xml:space="preserve"> </w:t>
            </w:r>
            <w:r w:rsidR="00EC600A">
              <w:rPr>
                <w:sz w:val="20"/>
                <w:lang w:val="nl-BE"/>
              </w:rPr>
              <w:t>P</w:t>
            </w:r>
            <w:r w:rsidR="00EC600A" w:rsidRPr="00E6515F">
              <w:rPr>
                <w:sz w:val="20"/>
                <w:lang w:val="nl-BE"/>
              </w:rPr>
              <w:t xml:space="preserve">aramedisch </w:t>
            </w:r>
            <w:r w:rsidRPr="00E6515F">
              <w:rPr>
                <w:sz w:val="20"/>
                <w:lang w:val="nl-BE"/>
              </w:rPr>
              <w:t xml:space="preserve">personeel </w:t>
            </w:r>
          </w:p>
        </w:tc>
        <w:tc>
          <w:tcPr>
            <w:tcW w:w="1311" w:type="dxa"/>
            <w:vAlign w:val="center"/>
          </w:tcPr>
          <w:p w:rsidR="00A13359" w:rsidRPr="00E6515F" w:rsidRDefault="00A13359">
            <w:pPr>
              <w:jc w:val="center"/>
              <w:rPr>
                <w:color w:val="000000"/>
                <w:lang w:val="nl-BE"/>
              </w:rPr>
            </w:pPr>
            <w:r w:rsidRPr="00E6515F">
              <w:rPr>
                <w:color w:val="000000"/>
                <w:lang w:val="nl-BE"/>
              </w:rPr>
              <w:t>1.390</w:t>
            </w:r>
          </w:p>
        </w:tc>
        <w:tc>
          <w:tcPr>
            <w:tcW w:w="1311" w:type="dxa"/>
            <w:vAlign w:val="center"/>
          </w:tcPr>
          <w:p w:rsidR="00A13359" w:rsidRPr="00E6515F" w:rsidRDefault="00A13359">
            <w:pPr>
              <w:jc w:val="center"/>
              <w:rPr>
                <w:color w:val="000000"/>
                <w:lang w:val="nl-BE"/>
              </w:rPr>
            </w:pPr>
            <w:r w:rsidRPr="00E6515F">
              <w:rPr>
                <w:color w:val="000000"/>
                <w:lang w:val="nl-BE"/>
              </w:rPr>
              <w:t>7,9%</w:t>
            </w:r>
          </w:p>
        </w:tc>
        <w:tc>
          <w:tcPr>
            <w:tcW w:w="1311" w:type="dxa"/>
            <w:vAlign w:val="center"/>
          </w:tcPr>
          <w:p w:rsidR="00A13359" w:rsidRPr="00E6515F" w:rsidRDefault="00A13359">
            <w:pPr>
              <w:jc w:val="center"/>
              <w:rPr>
                <w:color w:val="000000"/>
                <w:lang w:val="nl-BE"/>
              </w:rPr>
            </w:pPr>
            <w:r w:rsidRPr="00E6515F">
              <w:rPr>
                <w:color w:val="000000"/>
                <w:lang w:val="nl-BE"/>
              </w:rPr>
              <w:t>1.382</w:t>
            </w:r>
          </w:p>
        </w:tc>
        <w:tc>
          <w:tcPr>
            <w:tcW w:w="1311" w:type="dxa"/>
            <w:vAlign w:val="center"/>
          </w:tcPr>
          <w:p w:rsidR="00A13359" w:rsidRPr="00E6515F" w:rsidRDefault="00A13359">
            <w:pPr>
              <w:jc w:val="center"/>
              <w:rPr>
                <w:color w:val="000000"/>
                <w:lang w:val="nl-BE"/>
              </w:rPr>
            </w:pPr>
            <w:r w:rsidRPr="00E6515F">
              <w:rPr>
                <w:color w:val="000000"/>
                <w:lang w:val="nl-BE"/>
              </w:rPr>
              <w:t>6,7%</w:t>
            </w:r>
          </w:p>
        </w:tc>
      </w:tr>
      <w:tr w:rsidR="00A13359" w:rsidRPr="00E6515F" w:rsidTr="00A13359">
        <w:trPr>
          <w:trHeight w:val="380"/>
        </w:trPr>
        <w:tc>
          <w:tcPr>
            <w:tcW w:w="2802" w:type="dxa"/>
            <w:vAlign w:val="center"/>
          </w:tcPr>
          <w:p w:rsidR="00A13359" w:rsidRPr="00E6515F" w:rsidRDefault="00A13359" w:rsidP="00EC600A">
            <w:pPr>
              <w:widowControl w:val="0"/>
              <w:pBdr>
                <w:top w:val="nil"/>
                <w:left w:val="nil"/>
                <w:bottom w:val="nil"/>
                <w:right w:val="nil"/>
                <w:between w:val="nil"/>
              </w:pBdr>
              <w:rPr>
                <w:sz w:val="20"/>
                <w:lang w:val="nl-BE"/>
              </w:rPr>
            </w:pPr>
            <w:r w:rsidRPr="00E6515F">
              <w:rPr>
                <w:sz w:val="20"/>
                <w:lang w:val="nl-BE"/>
              </w:rPr>
              <w:t xml:space="preserve"> </w:t>
            </w:r>
            <w:r w:rsidR="00EC600A">
              <w:rPr>
                <w:sz w:val="20"/>
                <w:lang w:val="nl-BE"/>
              </w:rPr>
              <w:t>S</w:t>
            </w:r>
            <w:r w:rsidR="00EC600A" w:rsidRPr="00E6515F">
              <w:rPr>
                <w:sz w:val="20"/>
                <w:lang w:val="nl-BE"/>
              </w:rPr>
              <w:t xml:space="preserve">ociale </w:t>
            </w:r>
            <w:r w:rsidRPr="00E6515F">
              <w:rPr>
                <w:sz w:val="20"/>
                <w:lang w:val="nl-BE"/>
              </w:rPr>
              <w:t xml:space="preserve">dienst </w:t>
            </w:r>
          </w:p>
        </w:tc>
        <w:tc>
          <w:tcPr>
            <w:tcW w:w="1311" w:type="dxa"/>
            <w:vAlign w:val="center"/>
          </w:tcPr>
          <w:p w:rsidR="00A13359" w:rsidRPr="00E6515F" w:rsidRDefault="00A13359">
            <w:pPr>
              <w:jc w:val="center"/>
              <w:rPr>
                <w:color w:val="000000"/>
                <w:lang w:val="nl-BE"/>
              </w:rPr>
            </w:pPr>
            <w:r w:rsidRPr="00E6515F">
              <w:rPr>
                <w:color w:val="000000"/>
                <w:lang w:val="nl-BE"/>
              </w:rPr>
              <w:t>345</w:t>
            </w:r>
          </w:p>
        </w:tc>
        <w:tc>
          <w:tcPr>
            <w:tcW w:w="1311" w:type="dxa"/>
            <w:vAlign w:val="center"/>
          </w:tcPr>
          <w:p w:rsidR="00A13359" w:rsidRPr="00E6515F" w:rsidRDefault="00A13359">
            <w:pPr>
              <w:jc w:val="center"/>
              <w:rPr>
                <w:color w:val="000000"/>
                <w:lang w:val="nl-BE"/>
              </w:rPr>
            </w:pPr>
            <w:r w:rsidRPr="00E6515F">
              <w:rPr>
                <w:color w:val="000000"/>
                <w:lang w:val="nl-BE"/>
              </w:rPr>
              <w:t>2,0%</w:t>
            </w:r>
          </w:p>
        </w:tc>
        <w:tc>
          <w:tcPr>
            <w:tcW w:w="1311" w:type="dxa"/>
            <w:vAlign w:val="center"/>
          </w:tcPr>
          <w:p w:rsidR="00A13359" w:rsidRPr="00E6515F" w:rsidRDefault="00A13359">
            <w:pPr>
              <w:jc w:val="center"/>
              <w:rPr>
                <w:color w:val="000000"/>
                <w:lang w:val="nl-BE"/>
              </w:rPr>
            </w:pPr>
            <w:r w:rsidRPr="00E6515F">
              <w:rPr>
                <w:color w:val="000000"/>
                <w:lang w:val="nl-BE"/>
              </w:rPr>
              <w:t>535</w:t>
            </w:r>
          </w:p>
        </w:tc>
        <w:tc>
          <w:tcPr>
            <w:tcW w:w="1311" w:type="dxa"/>
            <w:vAlign w:val="center"/>
          </w:tcPr>
          <w:p w:rsidR="00A13359" w:rsidRPr="00E6515F" w:rsidRDefault="00A13359">
            <w:pPr>
              <w:jc w:val="center"/>
              <w:rPr>
                <w:color w:val="000000"/>
                <w:lang w:val="nl-BE"/>
              </w:rPr>
            </w:pPr>
            <w:r w:rsidRPr="00E6515F">
              <w:rPr>
                <w:color w:val="000000"/>
                <w:lang w:val="nl-BE"/>
              </w:rPr>
              <w:t>2,6%</w:t>
            </w:r>
          </w:p>
        </w:tc>
      </w:tr>
      <w:tr w:rsidR="00A13359" w:rsidRPr="00E6515F" w:rsidTr="00A13359">
        <w:trPr>
          <w:trHeight w:val="380"/>
        </w:trPr>
        <w:tc>
          <w:tcPr>
            <w:tcW w:w="2802" w:type="dxa"/>
            <w:vAlign w:val="center"/>
          </w:tcPr>
          <w:p w:rsidR="00A13359" w:rsidRPr="00E6515F" w:rsidRDefault="00A13359" w:rsidP="00A13359">
            <w:pPr>
              <w:widowControl w:val="0"/>
              <w:pBdr>
                <w:top w:val="nil"/>
                <w:left w:val="nil"/>
                <w:bottom w:val="nil"/>
                <w:right w:val="nil"/>
                <w:between w:val="nil"/>
              </w:pBdr>
              <w:rPr>
                <w:b/>
                <w:i/>
                <w:sz w:val="20"/>
                <w:lang w:val="nl-BE"/>
              </w:rPr>
            </w:pPr>
            <w:r w:rsidRPr="00E6515F">
              <w:rPr>
                <w:b/>
                <w:i/>
                <w:sz w:val="20"/>
                <w:lang w:val="nl-BE"/>
              </w:rPr>
              <w:t xml:space="preserve"> Totaal</w:t>
            </w:r>
          </w:p>
        </w:tc>
        <w:tc>
          <w:tcPr>
            <w:tcW w:w="1311" w:type="dxa"/>
            <w:vAlign w:val="center"/>
          </w:tcPr>
          <w:p w:rsidR="00A13359" w:rsidRPr="00E6515F" w:rsidRDefault="00A13359">
            <w:pPr>
              <w:jc w:val="center"/>
              <w:rPr>
                <w:b/>
                <w:bCs/>
                <w:i/>
                <w:iCs/>
                <w:color w:val="000000"/>
                <w:lang w:val="nl-BE"/>
              </w:rPr>
            </w:pPr>
            <w:r w:rsidRPr="00E6515F">
              <w:rPr>
                <w:b/>
                <w:bCs/>
                <w:i/>
                <w:iCs/>
                <w:color w:val="000000"/>
                <w:lang w:val="nl-BE"/>
              </w:rPr>
              <w:t>17.503</w:t>
            </w:r>
          </w:p>
        </w:tc>
        <w:tc>
          <w:tcPr>
            <w:tcW w:w="1311" w:type="dxa"/>
            <w:vAlign w:val="center"/>
          </w:tcPr>
          <w:p w:rsidR="00A13359" w:rsidRPr="00E6515F" w:rsidRDefault="00A13359">
            <w:pPr>
              <w:jc w:val="center"/>
              <w:rPr>
                <w:b/>
                <w:bCs/>
                <w:i/>
                <w:iCs/>
                <w:color w:val="000000"/>
                <w:lang w:val="nl-BE"/>
              </w:rPr>
            </w:pPr>
            <w:r w:rsidRPr="00E6515F">
              <w:rPr>
                <w:b/>
                <w:bCs/>
                <w:i/>
                <w:iCs/>
                <w:color w:val="000000"/>
                <w:lang w:val="nl-BE"/>
              </w:rPr>
              <w:t>100,0%</w:t>
            </w:r>
          </w:p>
        </w:tc>
        <w:tc>
          <w:tcPr>
            <w:tcW w:w="1311" w:type="dxa"/>
            <w:vAlign w:val="center"/>
          </w:tcPr>
          <w:p w:rsidR="00A13359" w:rsidRPr="00E6515F" w:rsidRDefault="00A13359">
            <w:pPr>
              <w:jc w:val="center"/>
              <w:rPr>
                <w:b/>
                <w:bCs/>
                <w:i/>
                <w:iCs/>
                <w:color w:val="000000"/>
                <w:lang w:val="nl-BE"/>
              </w:rPr>
            </w:pPr>
            <w:r w:rsidRPr="00E6515F">
              <w:rPr>
                <w:b/>
                <w:bCs/>
                <w:i/>
                <w:iCs/>
                <w:color w:val="000000"/>
                <w:lang w:val="nl-BE"/>
              </w:rPr>
              <w:t>20.728</w:t>
            </w:r>
          </w:p>
        </w:tc>
        <w:tc>
          <w:tcPr>
            <w:tcW w:w="1311" w:type="dxa"/>
            <w:vAlign w:val="center"/>
          </w:tcPr>
          <w:p w:rsidR="00A13359" w:rsidRPr="00E6515F" w:rsidRDefault="00A13359">
            <w:pPr>
              <w:jc w:val="center"/>
              <w:rPr>
                <w:b/>
                <w:bCs/>
                <w:i/>
                <w:iCs/>
                <w:color w:val="000000"/>
                <w:lang w:val="nl-BE"/>
              </w:rPr>
            </w:pPr>
            <w:r w:rsidRPr="00E6515F">
              <w:rPr>
                <w:b/>
                <w:bCs/>
                <w:i/>
                <w:iCs/>
                <w:color w:val="000000"/>
                <w:lang w:val="nl-BE"/>
              </w:rPr>
              <w:t>100,0%</w:t>
            </w:r>
          </w:p>
        </w:tc>
      </w:tr>
    </w:tbl>
    <w:p w:rsidR="00CD1B8C" w:rsidRPr="00E6515F" w:rsidRDefault="00CD1B8C">
      <w:pPr>
        <w:rPr>
          <w:lang w:val="nl-BE"/>
        </w:rPr>
      </w:pPr>
    </w:p>
    <w:p w:rsidR="002772D5" w:rsidRPr="00E6515F" w:rsidRDefault="002859D7" w:rsidP="003529A1">
      <w:pPr>
        <w:jc w:val="both"/>
        <w:rPr>
          <w:lang w:val="nl-BE"/>
        </w:rPr>
      </w:pPr>
      <w:r w:rsidRPr="00E6515F">
        <w:rPr>
          <w:lang w:val="nl-BE"/>
        </w:rPr>
        <w:t>Opgelet</w:t>
      </w:r>
      <w:r w:rsidR="00EC600A">
        <w:rPr>
          <w:lang w:val="nl-BE"/>
        </w:rPr>
        <w:t>: het gaat</w:t>
      </w:r>
      <w:r w:rsidRPr="00E6515F">
        <w:rPr>
          <w:lang w:val="nl-BE"/>
        </w:rPr>
        <w:t xml:space="preserve"> </w:t>
      </w:r>
      <w:r w:rsidR="00075830" w:rsidRPr="00E6515F">
        <w:rPr>
          <w:lang w:val="nl-BE"/>
        </w:rPr>
        <w:t>enkel</w:t>
      </w:r>
      <w:r w:rsidR="00EC600A">
        <w:rPr>
          <w:lang w:val="nl-BE"/>
        </w:rPr>
        <w:t xml:space="preserve"> om</w:t>
      </w:r>
      <w:r w:rsidR="00075830" w:rsidRPr="00E6515F">
        <w:rPr>
          <w:lang w:val="nl-BE"/>
        </w:rPr>
        <w:t xml:space="preserve"> de personeelsleden waarvoor</w:t>
      </w:r>
      <w:r w:rsidRPr="00E6515F">
        <w:rPr>
          <w:lang w:val="nl-BE"/>
        </w:rPr>
        <w:t xml:space="preserve"> het </w:t>
      </w:r>
      <w:r w:rsidR="00627480" w:rsidRPr="00E6515F">
        <w:rPr>
          <w:lang w:val="nl-BE"/>
        </w:rPr>
        <w:t>VAPH</w:t>
      </w:r>
      <w:r w:rsidRPr="00E6515F">
        <w:rPr>
          <w:lang w:val="nl-BE"/>
        </w:rPr>
        <w:t xml:space="preserve"> de voorzieningen </w:t>
      </w:r>
      <w:r w:rsidR="00AB7840" w:rsidRPr="00E6515F">
        <w:rPr>
          <w:lang w:val="nl-BE"/>
        </w:rPr>
        <w:t>subsidieert</w:t>
      </w:r>
      <w:r w:rsidRPr="00E6515F">
        <w:rPr>
          <w:lang w:val="nl-BE"/>
        </w:rPr>
        <w:t xml:space="preserve">. Personeelsleden die door hun budgethouder worden betaald via </w:t>
      </w:r>
      <w:r w:rsidR="00EC600A">
        <w:rPr>
          <w:lang w:val="nl-BE"/>
        </w:rPr>
        <w:t xml:space="preserve">een persoonsvolgend budget in </w:t>
      </w:r>
      <w:r w:rsidRPr="00E6515F">
        <w:rPr>
          <w:lang w:val="nl-BE"/>
        </w:rPr>
        <w:t xml:space="preserve">cash of </w:t>
      </w:r>
      <w:r w:rsidR="00EC600A">
        <w:rPr>
          <w:lang w:val="nl-BE"/>
        </w:rPr>
        <w:t xml:space="preserve">een </w:t>
      </w:r>
      <w:r w:rsidR="00DD02E4">
        <w:rPr>
          <w:lang w:val="nl-BE"/>
        </w:rPr>
        <w:t>persoonlijke-assistentiebudget</w:t>
      </w:r>
      <w:r w:rsidR="00EC600A">
        <w:rPr>
          <w:lang w:val="nl-BE"/>
        </w:rPr>
        <w:t>,</w:t>
      </w:r>
      <w:r w:rsidRPr="00E6515F">
        <w:rPr>
          <w:lang w:val="nl-BE"/>
        </w:rPr>
        <w:t xml:space="preserve"> worden hierbij niet vermeld.</w:t>
      </w:r>
      <w:r w:rsidR="002772D5" w:rsidRPr="00E6515F">
        <w:rPr>
          <w:lang w:val="nl-BE"/>
        </w:rPr>
        <w:t xml:space="preserve"> Daarbovenop is het zo dat voor een aantal andere zorgvormen</w:t>
      </w:r>
      <w:r w:rsidR="00EC600A">
        <w:rPr>
          <w:lang w:val="nl-BE"/>
        </w:rPr>
        <w:t>,</w:t>
      </w:r>
      <w:r w:rsidR="002772D5" w:rsidRPr="00E6515F">
        <w:rPr>
          <w:lang w:val="nl-BE"/>
        </w:rPr>
        <w:t xml:space="preserve"> bijvoorbeeld persoonsvolgende convenanten</w:t>
      </w:r>
      <w:r w:rsidR="00EC600A">
        <w:rPr>
          <w:lang w:val="nl-BE"/>
        </w:rPr>
        <w:t>,</w:t>
      </w:r>
      <w:r w:rsidR="002772D5" w:rsidRPr="00E6515F">
        <w:rPr>
          <w:lang w:val="nl-BE"/>
        </w:rPr>
        <w:t xml:space="preserve"> geen personeel diende bewezen</w:t>
      </w:r>
      <w:r w:rsidR="00075830" w:rsidRPr="00E6515F">
        <w:rPr>
          <w:lang w:val="nl-BE"/>
        </w:rPr>
        <w:t xml:space="preserve"> te worden</w:t>
      </w:r>
      <w:r w:rsidR="002772D5" w:rsidRPr="00E6515F">
        <w:rPr>
          <w:lang w:val="nl-BE"/>
        </w:rPr>
        <w:t>. Daardoor lijkt er een lichtere stijging van he</w:t>
      </w:r>
      <w:r w:rsidR="00075830" w:rsidRPr="00E6515F">
        <w:rPr>
          <w:lang w:val="nl-BE"/>
        </w:rPr>
        <w:t xml:space="preserve">t aantal </w:t>
      </w:r>
      <w:r w:rsidR="00EC600A">
        <w:rPr>
          <w:lang w:val="nl-BE"/>
        </w:rPr>
        <w:t>voltijdsequivalenten (</w:t>
      </w:r>
      <w:proofErr w:type="spellStart"/>
      <w:r w:rsidR="00EC600A">
        <w:rPr>
          <w:lang w:val="nl-BE"/>
        </w:rPr>
        <w:t>VTE’s</w:t>
      </w:r>
      <w:proofErr w:type="spellEnd"/>
      <w:r w:rsidR="00EC600A">
        <w:rPr>
          <w:lang w:val="nl-BE"/>
        </w:rPr>
        <w:t>)</w:t>
      </w:r>
      <w:r w:rsidR="00EC600A" w:rsidRPr="00E6515F">
        <w:rPr>
          <w:lang w:val="nl-BE"/>
        </w:rPr>
        <w:t xml:space="preserve"> </w:t>
      </w:r>
      <w:r w:rsidR="00075830" w:rsidRPr="00E6515F">
        <w:rPr>
          <w:lang w:val="nl-BE"/>
        </w:rPr>
        <w:t xml:space="preserve">dan </w:t>
      </w:r>
      <w:r w:rsidR="002772D5" w:rsidRPr="00E6515F">
        <w:rPr>
          <w:lang w:val="nl-BE"/>
        </w:rPr>
        <w:t xml:space="preserve">misschien </w:t>
      </w:r>
      <w:r w:rsidR="00075830" w:rsidRPr="00E6515F">
        <w:rPr>
          <w:lang w:val="nl-BE"/>
        </w:rPr>
        <w:t>te</w:t>
      </w:r>
      <w:r w:rsidR="002772D5" w:rsidRPr="00E6515F">
        <w:rPr>
          <w:lang w:val="nl-BE"/>
        </w:rPr>
        <w:t xml:space="preserve"> verwachten</w:t>
      </w:r>
      <w:r w:rsidR="00075830" w:rsidRPr="00E6515F">
        <w:rPr>
          <w:lang w:val="nl-BE"/>
        </w:rPr>
        <w:t xml:space="preserve"> zou zijn</w:t>
      </w:r>
      <w:r w:rsidR="002772D5" w:rsidRPr="00E6515F">
        <w:rPr>
          <w:lang w:val="nl-BE"/>
        </w:rPr>
        <w:t xml:space="preserve">. </w:t>
      </w:r>
      <w:r w:rsidR="00182407" w:rsidRPr="00E6515F">
        <w:rPr>
          <w:lang w:val="nl-BE"/>
        </w:rPr>
        <w:t>Niet onbelangrijk is dat door allerlei wijzigingen (indexstijgingen, anci</w:t>
      </w:r>
      <w:r w:rsidR="00AF7FA5" w:rsidRPr="00E6515F">
        <w:rPr>
          <w:lang w:val="nl-BE"/>
        </w:rPr>
        <w:t>ë</w:t>
      </w:r>
      <w:r w:rsidR="00182407" w:rsidRPr="00E6515F">
        <w:rPr>
          <w:lang w:val="nl-BE"/>
        </w:rPr>
        <w:t>nniteitswijzigingen, intersectorale akkoorden omtrent subsidies aan personeel) het te subsidi</w:t>
      </w:r>
      <w:r w:rsidR="00AF7FA5" w:rsidRPr="00E6515F">
        <w:rPr>
          <w:lang w:val="nl-BE"/>
        </w:rPr>
        <w:t>ë</w:t>
      </w:r>
      <w:r w:rsidR="00182407" w:rsidRPr="00E6515F">
        <w:rPr>
          <w:lang w:val="nl-BE"/>
        </w:rPr>
        <w:t xml:space="preserve">ren bedrag voor 1 </w:t>
      </w:r>
      <w:r w:rsidR="00EC600A">
        <w:rPr>
          <w:lang w:val="nl-BE"/>
        </w:rPr>
        <w:t>voltijd</w:t>
      </w:r>
      <w:r w:rsidR="003D1B86">
        <w:rPr>
          <w:lang w:val="nl-BE"/>
        </w:rPr>
        <w:t>s</w:t>
      </w:r>
      <w:r w:rsidR="00EC600A">
        <w:rPr>
          <w:lang w:val="nl-BE"/>
        </w:rPr>
        <w:t>equivalent</w:t>
      </w:r>
      <w:r w:rsidR="00EC600A" w:rsidRPr="00E6515F">
        <w:rPr>
          <w:lang w:val="nl-BE"/>
        </w:rPr>
        <w:t xml:space="preserve"> </w:t>
      </w:r>
      <w:r w:rsidR="00182407" w:rsidRPr="00E6515F">
        <w:rPr>
          <w:lang w:val="nl-BE"/>
        </w:rPr>
        <w:t xml:space="preserve">steeds duurder wordt. </w:t>
      </w:r>
    </w:p>
    <w:p w:rsidR="00182407" w:rsidRPr="00E6515F" w:rsidRDefault="00182407" w:rsidP="003529A1">
      <w:pPr>
        <w:jc w:val="both"/>
        <w:rPr>
          <w:lang w:val="nl-BE"/>
        </w:rPr>
      </w:pPr>
    </w:p>
    <w:p w:rsidR="00075830" w:rsidRPr="00E6515F" w:rsidRDefault="00075830">
      <w:pPr>
        <w:rPr>
          <w:rFonts w:eastAsia="Times New Roman" w:cs="Times New Roman"/>
          <w:color w:val="000000"/>
          <w:lang w:val="nl-BE"/>
        </w:rPr>
      </w:pPr>
      <w:r w:rsidRPr="00E6515F">
        <w:rPr>
          <w:rFonts w:eastAsia="Times New Roman" w:cs="Times New Roman"/>
          <w:color w:val="000000"/>
          <w:lang w:val="nl-BE"/>
        </w:rPr>
        <w:br w:type="page"/>
      </w:r>
    </w:p>
    <w:p w:rsidR="00182407" w:rsidRPr="00E6515F" w:rsidRDefault="00182407" w:rsidP="00075830">
      <w:pPr>
        <w:spacing w:line="240" w:lineRule="auto"/>
        <w:jc w:val="both"/>
        <w:rPr>
          <w:rFonts w:ascii="Times New Roman" w:eastAsia="Times New Roman" w:hAnsi="Times New Roman" w:cs="Times New Roman"/>
          <w:sz w:val="24"/>
          <w:szCs w:val="24"/>
          <w:lang w:val="nl-BE"/>
        </w:rPr>
      </w:pPr>
      <w:r w:rsidRPr="00E6515F">
        <w:rPr>
          <w:rFonts w:eastAsia="Times New Roman" w:cs="Times New Roman"/>
          <w:color w:val="000000"/>
          <w:lang w:val="nl-BE"/>
        </w:rPr>
        <w:lastRenderedPageBreak/>
        <w:t xml:space="preserve">Hieronder vindt u ter illustratie een overzicht van de evolutie van het bedrag per </w:t>
      </w:r>
      <w:r w:rsidR="00075830" w:rsidRPr="00E6515F">
        <w:rPr>
          <w:rFonts w:eastAsia="Times New Roman" w:cs="Times New Roman"/>
          <w:color w:val="000000"/>
          <w:lang w:val="nl-BE"/>
        </w:rPr>
        <w:t>personeels</w:t>
      </w:r>
      <w:r w:rsidRPr="00E6515F">
        <w:rPr>
          <w:rFonts w:eastAsia="Times New Roman" w:cs="Times New Roman"/>
          <w:color w:val="000000"/>
          <w:lang w:val="nl-BE"/>
        </w:rPr>
        <w:t xml:space="preserve">punt per jaar. </w:t>
      </w:r>
    </w:p>
    <w:p w:rsidR="00A13359" w:rsidRPr="00E6515F" w:rsidRDefault="00A13359" w:rsidP="00A13359">
      <w:pPr>
        <w:pStyle w:val="Bijschrift"/>
        <w:spacing w:after="0"/>
        <w:rPr>
          <w:bCs w:val="0"/>
          <w:szCs w:val="22"/>
          <w:u w:val="none"/>
          <w:lang w:val="nl-BE"/>
        </w:rPr>
      </w:pPr>
    </w:p>
    <w:p w:rsidR="000C6931" w:rsidRPr="00E6515F" w:rsidRDefault="000C6931" w:rsidP="000C6931">
      <w:pPr>
        <w:pStyle w:val="Bijschrift"/>
        <w:rPr>
          <w:rFonts w:asciiTheme="majorHAnsi" w:eastAsia="Times New Roman" w:hAnsiTheme="majorHAnsi" w:cs="Times New Roman"/>
          <w:szCs w:val="22"/>
          <w:lang w:val="nl-BE"/>
        </w:rPr>
      </w:pPr>
      <w:r w:rsidRPr="00E6515F">
        <w:rPr>
          <w:rFonts w:asciiTheme="majorHAnsi" w:hAnsiTheme="majorHAnsi"/>
          <w:szCs w:val="22"/>
          <w:lang w:val="nl-BE"/>
        </w:rPr>
        <w:t xml:space="preserve">Tabel </w:t>
      </w:r>
      <w:r w:rsidRPr="00E6515F">
        <w:rPr>
          <w:rFonts w:asciiTheme="majorHAnsi" w:hAnsiTheme="majorHAnsi"/>
          <w:szCs w:val="22"/>
          <w:lang w:val="nl-BE"/>
        </w:rPr>
        <w:fldChar w:fldCharType="begin"/>
      </w:r>
      <w:r w:rsidRPr="00E6515F">
        <w:rPr>
          <w:rFonts w:asciiTheme="majorHAnsi" w:hAnsiTheme="majorHAnsi"/>
          <w:szCs w:val="22"/>
          <w:lang w:val="nl-BE"/>
        </w:rPr>
        <w:instrText xml:space="preserve"> SEQ Tabel \* ARABIC </w:instrText>
      </w:r>
      <w:r w:rsidRPr="00E6515F">
        <w:rPr>
          <w:rFonts w:asciiTheme="majorHAnsi" w:hAnsiTheme="majorHAnsi"/>
          <w:szCs w:val="22"/>
          <w:lang w:val="nl-BE"/>
        </w:rPr>
        <w:fldChar w:fldCharType="separate"/>
      </w:r>
      <w:r w:rsidR="0062760A">
        <w:rPr>
          <w:rFonts w:asciiTheme="majorHAnsi" w:hAnsiTheme="majorHAnsi"/>
          <w:noProof/>
          <w:szCs w:val="22"/>
          <w:lang w:val="nl-BE"/>
        </w:rPr>
        <w:t>32</w:t>
      </w:r>
      <w:r w:rsidRPr="00E6515F">
        <w:rPr>
          <w:rFonts w:asciiTheme="majorHAnsi" w:hAnsiTheme="majorHAnsi"/>
          <w:szCs w:val="22"/>
          <w:lang w:val="nl-BE"/>
        </w:rPr>
        <w:fldChar w:fldCharType="end"/>
      </w:r>
      <w:r w:rsidRPr="00E6515F">
        <w:rPr>
          <w:rFonts w:asciiTheme="majorHAnsi" w:hAnsiTheme="majorHAnsi"/>
          <w:szCs w:val="22"/>
          <w:lang w:val="nl-BE"/>
        </w:rPr>
        <w:t xml:space="preserve">: </w:t>
      </w:r>
      <w:r w:rsidR="00696A8E">
        <w:rPr>
          <w:rFonts w:asciiTheme="majorHAnsi" w:eastAsia="Times New Roman" w:hAnsiTheme="majorHAnsi" w:cs="Times New Roman"/>
          <w:szCs w:val="22"/>
          <w:lang w:val="nl-BE"/>
        </w:rPr>
        <w:t>E</w:t>
      </w:r>
      <w:r w:rsidRPr="00E6515F">
        <w:rPr>
          <w:rFonts w:asciiTheme="majorHAnsi" w:eastAsia="Times New Roman" w:hAnsiTheme="majorHAnsi" w:cs="Times New Roman"/>
          <w:szCs w:val="22"/>
          <w:lang w:val="nl-BE"/>
        </w:rPr>
        <w:t>volutie van het bedrag per personeelspunt</w:t>
      </w:r>
    </w:p>
    <w:tbl>
      <w:tblPr>
        <w:tblW w:w="0" w:type="auto"/>
        <w:tblCellMar>
          <w:top w:w="15" w:type="dxa"/>
          <w:left w:w="15" w:type="dxa"/>
          <w:bottom w:w="15" w:type="dxa"/>
          <w:right w:w="15" w:type="dxa"/>
        </w:tblCellMar>
        <w:tblLook w:val="04A0" w:firstRow="1" w:lastRow="0" w:firstColumn="1" w:lastColumn="0" w:noHBand="0" w:noVBand="1"/>
      </w:tblPr>
      <w:tblGrid>
        <w:gridCol w:w="737"/>
        <w:gridCol w:w="1352"/>
      </w:tblGrid>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hideMark/>
          </w:tcPr>
          <w:p w:rsidR="00AD5854" w:rsidRPr="00E6515F" w:rsidRDefault="000C6931" w:rsidP="000C6931">
            <w:pPr>
              <w:spacing w:line="0" w:lineRule="atLeast"/>
              <w:rPr>
                <w:rFonts w:ascii="Times New Roman" w:eastAsia="Times New Roman" w:hAnsi="Times New Roman" w:cs="Times New Roman"/>
                <w:sz w:val="24"/>
                <w:szCs w:val="24"/>
                <w:lang w:val="nl-BE"/>
              </w:rPr>
            </w:pPr>
            <w:r w:rsidRPr="00E6515F">
              <w:rPr>
                <w:rFonts w:eastAsia="Times New Roman" w:cs="Times New Roman"/>
                <w:b/>
                <w:bCs/>
                <w:color w:val="000000"/>
                <w:lang w:val="nl-BE"/>
              </w:rPr>
              <w:t xml:space="preserve"> Jaar</w:t>
            </w:r>
            <w:r w:rsidR="00AD5854" w:rsidRPr="00E6515F">
              <w:rPr>
                <w:rFonts w:eastAsia="Times New Roman" w:cs="Times New Roman"/>
                <w:b/>
                <w:bCs/>
                <w:color w:val="000000"/>
                <w:lang w:val="nl-BE"/>
              </w:rPr>
              <w:t xml:space="preserve"> </w:t>
            </w:r>
          </w:p>
        </w:tc>
        <w:tc>
          <w:tcPr>
            <w:tcW w:w="1352"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b/>
                <w:bCs/>
                <w:color w:val="000000"/>
                <w:lang w:val="nl-BE"/>
              </w:rPr>
              <w:t>Bedrag per punt</w:t>
            </w:r>
          </w:p>
        </w:tc>
      </w:tr>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2015</w:t>
            </w:r>
          </w:p>
        </w:tc>
        <w:tc>
          <w:tcPr>
            <w:tcW w:w="135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€ 924,69 </w:t>
            </w:r>
          </w:p>
        </w:tc>
      </w:tr>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2016</w:t>
            </w:r>
          </w:p>
        </w:tc>
        <w:tc>
          <w:tcPr>
            <w:tcW w:w="135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color w:val="000000"/>
                <w:lang w:val="nl-BE"/>
              </w:rPr>
              <w:t>€ 925,00</w:t>
            </w:r>
          </w:p>
        </w:tc>
      </w:tr>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2017</w:t>
            </w:r>
          </w:p>
        </w:tc>
        <w:tc>
          <w:tcPr>
            <w:tcW w:w="135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color w:val="000000"/>
                <w:lang w:val="nl-BE"/>
              </w:rPr>
              <w:t>€ 925,00</w:t>
            </w:r>
          </w:p>
        </w:tc>
      </w:tr>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2018</w:t>
            </w:r>
          </w:p>
        </w:tc>
        <w:tc>
          <w:tcPr>
            <w:tcW w:w="135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color w:val="000000"/>
                <w:lang w:val="nl-BE"/>
              </w:rPr>
              <w:t>€ 952,40</w:t>
            </w:r>
          </w:p>
        </w:tc>
      </w:tr>
      <w:tr w:rsidR="00AD5854" w:rsidRPr="00E6515F" w:rsidTr="000C6931">
        <w:tc>
          <w:tcPr>
            <w:tcW w:w="7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rPr>
                <w:rFonts w:ascii="Times New Roman" w:eastAsia="Times New Roman" w:hAnsi="Times New Roman" w:cs="Times New Roman"/>
                <w:sz w:val="24"/>
                <w:szCs w:val="24"/>
                <w:lang w:val="nl-BE"/>
              </w:rPr>
            </w:pPr>
            <w:r w:rsidRPr="00E6515F">
              <w:rPr>
                <w:rFonts w:eastAsia="Times New Roman" w:cs="Times New Roman"/>
                <w:color w:val="000000"/>
                <w:lang w:val="nl-BE"/>
              </w:rPr>
              <w:t xml:space="preserve"> 2019</w:t>
            </w:r>
          </w:p>
        </w:tc>
        <w:tc>
          <w:tcPr>
            <w:tcW w:w="135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854" w:rsidRPr="00E6515F" w:rsidRDefault="00AD5854" w:rsidP="00182407">
            <w:pPr>
              <w:spacing w:line="0" w:lineRule="atLeast"/>
              <w:jc w:val="center"/>
              <w:rPr>
                <w:rFonts w:ascii="Times New Roman" w:eastAsia="Times New Roman" w:hAnsi="Times New Roman" w:cs="Times New Roman"/>
                <w:sz w:val="24"/>
                <w:szCs w:val="24"/>
                <w:lang w:val="nl-BE"/>
              </w:rPr>
            </w:pPr>
            <w:r w:rsidRPr="00E6515F">
              <w:rPr>
                <w:rFonts w:eastAsia="Times New Roman" w:cs="Times New Roman"/>
                <w:color w:val="000000"/>
                <w:lang w:val="nl-BE"/>
              </w:rPr>
              <w:t>€ 976,80</w:t>
            </w:r>
          </w:p>
        </w:tc>
      </w:tr>
    </w:tbl>
    <w:p w:rsidR="00075830" w:rsidRPr="00E6515F" w:rsidRDefault="00075830" w:rsidP="00075830">
      <w:pPr>
        <w:spacing w:line="240" w:lineRule="atLeast"/>
        <w:textAlignment w:val="top"/>
        <w:rPr>
          <w:rFonts w:ascii="Arial" w:eastAsia="Times New Roman" w:hAnsi="Arial" w:cs="Arial"/>
          <w:color w:val="263238"/>
          <w:sz w:val="20"/>
          <w:szCs w:val="20"/>
          <w:lang w:val="nl-BE"/>
        </w:rPr>
      </w:pPr>
      <w:bookmarkStart w:id="106" w:name="_rbphfcmi6zdv" w:colFirst="0" w:colLast="0"/>
      <w:bookmarkStart w:id="107" w:name="_Toc528227913"/>
      <w:bookmarkEnd w:id="106"/>
    </w:p>
    <w:p w:rsidR="00075830" w:rsidRPr="00E6515F" w:rsidRDefault="00075830" w:rsidP="00075830">
      <w:pPr>
        <w:jc w:val="both"/>
        <w:rPr>
          <w:lang w:val="nl-BE"/>
        </w:rPr>
      </w:pPr>
      <w:r w:rsidRPr="00E6515F">
        <w:rPr>
          <w:lang w:val="nl-BE"/>
        </w:rPr>
        <w:t xml:space="preserve">Personeelspunten worden zowel ingezet met een </w:t>
      </w:r>
      <w:r w:rsidR="00DD02E4">
        <w:rPr>
          <w:lang w:val="nl-BE"/>
        </w:rPr>
        <w:t>persoonsvolgend budget</w:t>
      </w:r>
      <w:r w:rsidRPr="00E6515F">
        <w:rPr>
          <w:lang w:val="nl-BE"/>
        </w:rPr>
        <w:t xml:space="preserve"> via voucher, maar ook via directe financiering of via een erkenning in personeelspunten voor </w:t>
      </w:r>
      <w:r w:rsidR="00DD02E4">
        <w:rPr>
          <w:lang w:val="nl-BE"/>
        </w:rPr>
        <w:t>rechtstreeks toegankelijke hulp</w:t>
      </w:r>
      <w:r w:rsidRPr="00E6515F">
        <w:rPr>
          <w:lang w:val="nl-BE"/>
        </w:rPr>
        <w:t xml:space="preserve"> of </w:t>
      </w:r>
      <w:r w:rsidR="00EC600A">
        <w:rPr>
          <w:lang w:val="nl-BE"/>
        </w:rPr>
        <w:t>multifunctioneel centrum</w:t>
      </w:r>
      <w:r w:rsidRPr="00E6515F">
        <w:rPr>
          <w:lang w:val="nl-BE"/>
        </w:rPr>
        <w:t xml:space="preserve">. </w:t>
      </w:r>
      <w:r w:rsidR="00EC600A" w:rsidRPr="00E6515F">
        <w:rPr>
          <w:lang w:val="nl-BE"/>
        </w:rPr>
        <w:t>D</w:t>
      </w:r>
      <w:r w:rsidR="00EC600A">
        <w:rPr>
          <w:lang w:val="nl-BE"/>
        </w:rPr>
        <w:t>a</w:t>
      </w:r>
      <w:r w:rsidR="00EC600A" w:rsidRPr="00E6515F">
        <w:rPr>
          <w:lang w:val="nl-BE"/>
        </w:rPr>
        <w:t xml:space="preserve">t </w:t>
      </w:r>
      <w:r w:rsidRPr="00E6515F">
        <w:rPr>
          <w:lang w:val="nl-BE"/>
        </w:rPr>
        <w:t xml:space="preserve">biedt de zorgaanbieders de mogelijkheid om zelf keuzes te maken </w:t>
      </w:r>
      <w:r w:rsidR="00EC600A">
        <w:rPr>
          <w:lang w:val="nl-BE"/>
        </w:rPr>
        <w:t>over</w:t>
      </w:r>
      <w:r w:rsidRPr="00E6515F">
        <w:rPr>
          <w:lang w:val="nl-BE"/>
        </w:rPr>
        <w:t xml:space="preserve"> de inzet van hun personeel </w:t>
      </w:r>
      <w:r w:rsidR="00EC600A">
        <w:rPr>
          <w:lang w:val="nl-BE"/>
        </w:rPr>
        <w:t>in het kader van</w:t>
      </w:r>
      <w:r w:rsidR="003D1B86">
        <w:rPr>
          <w:lang w:val="nl-BE"/>
        </w:rPr>
        <w:t xml:space="preserve"> </w:t>
      </w:r>
      <w:r w:rsidRPr="00E6515F">
        <w:rPr>
          <w:lang w:val="nl-BE"/>
        </w:rPr>
        <w:t xml:space="preserve">hun sociaal ondernemerschap. </w:t>
      </w:r>
    </w:p>
    <w:p w:rsidR="00075830" w:rsidRPr="00E6515F" w:rsidRDefault="00075830" w:rsidP="00075830">
      <w:pPr>
        <w:jc w:val="both"/>
        <w:rPr>
          <w:lang w:val="nl-BE"/>
        </w:rPr>
      </w:pPr>
    </w:p>
    <w:p w:rsidR="00075830" w:rsidRPr="00E6515F" w:rsidRDefault="00075830" w:rsidP="00075830">
      <w:pPr>
        <w:jc w:val="both"/>
        <w:rPr>
          <w:lang w:val="nl-BE"/>
        </w:rPr>
      </w:pPr>
      <w:r w:rsidRPr="00E6515F">
        <w:rPr>
          <w:lang w:val="nl-BE"/>
        </w:rPr>
        <w:t xml:space="preserve">De methodiek van personeelspunten houdt in dat er kostendekkend gefinancierd wordt. De kostprijs van een personeelspunt is telkens gebaseerd op de </w:t>
      </w:r>
      <w:proofErr w:type="spellStart"/>
      <w:r w:rsidRPr="00E6515F">
        <w:rPr>
          <w:lang w:val="nl-BE"/>
        </w:rPr>
        <w:t>baremieke</w:t>
      </w:r>
      <w:proofErr w:type="spellEnd"/>
      <w:r w:rsidRPr="00E6515F">
        <w:rPr>
          <w:lang w:val="nl-BE"/>
        </w:rPr>
        <w:t xml:space="preserve"> loongegevens van de personeelsleden gedeeld door de punten, verhoogd met de extra middelen voor management en vorming,</w:t>
      </w:r>
      <w:r w:rsidR="003D0D63">
        <w:rPr>
          <w:lang w:val="nl-BE"/>
        </w:rPr>
        <w:t xml:space="preserve"> vanuit het Vlaamse Intersectoraal Akkoord (VIA),</w:t>
      </w:r>
      <w:r w:rsidRPr="00E6515F">
        <w:rPr>
          <w:lang w:val="nl-BE"/>
        </w:rPr>
        <w:t xml:space="preserve">... </w:t>
      </w:r>
      <w:r w:rsidR="00EC600A">
        <w:rPr>
          <w:lang w:val="nl-BE"/>
        </w:rPr>
        <w:t>Daa</w:t>
      </w:r>
      <w:r w:rsidR="00EC600A" w:rsidRPr="00E6515F">
        <w:rPr>
          <w:lang w:val="nl-BE"/>
        </w:rPr>
        <w:t xml:space="preserve">r </w:t>
      </w:r>
      <w:r w:rsidRPr="00E6515F">
        <w:rPr>
          <w:lang w:val="nl-BE"/>
        </w:rPr>
        <w:t xml:space="preserve">wordt telkens de loonindex en de gemiddelde weddedrift (evolutie anciënniteit personeel) aan toegevoegd. </w:t>
      </w:r>
      <w:r w:rsidR="005C5EEC" w:rsidRPr="00E6515F">
        <w:rPr>
          <w:lang w:val="nl-BE"/>
        </w:rPr>
        <w:t xml:space="preserve">Er wordt jaarlijks afgerekend voor jaar X-2. </w:t>
      </w:r>
      <w:r w:rsidR="00EC600A" w:rsidRPr="00E6515F">
        <w:rPr>
          <w:lang w:val="nl-BE"/>
        </w:rPr>
        <w:t>D</w:t>
      </w:r>
      <w:r w:rsidR="00EC600A">
        <w:rPr>
          <w:lang w:val="nl-BE"/>
        </w:rPr>
        <w:t>a</w:t>
      </w:r>
      <w:r w:rsidR="00EC600A" w:rsidRPr="00E6515F">
        <w:rPr>
          <w:lang w:val="nl-BE"/>
        </w:rPr>
        <w:t xml:space="preserve">t </w:t>
      </w:r>
      <w:r w:rsidR="005C5EEC" w:rsidRPr="00E6515F">
        <w:rPr>
          <w:lang w:val="nl-BE"/>
        </w:rPr>
        <w:t>houdt in dat men voor de afsluiting van de begroting in het betrokken jaar een inschatting moet maken van de totale personeelskosten. Vóór 2018</w:t>
      </w:r>
      <w:r w:rsidRPr="00E6515F">
        <w:rPr>
          <w:lang w:val="nl-BE"/>
        </w:rPr>
        <w:t xml:space="preserve"> </w:t>
      </w:r>
      <w:r w:rsidR="005C5EEC" w:rsidRPr="00E6515F">
        <w:rPr>
          <w:lang w:val="nl-BE"/>
        </w:rPr>
        <w:t>werd</w:t>
      </w:r>
      <w:r w:rsidRPr="00E6515F">
        <w:rPr>
          <w:lang w:val="nl-BE"/>
        </w:rPr>
        <w:t xml:space="preserve"> het bedrag per punt </w:t>
      </w:r>
      <w:r w:rsidR="005C5EEC" w:rsidRPr="00E6515F">
        <w:rPr>
          <w:lang w:val="nl-BE"/>
        </w:rPr>
        <w:t>ingeschat aan de hand van het afrekeningsdossier van het laatst afgerekende jaar</w:t>
      </w:r>
      <w:r w:rsidR="00234759" w:rsidRPr="00E6515F">
        <w:rPr>
          <w:lang w:val="nl-BE"/>
        </w:rPr>
        <w:t xml:space="preserve"> X-2</w:t>
      </w:r>
      <w:r w:rsidR="005C5EEC" w:rsidRPr="00E6515F">
        <w:rPr>
          <w:lang w:val="nl-BE"/>
        </w:rPr>
        <w:t xml:space="preserve">. Vanaf 2018 </w:t>
      </w:r>
      <w:r w:rsidR="00EC600A">
        <w:rPr>
          <w:lang w:val="nl-BE"/>
        </w:rPr>
        <w:t xml:space="preserve">gebeurt dat aan de hand van </w:t>
      </w:r>
      <w:r w:rsidRPr="00E6515F">
        <w:rPr>
          <w:lang w:val="nl-BE"/>
        </w:rPr>
        <w:t xml:space="preserve"> de voorschotgegevens</w:t>
      </w:r>
      <w:r w:rsidR="00234759" w:rsidRPr="00E6515F">
        <w:rPr>
          <w:lang w:val="nl-BE"/>
        </w:rPr>
        <w:t xml:space="preserve"> van jaar X</w:t>
      </w:r>
      <w:r w:rsidRPr="00E6515F">
        <w:rPr>
          <w:lang w:val="nl-BE"/>
        </w:rPr>
        <w:t>, wat veel recentere gegevens</w:t>
      </w:r>
      <w:r w:rsidR="005C5EEC" w:rsidRPr="00E6515F">
        <w:rPr>
          <w:lang w:val="nl-BE"/>
        </w:rPr>
        <w:t xml:space="preserve"> en dus meer ac</w:t>
      </w:r>
      <w:r w:rsidR="00EC600A">
        <w:rPr>
          <w:lang w:val="nl-BE"/>
        </w:rPr>
        <w:t>c</w:t>
      </w:r>
      <w:r w:rsidR="005C5EEC" w:rsidRPr="00E6515F">
        <w:rPr>
          <w:lang w:val="nl-BE"/>
        </w:rPr>
        <w:t>urate inschattingen van de afrekeningen van het betrokken jaar met zich meebrengt</w:t>
      </w:r>
      <w:r w:rsidRPr="00E6515F">
        <w:rPr>
          <w:lang w:val="nl-BE"/>
        </w:rPr>
        <w:t>.</w:t>
      </w:r>
    </w:p>
    <w:p w:rsidR="00075830" w:rsidRPr="00E6515F" w:rsidRDefault="00075830" w:rsidP="00075830">
      <w:pPr>
        <w:spacing w:line="240" w:lineRule="auto"/>
        <w:jc w:val="both"/>
        <w:rPr>
          <w:rFonts w:ascii="Times New Roman" w:eastAsia="Times New Roman" w:hAnsi="Times New Roman" w:cs="Times New Roman"/>
          <w:sz w:val="24"/>
          <w:szCs w:val="24"/>
          <w:lang w:val="nl-BE"/>
        </w:rPr>
      </w:pPr>
    </w:p>
    <w:p w:rsidR="00073427" w:rsidRPr="00E6515F" w:rsidRDefault="00075830" w:rsidP="00075830">
      <w:pPr>
        <w:jc w:val="both"/>
        <w:rPr>
          <w:lang w:val="nl-BE"/>
        </w:rPr>
      </w:pPr>
      <w:r w:rsidRPr="00E6515F">
        <w:rPr>
          <w:lang w:val="nl-BE"/>
        </w:rPr>
        <w:t xml:space="preserve">De stijging </w:t>
      </w:r>
      <w:r w:rsidR="005C5EEC" w:rsidRPr="00E6515F">
        <w:rPr>
          <w:lang w:val="nl-BE"/>
        </w:rPr>
        <w:t xml:space="preserve">in de kostprijs van een personeelspunt </w:t>
      </w:r>
      <w:r w:rsidRPr="00E6515F">
        <w:rPr>
          <w:lang w:val="nl-BE"/>
        </w:rPr>
        <w:t>is vooral te verklaren door de toepassing van de loonindex enerzijds en de weddedrift anderzijds.</w:t>
      </w:r>
      <w:r w:rsidR="00073427" w:rsidRPr="00E6515F">
        <w:rPr>
          <w:lang w:val="nl-BE"/>
        </w:rPr>
        <w:br w:type="page"/>
      </w:r>
    </w:p>
    <w:p w:rsidR="00CD1B8C" w:rsidRPr="00E6515F" w:rsidRDefault="004D50C4" w:rsidP="004D50C4">
      <w:pPr>
        <w:pStyle w:val="Kop1"/>
        <w:widowControl w:val="0"/>
        <w:numPr>
          <w:ilvl w:val="0"/>
          <w:numId w:val="1"/>
        </w:numPr>
        <w:pBdr>
          <w:top w:val="nil"/>
          <w:left w:val="nil"/>
          <w:bottom w:val="nil"/>
          <w:right w:val="nil"/>
          <w:between w:val="nil"/>
        </w:pBdr>
        <w:spacing w:line="360" w:lineRule="auto"/>
        <w:ind w:left="544" w:hanging="570"/>
        <w:rPr>
          <w:lang w:val="nl-BE"/>
        </w:rPr>
      </w:pPr>
      <w:bookmarkStart w:id="108" w:name="_Toc536797830"/>
      <w:r w:rsidRPr="00E6515F">
        <w:rPr>
          <w:lang w:val="nl-BE"/>
        </w:rPr>
        <w:lastRenderedPageBreak/>
        <w:t>O</w:t>
      </w:r>
      <w:r w:rsidR="002859D7" w:rsidRPr="00E6515F">
        <w:rPr>
          <w:lang w:val="nl-BE"/>
        </w:rPr>
        <w:t>verzicht geïnvesteerde middelen</w:t>
      </w:r>
      <w:bookmarkEnd w:id="107"/>
      <w:bookmarkEnd w:id="108"/>
    </w:p>
    <w:p w:rsidR="00CD1B8C" w:rsidRPr="00E6515F" w:rsidRDefault="002859D7" w:rsidP="008834AD">
      <w:pPr>
        <w:pStyle w:val="Kop1"/>
        <w:widowControl w:val="0"/>
        <w:numPr>
          <w:ilvl w:val="1"/>
          <w:numId w:val="1"/>
        </w:numPr>
        <w:pBdr>
          <w:top w:val="nil"/>
          <w:left w:val="nil"/>
          <w:bottom w:val="nil"/>
          <w:right w:val="nil"/>
          <w:between w:val="nil"/>
        </w:pBdr>
        <w:rPr>
          <w:sz w:val="34"/>
          <w:szCs w:val="34"/>
          <w:lang w:val="nl-BE"/>
        </w:rPr>
      </w:pPr>
      <w:bookmarkStart w:id="109" w:name="_vgv251vydj1x" w:colFirst="0" w:colLast="0"/>
      <w:bookmarkStart w:id="110" w:name="_Toc528227914"/>
      <w:bookmarkStart w:id="111" w:name="_Toc536797831"/>
      <w:bookmarkEnd w:id="109"/>
      <w:r w:rsidRPr="00E6515F">
        <w:rPr>
          <w:sz w:val="34"/>
          <w:szCs w:val="34"/>
          <w:lang w:val="nl-BE"/>
        </w:rPr>
        <w:t xml:space="preserve">Evolutie van de geïnvesteerde middelen </w:t>
      </w:r>
      <w:r w:rsidR="00696A8E">
        <w:rPr>
          <w:sz w:val="34"/>
          <w:szCs w:val="34"/>
          <w:lang w:val="nl-BE"/>
        </w:rPr>
        <w:t>voor</w:t>
      </w:r>
      <w:r w:rsidRPr="00E6515F">
        <w:rPr>
          <w:sz w:val="34"/>
          <w:szCs w:val="34"/>
          <w:lang w:val="nl-BE"/>
        </w:rPr>
        <w:t xml:space="preserve"> personen met een handicap</w:t>
      </w:r>
      <w:bookmarkEnd w:id="110"/>
      <w:bookmarkEnd w:id="111"/>
    </w:p>
    <w:p w:rsidR="00CD1B8C" w:rsidRPr="00E6515F" w:rsidRDefault="00CD1B8C">
      <w:pPr>
        <w:pBdr>
          <w:top w:val="nil"/>
          <w:left w:val="nil"/>
          <w:bottom w:val="nil"/>
          <w:right w:val="nil"/>
          <w:between w:val="nil"/>
        </w:pBdr>
        <w:rPr>
          <w:lang w:val="nl-BE"/>
        </w:rPr>
      </w:pPr>
    </w:p>
    <w:p w:rsidR="00FA0664" w:rsidRPr="00E6515F" w:rsidRDefault="00FA0664" w:rsidP="00FA0664">
      <w:pPr>
        <w:pStyle w:val="Bijschrift"/>
        <w:rPr>
          <w:lang w:val="nl-BE"/>
        </w:rPr>
      </w:pPr>
      <w:bookmarkStart w:id="112" w:name="_Ref529535121"/>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33</w:t>
      </w:r>
      <w:r w:rsidRPr="00E6515F">
        <w:rPr>
          <w:lang w:val="nl-BE"/>
        </w:rPr>
        <w:fldChar w:fldCharType="end"/>
      </w:r>
      <w:bookmarkEnd w:id="112"/>
      <w:r w:rsidRPr="00E6515F">
        <w:rPr>
          <w:lang w:val="nl-BE"/>
        </w:rPr>
        <w:t xml:space="preserve">: </w:t>
      </w:r>
      <w:r w:rsidR="00024D05">
        <w:rPr>
          <w:lang w:val="nl-BE"/>
        </w:rPr>
        <w:t>E</w:t>
      </w:r>
      <w:r w:rsidR="00024D05" w:rsidRPr="00E6515F">
        <w:rPr>
          <w:lang w:val="nl-BE"/>
        </w:rPr>
        <w:t xml:space="preserve">volutie </w:t>
      </w:r>
      <w:r w:rsidRPr="00E6515F">
        <w:rPr>
          <w:lang w:val="nl-BE"/>
        </w:rPr>
        <w:t xml:space="preserve">van de totale geïnvesteerde middelen </w:t>
      </w:r>
      <w:r w:rsidR="00696A8E">
        <w:rPr>
          <w:lang w:val="nl-BE"/>
        </w:rPr>
        <w:t>voor</w:t>
      </w:r>
      <w:r w:rsidRPr="00E6515F">
        <w:rPr>
          <w:lang w:val="nl-BE"/>
        </w:rPr>
        <w:t xml:space="preserve"> personen met een handicap</w:t>
      </w:r>
      <w:r w:rsidR="00767D3C" w:rsidRPr="00E6515F">
        <w:rPr>
          <w:lang w:val="nl-BE"/>
        </w:rPr>
        <w:t xml:space="preserve"> per </w:t>
      </w:r>
      <w:r w:rsidR="00B90D81" w:rsidRPr="00E6515F">
        <w:rPr>
          <w:lang w:val="nl-BE"/>
        </w:rPr>
        <w:t>kostenpost</w:t>
      </w:r>
    </w:p>
    <w:tbl>
      <w:tblPr>
        <w:tblStyle w:val="afe"/>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45"/>
        <w:gridCol w:w="1750"/>
        <w:gridCol w:w="1750"/>
        <w:gridCol w:w="1750"/>
      </w:tblGrid>
      <w:tr w:rsidR="00CD1B8C" w:rsidRPr="00E6515F" w:rsidTr="00EC4801">
        <w:trPr>
          <w:trHeight w:val="284"/>
        </w:trPr>
        <w:tc>
          <w:tcPr>
            <w:tcW w:w="3495" w:type="dxa"/>
            <w:tcBorders>
              <w:top w:val="single" w:sz="8" w:space="0" w:color="414141"/>
              <w:left w:val="single" w:sz="8" w:space="0" w:color="414141"/>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pPr>
              <w:rPr>
                <w:b/>
                <w:lang w:val="nl-BE"/>
              </w:rPr>
            </w:pPr>
            <w:r w:rsidRPr="00E6515F">
              <w:rPr>
                <w:b/>
                <w:lang w:val="nl-BE"/>
              </w:rPr>
              <w:t>Materie</w:t>
            </w:r>
          </w:p>
        </w:tc>
        <w:tc>
          <w:tcPr>
            <w:tcW w:w="167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C5096C">
            <w:pPr>
              <w:jc w:val="center"/>
              <w:rPr>
                <w:b/>
                <w:lang w:val="nl-BE"/>
              </w:rPr>
            </w:pPr>
            <w:r w:rsidRPr="00E6515F">
              <w:rPr>
                <w:b/>
                <w:lang w:val="nl-BE"/>
              </w:rPr>
              <w:t>2008</w:t>
            </w:r>
          </w:p>
        </w:tc>
        <w:tc>
          <w:tcPr>
            <w:tcW w:w="167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C5096C">
            <w:pPr>
              <w:jc w:val="center"/>
              <w:rPr>
                <w:b/>
                <w:lang w:val="nl-BE"/>
              </w:rPr>
            </w:pPr>
            <w:r w:rsidRPr="00E6515F">
              <w:rPr>
                <w:b/>
                <w:lang w:val="nl-BE"/>
              </w:rPr>
              <w:t>2013</w:t>
            </w:r>
          </w:p>
        </w:tc>
        <w:tc>
          <w:tcPr>
            <w:tcW w:w="1678" w:type="dxa"/>
            <w:tcBorders>
              <w:top w:val="single" w:sz="8" w:space="0" w:color="414141"/>
              <w:left w:val="nil"/>
              <w:bottom w:val="single" w:sz="8" w:space="0" w:color="414141"/>
              <w:right w:val="single" w:sz="8" w:space="0" w:color="414141"/>
            </w:tcBorders>
            <w:shd w:val="clear" w:color="auto" w:fill="C2C2C2"/>
            <w:tcMar>
              <w:top w:w="60" w:type="dxa"/>
              <w:left w:w="100" w:type="dxa"/>
              <w:bottom w:w="60" w:type="dxa"/>
              <w:right w:w="100" w:type="dxa"/>
            </w:tcMar>
          </w:tcPr>
          <w:p w:rsidR="00CD1B8C" w:rsidRPr="00E6515F" w:rsidRDefault="002859D7" w:rsidP="00C5096C">
            <w:pPr>
              <w:jc w:val="center"/>
              <w:rPr>
                <w:b/>
                <w:lang w:val="nl-BE"/>
              </w:rPr>
            </w:pPr>
            <w:r w:rsidRPr="00E6515F">
              <w:rPr>
                <w:b/>
                <w:lang w:val="nl-BE"/>
              </w:rPr>
              <w:t>2017</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EC4801">
            <w:pPr>
              <w:rPr>
                <w:b/>
                <w:lang w:val="nl-BE"/>
              </w:rPr>
            </w:pPr>
            <w:r w:rsidRPr="00E6515F">
              <w:rPr>
                <w:b/>
                <w:lang w:val="nl-BE"/>
              </w:rPr>
              <w:t>O</w:t>
            </w:r>
            <w:r w:rsidR="002859D7" w:rsidRPr="00E6515F">
              <w:rPr>
                <w:b/>
                <w:lang w:val="nl-BE"/>
              </w:rPr>
              <w:t xml:space="preserve">rganisaties in </w:t>
            </w:r>
            <w:r w:rsidR="00E5077E">
              <w:rPr>
                <w:b/>
                <w:lang w:val="nl-BE"/>
              </w:rPr>
              <w:t xml:space="preserve">het </w:t>
            </w:r>
            <w:r w:rsidR="002859D7" w:rsidRPr="00E6515F">
              <w:rPr>
                <w:b/>
                <w:lang w:val="nl-BE"/>
              </w:rPr>
              <w:t>kader van onderzoek en advies en intermediaire organisaties</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€ 11.438.159</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xml:space="preserve"> € 13.465.646</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€ 12.712.379</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widowControl w:val="0"/>
              <w:pBdr>
                <w:top w:val="nil"/>
                <w:left w:val="nil"/>
                <w:bottom w:val="nil"/>
                <w:right w:val="nil"/>
                <w:between w:val="nil"/>
              </w:pBdr>
              <w:rPr>
                <w:b/>
                <w:lang w:val="nl-BE"/>
              </w:rPr>
            </w:pPr>
            <w:r w:rsidRPr="00E6515F">
              <w:rPr>
                <w:b/>
                <w:lang w:val="nl-BE"/>
              </w:rPr>
              <w:t>Revalidatie</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€ 3.008.286</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€ 3.214.492</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€ 3.274.497</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rsidP="00E5077E">
            <w:pPr>
              <w:rPr>
                <w:b/>
                <w:lang w:val="nl-BE"/>
              </w:rPr>
            </w:pPr>
            <w:r w:rsidRPr="00E6515F">
              <w:rPr>
                <w:b/>
                <w:lang w:val="nl-BE"/>
              </w:rPr>
              <w:t>Individuel</w:t>
            </w:r>
            <w:r w:rsidR="0078143A" w:rsidRPr="00E6515F">
              <w:rPr>
                <w:b/>
                <w:lang w:val="nl-BE"/>
              </w:rPr>
              <w:t xml:space="preserve">e </w:t>
            </w:r>
            <w:r w:rsidR="00E5077E">
              <w:rPr>
                <w:b/>
                <w:lang w:val="nl-BE"/>
              </w:rPr>
              <w:t>materië</w:t>
            </w:r>
            <w:r w:rsidR="00E5077E" w:rsidRPr="00E6515F">
              <w:rPr>
                <w:b/>
                <w:lang w:val="nl-BE"/>
              </w:rPr>
              <w:t xml:space="preserve">le </w:t>
            </w:r>
            <w:r w:rsidR="00E5077E">
              <w:rPr>
                <w:b/>
                <w:lang w:val="nl-BE"/>
              </w:rPr>
              <w:t>b</w:t>
            </w:r>
            <w:r w:rsidR="00E5077E" w:rsidRPr="00E6515F">
              <w:rPr>
                <w:b/>
                <w:lang w:val="nl-BE"/>
              </w:rPr>
              <w:t xml:space="preserve">ijstand </w:t>
            </w:r>
            <w:r w:rsidR="0078143A" w:rsidRPr="00E6515F">
              <w:rPr>
                <w:b/>
                <w:lang w:val="nl-BE"/>
              </w:rPr>
              <w:t>(IMB) en s</w:t>
            </w:r>
            <w:r w:rsidRPr="00E6515F">
              <w:rPr>
                <w:b/>
                <w:lang w:val="nl-BE"/>
              </w:rPr>
              <w:t>choolopleiding</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€ 30.616.787</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€ 35.046.032</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€ 38.270.168</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lang w:val="nl-BE"/>
              </w:rPr>
            </w:pPr>
            <w:r w:rsidRPr="00E6515F">
              <w:rPr>
                <w:b/>
                <w:lang w:val="nl-BE"/>
              </w:rPr>
              <w:t>Zorg en ondersteuning</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423A31">
            <w:pPr>
              <w:jc w:val="right"/>
              <w:rPr>
                <w:lang w:val="nl-BE"/>
              </w:rPr>
            </w:pPr>
            <w:r w:rsidRPr="00E6515F">
              <w:rPr>
                <w:lang w:val="nl-BE"/>
              </w:rPr>
              <w:t>€ 94</w:t>
            </w:r>
            <w:r w:rsidR="00423A31" w:rsidRPr="00E6515F">
              <w:rPr>
                <w:lang w:val="nl-BE"/>
              </w:rPr>
              <w:t>3.852.420</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423A31">
            <w:pPr>
              <w:widowControl w:val="0"/>
              <w:pBdr>
                <w:top w:val="nil"/>
                <w:left w:val="nil"/>
                <w:bottom w:val="nil"/>
                <w:right w:val="nil"/>
                <w:between w:val="nil"/>
              </w:pBdr>
              <w:jc w:val="right"/>
              <w:rPr>
                <w:lang w:val="nl-BE"/>
              </w:rPr>
            </w:pPr>
            <w:r w:rsidRPr="00E6515F">
              <w:rPr>
                <w:lang w:val="nl-BE"/>
              </w:rPr>
              <w:t xml:space="preserve"> € 1.23</w:t>
            </w:r>
            <w:r w:rsidR="00423A31" w:rsidRPr="00E6515F">
              <w:rPr>
                <w:lang w:val="nl-BE"/>
              </w:rPr>
              <w:t>3.952.669</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45F18" w:rsidP="00C5096C">
            <w:pPr>
              <w:jc w:val="right"/>
              <w:rPr>
                <w:lang w:val="nl-BE"/>
              </w:rPr>
            </w:pPr>
            <w:r w:rsidRPr="00E6515F">
              <w:rPr>
                <w:lang w:val="nl-BE"/>
              </w:rPr>
              <w:t>€ 1.456.106.338</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lang w:val="nl-BE"/>
              </w:rPr>
            </w:pPr>
            <w:r w:rsidRPr="00E6515F">
              <w:rPr>
                <w:b/>
                <w:lang w:val="nl-BE"/>
              </w:rPr>
              <w:t>PAB</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€ 37.159.885</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xml:space="preserve">  € 74.147.556</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€ 19.413.509</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lang w:val="nl-BE"/>
              </w:rPr>
            </w:pPr>
            <w:r w:rsidRPr="00E6515F">
              <w:rPr>
                <w:b/>
                <w:lang w:val="nl-BE"/>
              </w:rPr>
              <w:t>Projectsubsidies</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€ 4.452.824</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xml:space="preserve">  € 6.214.922</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widowControl w:val="0"/>
              <w:pBdr>
                <w:top w:val="nil"/>
                <w:left w:val="nil"/>
                <w:bottom w:val="nil"/>
                <w:right w:val="nil"/>
                <w:between w:val="nil"/>
              </w:pBdr>
              <w:jc w:val="right"/>
              <w:rPr>
                <w:lang w:val="nl-BE"/>
              </w:rPr>
            </w:pPr>
            <w:r w:rsidRPr="00E6515F">
              <w:rPr>
                <w:lang w:val="nl-BE"/>
              </w:rPr>
              <w:t>€ 4.475.200</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lang w:val="nl-BE"/>
              </w:rPr>
            </w:pPr>
            <w:r w:rsidRPr="00E6515F">
              <w:rPr>
                <w:b/>
                <w:lang w:val="nl-BE"/>
              </w:rPr>
              <w:t>Aanvullende investeringstoelagen (Nat. Loterij)</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€ 4.195.405</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xml:space="preserve"> € 6.226.000</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CD1B8C" w:rsidP="00C5096C">
            <w:pPr>
              <w:jc w:val="center"/>
              <w:rPr>
                <w:lang w:val="nl-BE"/>
              </w:rPr>
            </w:pP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lang w:val="nl-BE"/>
              </w:rPr>
            </w:pPr>
            <w:r w:rsidRPr="00E6515F">
              <w:rPr>
                <w:b/>
                <w:lang w:val="nl-BE"/>
              </w:rPr>
              <w:t>Buitenlandse voorzieningen</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8A0ED5" w:rsidP="00C5096C">
            <w:pPr>
              <w:jc w:val="right"/>
              <w:rPr>
                <w:lang w:val="nl-BE"/>
              </w:rPr>
            </w:pPr>
            <w:r w:rsidRPr="00E6515F">
              <w:rPr>
                <w:lang w:val="nl-BE"/>
              </w:rPr>
              <w:t>€ 1.062.270</w:t>
            </w:r>
            <w:r w:rsidR="002859D7" w:rsidRPr="00E6515F">
              <w:rPr>
                <w:lang w:val="nl-BE"/>
              </w:rPr>
              <w:t xml:space="preserve"> </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8A0ED5" w:rsidP="00C5096C">
            <w:pPr>
              <w:jc w:val="right"/>
              <w:rPr>
                <w:lang w:val="nl-BE"/>
              </w:rPr>
            </w:pPr>
            <w:r w:rsidRPr="00E6515F">
              <w:rPr>
                <w:lang w:val="nl-BE"/>
              </w:rPr>
              <w:t>€ 1.166.504</w:t>
            </w:r>
            <w:r w:rsidR="002859D7" w:rsidRPr="00E6515F">
              <w:rPr>
                <w:lang w:val="nl-BE"/>
              </w:rPr>
              <w:t xml:space="preserve"> </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C5096C">
            <w:pPr>
              <w:jc w:val="right"/>
              <w:rPr>
                <w:lang w:val="nl-BE"/>
              </w:rPr>
            </w:pPr>
            <w:r w:rsidRPr="00E6515F">
              <w:rPr>
                <w:lang w:val="nl-BE"/>
              </w:rPr>
              <w:t>€ 2.222.810</w:t>
            </w:r>
          </w:p>
        </w:tc>
      </w:tr>
      <w:tr w:rsidR="00CD1B8C" w:rsidRPr="00E6515F" w:rsidTr="00EC4801">
        <w:trPr>
          <w:trHeight w:val="284"/>
        </w:trPr>
        <w:tc>
          <w:tcPr>
            <w:tcW w:w="3495" w:type="dxa"/>
            <w:tcBorders>
              <w:top w:val="nil"/>
              <w:left w:val="single" w:sz="8" w:space="0" w:color="414141"/>
              <w:bottom w:val="single" w:sz="8" w:space="0" w:color="414141"/>
              <w:right w:val="single" w:sz="8" w:space="0" w:color="414141"/>
            </w:tcBorders>
            <w:tcMar>
              <w:top w:w="60" w:type="dxa"/>
              <w:left w:w="100" w:type="dxa"/>
              <w:bottom w:w="60" w:type="dxa"/>
              <w:right w:w="100" w:type="dxa"/>
            </w:tcMar>
          </w:tcPr>
          <w:p w:rsidR="00CD1B8C" w:rsidRPr="00E6515F" w:rsidRDefault="002859D7">
            <w:pPr>
              <w:rPr>
                <w:b/>
                <w:i/>
                <w:lang w:val="nl-BE"/>
              </w:rPr>
            </w:pPr>
            <w:r w:rsidRPr="00E6515F">
              <w:rPr>
                <w:b/>
                <w:i/>
                <w:lang w:val="nl-BE"/>
              </w:rPr>
              <w:t>Totaal</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78143A">
            <w:pPr>
              <w:widowControl w:val="0"/>
              <w:pBdr>
                <w:top w:val="nil"/>
                <w:left w:val="nil"/>
                <w:bottom w:val="nil"/>
                <w:right w:val="nil"/>
                <w:between w:val="nil"/>
              </w:pBdr>
              <w:jc w:val="right"/>
              <w:rPr>
                <w:b/>
                <w:i/>
                <w:lang w:val="nl-BE"/>
              </w:rPr>
            </w:pPr>
            <w:r w:rsidRPr="00E6515F">
              <w:rPr>
                <w:b/>
                <w:i/>
                <w:lang w:val="nl-BE"/>
              </w:rPr>
              <w:t>€ 1.035.786.03</w:t>
            </w:r>
            <w:r w:rsidR="0078143A" w:rsidRPr="00E6515F">
              <w:rPr>
                <w:b/>
                <w:i/>
                <w:lang w:val="nl-BE"/>
              </w:rPr>
              <w:t>6</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2859D7" w:rsidP="0078143A">
            <w:pPr>
              <w:widowControl w:val="0"/>
              <w:pBdr>
                <w:top w:val="nil"/>
                <w:left w:val="nil"/>
                <w:bottom w:val="nil"/>
                <w:right w:val="nil"/>
                <w:between w:val="nil"/>
              </w:pBdr>
              <w:jc w:val="right"/>
              <w:rPr>
                <w:b/>
                <w:i/>
                <w:lang w:val="nl-BE"/>
              </w:rPr>
            </w:pPr>
            <w:r w:rsidRPr="00E6515F">
              <w:rPr>
                <w:b/>
                <w:i/>
                <w:lang w:val="nl-BE"/>
              </w:rPr>
              <w:t xml:space="preserve"> € 1.373.433.82</w:t>
            </w:r>
            <w:r w:rsidR="0078143A" w:rsidRPr="00E6515F">
              <w:rPr>
                <w:b/>
                <w:i/>
                <w:lang w:val="nl-BE"/>
              </w:rPr>
              <w:t>1</w:t>
            </w:r>
          </w:p>
        </w:tc>
        <w:tc>
          <w:tcPr>
            <w:tcW w:w="1678" w:type="dxa"/>
            <w:tcBorders>
              <w:top w:val="nil"/>
              <w:left w:val="nil"/>
              <w:bottom w:val="single" w:sz="8" w:space="0" w:color="414141"/>
              <w:right w:val="single" w:sz="8" w:space="0" w:color="414141"/>
            </w:tcBorders>
            <w:tcMar>
              <w:top w:w="60" w:type="dxa"/>
              <w:left w:w="100" w:type="dxa"/>
              <w:bottom w:w="60" w:type="dxa"/>
              <w:right w:w="100" w:type="dxa"/>
            </w:tcMar>
          </w:tcPr>
          <w:p w:rsidR="00CD1B8C" w:rsidRPr="00E6515F" w:rsidRDefault="0080476E" w:rsidP="00C45F18">
            <w:pPr>
              <w:widowControl w:val="0"/>
              <w:pBdr>
                <w:top w:val="nil"/>
                <w:left w:val="nil"/>
                <w:bottom w:val="nil"/>
                <w:right w:val="nil"/>
                <w:between w:val="nil"/>
              </w:pBdr>
              <w:jc w:val="right"/>
              <w:rPr>
                <w:b/>
                <w:i/>
                <w:lang w:val="nl-BE"/>
              </w:rPr>
            </w:pPr>
            <w:r w:rsidRPr="00E6515F">
              <w:rPr>
                <w:b/>
                <w:i/>
                <w:lang w:val="nl-BE"/>
              </w:rPr>
              <w:t>€ 1.536.474.90</w:t>
            </w:r>
            <w:r w:rsidR="00C45F18" w:rsidRPr="00E6515F">
              <w:rPr>
                <w:b/>
                <w:i/>
                <w:lang w:val="nl-BE"/>
              </w:rPr>
              <w:t>1</w:t>
            </w:r>
          </w:p>
        </w:tc>
      </w:tr>
    </w:tbl>
    <w:p w:rsidR="00CD1B8C" w:rsidRPr="00E6515F" w:rsidRDefault="00CD1B8C">
      <w:pPr>
        <w:pBdr>
          <w:top w:val="nil"/>
          <w:left w:val="nil"/>
          <w:bottom w:val="nil"/>
          <w:right w:val="nil"/>
          <w:between w:val="nil"/>
        </w:pBdr>
        <w:rPr>
          <w:lang w:val="nl-BE"/>
        </w:rPr>
      </w:pPr>
    </w:p>
    <w:p w:rsidR="00CD1B8C" w:rsidRPr="00E6515F" w:rsidRDefault="002859D7" w:rsidP="003529A1">
      <w:pPr>
        <w:pBdr>
          <w:top w:val="nil"/>
          <w:left w:val="nil"/>
          <w:bottom w:val="nil"/>
          <w:right w:val="nil"/>
          <w:between w:val="nil"/>
        </w:pBdr>
        <w:jc w:val="both"/>
        <w:rPr>
          <w:lang w:val="nl-BE"/>
        </w:rPr>
      </w:pPr>
      <w:r w:rsidRPr="00E6515F">
        <w:rPr>
          <w:lang w:val="nl-BE"/>
        </w:rPr>
        <w:t xml:space="preserve">In bovenstaande tabel ziet u een overzicht van de totale middelen die het </w:t>
      </w:r>
      <w:r w:rsidR="00627480" w:rsidRPr="00E6515F">
        <w:rPr>
          <w:lang w:val="nl-BE"/>
        </w:rPr>
        <w:t>VAPH</w:t>
      </w:r>
      <w:r w:rsidRPr="00E6515F">
        <w:rPr>
          <w:lang w:val="nl-BE"/>
        </w:rPr>
        <w:t xml:space="preserve"> geïnvesteerd heeft in functie van de personen met een handicap. Omwille van de vele wijzigingen in het afgelopen jaar hebben we toch getracht een aantal kostenposten samen te voegen </w:t>
      </w:r>
      <w:r w:rsidR="00EC4801" w:rsidRPr="00E6515F">
        <w:rPr>
          <w:lang w:val="nl-BE"/>
        </w:rPr>
        <w:t>om</w:t>
      </w:r>
      <w:r w:rsidRPr="00E6515F">
        <w:rPr>
          <w:lang w:val="nl-BE"/>
        </w:rPr>
        <w:t xml:space="preserve"> een betere vergelijking te kunnen maken. </w:t>
      </w:r>
    </w:p>
    <w:p w:rsidR="00A13F52" w:rsidRPr="00E6515F" w:rsidRDefault="00A13F52" w:rsidP="003529A1">
      <w:pPr>
        <w:pBdr>
          <w:top w:val="nil"/>
          <w:left w:val="nil"/>
          <w:bottom w:val="nil"/>
          <w:right w:val="nil"/>
          <w:between w:val="nil"/>
        </w:pBdr>
        <w:jc w:val="both"/>
        <w:rPr>
          <w:lang w:val="nl-BE"/>
        </w:rPr>
      </w:pPr>
    </w:p>
    <w:p w:rsidR="00CD1B8C" w:rsidRPr="00E6515F" w:rsidRDefault="002859D7" w:rsidP="003529A1">
      <w:pPr>
        <w:pBdr>
          <w:top w:val="nil"/>
          <w:left w:val="nil"/>
          <w:bottom w:val="nil"/>
          <w:right w:val="nil"/>
          <w:between w:val="nil"/>
        </w:pBdr>
        <w:jc w:val="both"/>
        <w:rPr>
          <w:lang w:val="nl-BE"/>
        </w:rPr>
      </w:pPr>
      <w:r w:rsidRPr="00E6515F">
        <w:rPr>
          <w:lang w:val="nl-BE"/>
        </w:rPr>
        <w:t xml:space="preserve">Onder </w:t>
      </w:r>
      <w:r w:rsidR="003D1B86">
        <w:rPr>
          <w:lang w:val="nl-BE"/>
        </w:rPr>
        <w:t>‘</w:t>
      </w:r>
      <w:r w:rsidRPr="00E6515F">
        <w:rPr>
          <w:lang w:val="nl-BE"/>
        </w:rPr>
        <w:t>organisaties in kader van onderzoek en advies en intermediaire organisaties</w:t>
      </w:r>
      <w:r w:rsidR="003D1B86">
        <w:rPr>
          <w:lang w:val="nl-BE"/>
        </w:rPr>
        <w:t>’</w:t>
      </w:r>
      <w:r w:rsidR="00E5077E" w:rsidRPr="00E6515F">
        <w:rPr>
          <w:lang w:val="nl-BE"/>
        </w:rPr>
        <w:t xml:space="preserve"> </w:t>
      </w:r>
      <w:r w:rsidRPr="00E6515F">
        <w:rPr>
          <w:lang w:val="nl-BE"/>
        </w:rPr>
        <w:t xml:space="preserve">worden onder andere de betalingen </w:t>
      </w:r>
      <w:r w:rsidR="00C45F18" w:rsidRPr="00E6515F">
        <w:rPr>
          <w:lang w:val="nl-BE"/>
        </w:rPr>
        <w:t>voor volgende diensten gerekend</w:t>
      </w:r>
      <w:r w:rsidRPr="00E6515F">
        <w:rPr>
          <w:lang w:val="nl-BE"/>
        </w:rPr>
        <w:t xml:space="preserve">: Communicatie Assistentie Bureau voor Doven (CAB), </w:t>
      </w:r>
      <w:proofErr w:type="spellStart"/>
      <w:r w:rsidRPr="00E6515F">
        <w:rPr>
          <w:lang w:val="nl-BE"/>
        </w:rPr>
        <w:t>Verwijzersplatform</w:t>
      </w:r>
      <w:proofErr w:type="spellEnd"/>
      <w:r w:rsidRPr="00E6515F">
        <w:rPr>
          <w:lang w:val="nl-BE"/>
        </w:rPr>
        <w:t xml:space="preserve">, Steunpunt Expertise Netwerk, maar hoofdzakelijk de betaling aan de multidisciplinaire </w:t>
      </w:r>
      <w:r w:rsidR="00E5077E">
        <w:rPr>
          <w:lang w:val="nl-BE"/>
        </w:rPr>
        <w:t>t</w:t>
      </w:r>
      <w:r w:rsidR="00E5077E" w:rsidRPr="00E6515F">
        <w:rPr>
          <w:lang w:val="nl-BE"/>
        </w:rPr>
        <w:t xml:space="preserve">eams </w:t>
      </w:r>
      <w:r w:rsidRPr="00E6515F">
        <w:rPr>
          <w:lang w:val="nl-BE"/>
        </w:rPr>
        <w:t>(</w:t>
      </w:r>
      <w:proofErr w:type="spellStart"/>
      <w:r w:rsidRPr="00E6515F">
        <w:rPr>
          <w:lang w:val="nl-BE"/>
        </w:rPr>
        <w:t>MDT’s</w:t>
      </w:r>
      <w:proofErr w:type="spellEnd"/>
      <w:r w:rsidRPr="00E6515F">
        <w:rPr>
          <w:lang w:val="nl-BE"/>
        </w:rPr>
        <w:t>) en centra voor ontwikkelingsstoornissen (COS)</w:t>
      </w:r>
      <w:r w:rsidR="00E5077E">
        <w:rPr>
          <w:lang w:val="nl-BE"/>
        </w:rPr>
        <w:t>.</w:t>
      </w:r>
    </w:p>
    <w:p w:rsidR="00CD1B8C" w:rsidRPr="00E6515F" w:rsidRDefault="00CD1B8C" w:rsidP="003529A1">
      <w:pPr>
        <w:pBdr>
          <w:top w:val="nil"/>
          <w:left w:val="nil"/>
          <w:bottom w:val="nil"/>
          <w:right w:val="nil"/>
          <w:between w:val="nil"/>
        </w:pBdr>
        <w:jc w:val="both"/>
        <w:rPr>
          <w:lang w:val="nl-BE"/>
        </w:rPr>
      </w:pPr>
    </w:p>
    <w:p w:rsidR="00CD1B8C" w:rsidRPr="00E6515F" w:rsidRDefault="00E5077E" w:rsidP="003529A1">
      <w:pPr>
        <w:pBdr>
          <w:top w:val="nil"/>
          <w:left w:val="nil"/>
          <w:bottom w:val="nil"/>
          <w:right w:val="nil"/>
          <w:between w:val="nil"/>
        </w:pBdr>
        <w:jc w:val="both"/>
        <w:rPr>
          <w:lang w:val="nl-BE"/>
        </w:rPr>
      </w:pPr>
      <w:r>
        <w:rPr>
          <w:lang w:val="nl-BE"/>
        </w:rPr>
        <w:t>Onder</w:t>
      </w:r>
      <w:r w:rsidRPr="00E6515F">
        <w:rPr>
          <w:lang w:val="nl-BE"/>
        </w:rPr>
        <w:t xml:space="preserve"> </w:t>
      </w:r>
      <w:r>
        <w:rPr>
          <w:lang w:val="nl-BE"/>
        </w:rPr>
        <w:t>‘</w:t>
      </w:r>
      <w:r w:rsidR="002859D7" w:rsidRPr="00E6515F">
        <w:rPr>
          <w:lang w:val="nl-BE"/>
        </w:rPr>
        <w:t>zorg en ondersteuning</w:t>
      </w:r>
      <w:r>
        <w:rPr>
          <w:lang w:val="nl-BE"/>
        </w:rPr>
        <w:t>’</w:t>
      </w:r>
      <w:r w:rsidR="002859D7" w:rsidRPr="00E6515F">
        <w:rPr>
          <w:lang w:val="nl-BE"/>
        </w:rPr>
        <w:t xml:space="preserve"> vallen alle diensten die we nu subsidiëren in het kader van de ondersteuning van </w:t>
      </w:r>
      <w:r w:rsidR="002F16DD" w:rsidRPr="00E6515F">
        <w:rPr>
          <w:lang w:val="nl-BE"/>
        </w:rPr>
        <w:t xml:space="preserve">minderjarige en meerderjarige </w:t>
      </w:r>
      <w:r w:rsidR="002859D7" w:rsidRPr="00E6515F">
        <w:rPr>
          <w:lang w:val="nl-BE"/>
        </w:rPr>
        <w:t xml:space="preserve">personen met een handicap: </w:t>
      </w:r>
      <w:r w:rsidR="000C35CB">
        <w:rPr>
          <w:lang w:val="nl-BE"/>
        </w:rPr>
        <w:t>diensten ondersteuningsplan</w:t>
      </w:r>
      <w:r w:rsidR="002859D7" w:rsidRPr="00E6515F">
        <w:rPr>
          <w:lang w:val="nl-BE"/>
        </w:rPr>
        <w:t xml:space="preserve">, </w:t>
      </w:r>
      <w:r>
        <w:rPr>
          <w:lang w:val="nl-BE"/>
        </w:rPr>
        <w:t>multifunctionele centra</w:t>
      </w:r>
      <w:r w:rsidR="002859D7" w:rsidRPr="00E6515F">
        <w:rPr>
          <w:lang w:val="nl-BE"/>
        </w:rPr>
        <w:t xml:space="preserve">, diensten </w:t>
      </w:r>
      <w:r>
        <w:rPr>
          <w:lang w:val="nl-BE"/>
        </w:rPr>
        <w:t xml:space="preserve">voor </w:t>
      </w:r>
      <w:r w:rsidR="00DD02E4">
        <w:rPr>
          <w:lang w:val="nl-BE"/>
        </w:rPr>
        <w:t>rechtstreeks toegankelijke hulp</w:t>
      </w:r>
      <w:r w:rsidR="002859D7" w:rsidRPr="00E6515F">
        <w:rPr>
          <w:lang w:val="nl-BE"/>
        </w:rPr>
        <w:t xml:space="preserve">, </w:t>
      </w:r>
      <w:r>
        <w:rPr>
          <w:lang w:val="nl-BE"/>
        </w:rPr>
        <w:t>vergunde zorgaanbieders,</w:t>
      </w:r>
      <w:r w:rsidR="002859D7" w:rsidRPr="00E6515F">
        <w:rPr>
          <w:lang w:val="nl-BE"/>
        </w:rPr>
        <w:t xml:space="preserve"> observatie-</w:t>
      </w:r>
      <w:r>
        <w:rPr>
          <w:lang w:val="nl-BE"/>
        </w:rPr>
        <w:t>, diagnose- en behandelings</w:t>
      </w:r>
      <w:r w:rsidR="002859D7" w:rsidRPr="00E6515F">
        <w:rPr>
          <w:lang w:val="nl-BE"/>
        </w:rPr>
        <w:t xml:space="preserve">units en units voor geïnterneerden. </w:t>
      </w:r>
      <w:r>
        <w:rPr>
          <w:lang w:val="nl-BE"/>
        </w:rPr>
        <w:t>O</w:t>
      </w:r>
      <w:r w:rsidR="002859D7" w:rsidRPr="00E6515F">
        <w:rPr>
          <w:lang w:val="nl-BE"/>
        </w:rPr>
        <w:t xml:space="preserve">ok de </w:t>
      </w:r>
      <w:r w:rsidR="003D0D63">
        <w:rPr>
          <w:lang w:val="nl-BE"/>
        </w:rPr>
        <w:t xml:space="preserve">persoonsvolgende budgetten met </w:t>
      </w:r>
      <w:r w:rsidR="002859D7" w:rsidRPr="00E6515F">
        <w:rPr>
          <w:lang w:val="nl-BE"/>
        </w:rPr>
        <w:t>cash</w:t>
      </w:r>
      <w:r w:rsidR="003D0D63">
        <w:rPr>
          <w:lang w:val="nl-BE"/>
        </w:rPr>
        <w:t xml:space="preserve">besteding vallen </w:t>
      </w:r>
      <w:r w:rsidR="002859D7" w:rsidRPr="00E6515F">
        <w:rPr>
          <w:lang w:val="nl-BE"/>
        </w:rPr>
        <w:t>hieronder.</w:t>
      </w:r>
    </w:p>
    <w:p w:rsidR="00C45F18" w:rsidRPr="00E6515F" w:rsidRDefault="00C45F18" w:rsidP="003529A1">
      <w:pPr>
        <w:pBdr>
          <w:top w:val="nil"/>
          <w:left w:val="nil"/>
          <w:bottom w:val="nil"/>
          <w:right w:val="nil"/>
          <w:between w:val="nil"/>
        </w:pBdr>
        <w:jc w:val="both"/>
        <w:rPr>
          <w:lang w:val="nl-BE"/>
        </w:rPr>
      </w:pPr>
    </w:p>
    <w:p w:rsidR="00CD1B8C" w:rsidRPr="00E6515F" w:rsidRDefault="002859D7" w:rsidP="003529A1">
      <w:pPr>
        <w:pBdr>
          <w:top w:val="nil"/>
          <w:left w:val="nil"/>
          <w:bottom w:val="nil"/>
          <w:right w:val="nil"/>
          <w:between w:val="nil"/>
        </w:pBdr>
        <w:jc w:val="both"/>
        <w:rPr>
          <w:lang w:val="nl-BE"/>
        </w:rPr>
      </w:pPr>
      <w:r w:rsidRPr="00E6515F">
        <w:rPr>
          <w:lang w:val="nl-BE"/>
        </w:rPr>
        <w:lastRenderedPageBreak/>
        <w:t>Oorspronkelijk hadden we voor de eerste jaren andere onderverdelingen namelijk betalingen voor de residentiële en ambulante diensten en betalingen voor PAB-budgethouders. Maar alle residentiële en ambulante diensten voor volwassenen werden vergunde zorgaanbieders waarbij budgethouders cash of via voucher kunnen besteden</w:t>
      </w:r>
      <w:r w:rsidR="002F16DD" w:rsidRPr="00E6515F">
        <w:rPr>
          <w:lang w:val="nl-BE"/>
        </w:rPr>
        <w:t xml:space="preserve">. De residentiële en ambulante ondersteuning aan minderjarigen wordt nog steeds rechtstreeks aan het </w:t>
      </w:r>
      <w:r w:rsidR="00E5077E">
        <w:rPr>
          <w:lang w:val="nl-BE"/>
        </w:rPr>
        <w:t>multifunctioneel centrum</w:t>
      </w:r>
      <w:r w:rsidR="00E5077E" w:rsidRPr="00E6515F">
        <w:rPr>
          <w:lang w:val="nl-BE"/>
        </w:rPr>
        <w:t xml:space="preserve"> </w:t>
      </w:r>
      <w:r w:rsidR="002F16DD" w:rsidRPr="00E6515F">
        <w:rPr>
          <w:lang w:val="nl-BE"/>
        </w:rPr>
        <w:t>gesubsidieerd. Wat</w:t>
      </w:r>
      <w:r w:rsidR="003D1B86">
        <w:rPr>
          <w:lang w:val="nl-BE"/>
        </w:rPr>
        <w:t xml:space="preserve"> het</w:t>
      </w:r>
      <w:r w:rsidR="002F16DD" w:rsidRPr="00E6515F">
        <w:rPr>
          <w:lang w:val="nl-BE"/>
        </w:rPr>
        <w:t xml:space="preserve"> </w:t>
      </w:r>
      <w:r w:rsidR="00DD02E4">
        <w:rPr>
          <w:lang w:val="nl-BE"/>
        </w:rPr>
        <w:t>persoonlijke-assistentiebudget</w:t>
      </w:r>
      <w:r w:rsidR="002F16DD" w:rsidRPr="00E6515F">
        <w:rPr>
          <w:lang w:val="nl-BE"/>
        </w:rPr>
        <w:t xml:space="preserve"> betreft, kregen ook</w:t>
      </w:r>
      <w:r w:rsidRPr="00E6515F">
        <w:rPr>
          <w:lang w:val="nl-BE"/>
        </w:rPr>
        <w:t xml:space="preserve"> de volwassen PAB-budgethouders een </w:t>
      </w:r>
      <w:r w:rsidR="00DD02E4">
        <w:rPr>
          <w:lang w:val="nl-BE"/>
        </w:rPr>
        <w:t>persoonsvolgend budget</w:t>
      </w:r>
      <w:r w:rsidRPr="00E6515F">
        <w:rPr>
          <w:lang w:val="nl-BE"/>
        </w:rPr>
        <w:t>. Het resterende PAB</w:t>
      </w:r>
      <w:r w:rsidR="00E5077E">
        <w:rPr>
          <w:lang w:val="nl-BE"/>
        </w:rPr>
        <w:t>-</w:t>
      </w:r>
      <w:r w:rsidRPr="00E6515F">
        <w:rPr>
          <w:lang w:val="nl-BE"/>
        </w:rPr>
        <w:t>budget dat u in 2017 ziet staan</w:t>
      </w:r>
      <w:r w:rsidR="00E5077E">
        <w:rPr>
          <w:lang w:val="nl-BE"/>
        </w:rPr>
        <w:t>,</w:t>
      </w:r>
      <w:r w:rsidRPr="00E6515F">
        <w:rPr>
          <w:lang w:val="nl-BE"/>
        </w:rPr>
        <w:t xml:space="preserve"> is het bedrag dat nog uitbetaald wordt aan de minderjarigen.</w:t>
      </w:r>
      <w:r w:rsidR="002F16DD" w:rsidRPr="00E6515F">
        <w:rPr>
          <w:lang w:val="nl-BE"/>
        </w:rPr>
        <w:t xml:space="preserve"> </w:t>
      </w:r>
    </w:p>
    <w:p w:rsidR="00CD1B8C" w:rsidRPr="00E6515F" w:rsidRDefault="00CD1B8C" w:rsidP="003529A1">
      <w:pPr>
        <w:pBdr>
          <w:top w:val="nil"/>
          <w:left w:val="nil"/>
          <w:bottom w:val="nil"/>
          <w:right w:val="nil"/>
          <w:between w:val="nil"/>
        </w:pBdr>
        <w:jc w:val="both"/>
        <w:rPr>
          <w:lang w:val="nl-BE"/>
        </w:rPr>
      </w:pPr>
    </w:p>
    <w:p w:rsidR="00CD1B8C" w:rsidRPr="00E6515F" w:rsidRDefault="002859D7" w:rsidP="003529A1">
      <w:pPr>
        <w:pBdr>
          <w:top w:val="nil"/>
          <w:left w:val="nil"/>
          <w:bottom w:val="nil"/>
          <w:right w:val="nil"/>
          <w:between w:val="nil"/>
        </w:pBdr>
        <w:jc w:val="both"/>
        <w:rPr>
          <w:lang w:val="nl-BE"/>
        </w:rPr>
      </w:pPr>
      <w:r w:rsidRPr="00E6515F">
        <w:rPr>
          <w:lang w:val="nl-BE"/>
        </w:rPr>
        <w:t xml:space="preserve">Om alsnog een onderscheid te maken vindt u hieronder een concretisering van de </w:t>
      </w:r>
      <w:r w:rsidR="00E5077E">
        <w:rPr>
          <w:lang w:val="nl-BE"/>
        </w:rPr>
        <w:t>categorie</w:t>
      </w:r>
      <w:r w:rsidR="00E5077E" w:rsidRPr="00E6515F">
        <w:rPr>
          <w:lang w:val="nl-BE"/>
        </w:rPr>
        <w:t xml:space="preserve"> </w:t>
      </w:r>
      <w:r w:rsidR="00E5077E">
        <w:rPr>
          <w:lang w:val="nl-BE"/>
        </w:rPr>
        <w:t>‘</w:t>
      </w:r>
      <w:r w:rsidRPr="00E6515F">
        <w:rPr>
          <w:lang w:val="nl-BE"/>
        </w:rPr>
        <w:t>zorg en ondersteuning</w:t>
      </w:r>
      <w:r w:rsidR="00E5077E">
        <w:rPr>
          <w:lang w:val="nl-BE"/>
        </w:rPr>
        <w:t>’</w:t>
      </w:r>
      <w:r w:rsidRPr="00E6515F">
        <w:rPr>
          <w:lang w:val="nl-BE"/>
        </w:rPr>
        <w:t xml:space="preserve"> opgesplitst in bovenstaande categorieën. In de praktijk worden de organisaties op subsidie-</w:t>
      </w:r>
      <w:proofErr w:type="spellStart"/>
      <w:r w:rsidRPr="00E6515F">
        <w:rPr>
          <w:lang w:val="nl-BE"/>
        </w:rPr>
        <w:t>eenheidniveau</w:t>
      </w:r>
      <w:proofErr w:type="spellEnd"/>
      <w:r w:rsidRPr="00E6515F">
        <w:rPr>
          <w:lang w:val="nl-BE"/>
        </w:rPr>
        <w:t xml:space="preserve"> betaald</w:t>
      </w:r>
      <w:r w:rsidR="00E5077E">
        <w:rPr>
          <w:lang w:val="nl-BE"/>
        </w:rPr>
        <w:t>,</w:t>
      </w:r>
      <w:r w:rsidRPr="00E6515F">
        <w:rPr>
          <w:lang w:val="nl-BE"/>
        </w:rPr>
        <w:t xml:space="preserve"> maar we maakten een verdeling op basis van geregistreerde vouchers enerzi</w:t>
      </w:r>
      <w:r w:rsidR="0045583E" w:rsidRPr="00E6515F">
        <w:rPr>
          <w:lang w:val="nl-BE"/>
        </w:rPr>
        <w:t>j</w:t>
      </w:r>
      <w:r w:rsidRPr="00E6515F">
        <w:rPr>
          <w:lang w:val="nl-BE"/>
        </w:rPr>
        <w:t>ds en erkende capaciteit van elk van de diensten</w:t>
      </w:r>
      <w:r w:rsidR="00E5077E">
        <w:rPr>
          <w:lang w:val="nl-BE"/>
        </w:rPr>
        <w:t xml:space="preserve"> anderzijds</w:t>
      </w:r>
      <w:r w:rsidRPr="00E6515F">
        <w:rPr>
          <w:lang w:val="nl-BE"/>
        </w:rPr>
        <w:t>.</w:t>
      </w:r>
    </w:p>
    <w:p w:rsidR="00AD5854" w:rsidRPr="00E6515F" w:rsidRDefault="00AD5854" w:rsidP="003529A1">
      <w:pPr>
        <w:pBdr>
          <w:top w:val="nil"/>
          <w:left w:val="nil"/>
          <w:bottom w:val="nil"/>
          <w:right w:val="nil"/>
          <w:between w:val="nil"/>
        </w:pBdr>
        <w:jc w:val="both"/>
        <w:rPr>
          <w:lang w:val="nl-BE"/>
        </w:rPr>
      </w:pPr>
    </w:p>
    <w:p w:rsidR="00AD5854" w:rsidRPr="00E6515F" w:rsidRDefault="00AD5854" w:rsidP="003529A1">
      <w:pPr>
        <w:jc w:val="both"/>
        <w:rPr>
          <w:lang w:val="nl-BE"/>
        </w:rPr>
      </w:pPr>
      <w:r w:rsidRPr="00E6515F">
        <w:rPr>
          <w:lang w:val="nl-BE"/>
        </w:rPr>
        <w:t xml:space="preserve">De stijging van de middelen zoals vermeld in </w:t>
      </w:r>
      <w:r w:rsidRPr="00E6515F">
        <w:rPr>
          <w:lang w:val="nl-BE"/>
        </w:rPr>
        <w:fldChar w:fldCharType="begin"/>
      </w:r>
      <w:r w:rsidRPr="00E6515F">
        <w:rPr>
          <w:lang w:val="nl-BE"/>
        </w:rPr>
        <w:instrText xml:space="preserve"> REF _Ref529535121 \h </w:instrText>
      </w:r>
      <w:r w:rsidR="00EE2B0E" w:rsidRPr="00E6515F">
        <w:rPr>
          <w:lang w:val="nl-BE"/>
        </w:rPr>
        <w:instrText xml:space="preserve"> \* MERGEFORMAT </w:instrText>
      </w:r>
      <w:r w:rsidRPr="00E6515F">
        <w:rPr>
          <w:lang w:val="nl-BE"/>
        </w:rPr>
      </w:r>
      <w:r w:rsidRPr="00E6515F">
        <w:rPr>
          <w:lang w:val="nl-BE"/>
        </w:rPr>
        <w:fldChar w:fldCharType="separate"/>
      </w:r>
      <w:r w:rsidR="0062760A" w:rsidRPr="00E6515F">
        <w:rPr>
          <w:lang w:val="nl-BE"/>
        </w:rPr>
        <w:t xml:space="preserve">Tabel </w:t>
      </w:r>
      <w:r w:rsidR="0062760A">
        <w:rPr>
          <w:noProof/>
          <w:lang w:val="nl-BE"/>
        </w:rPr>
        <w:t>33</w:t>
      </w:r>
      <w:r w:rsidRPr="00E6515F">
        <w:rPr>
          <w:lang w:val="nl-BE"/>
        </w:rPr>
        <w:fldChar w:fldCharType="end"/>
      </w:r>
      <w:r w:rsidR="00D20DF0" w:rsidRPr="00E6515F">
        <w:rPr>
          <w:lang w:val="nl-BE"/>
        </w:rPr>
        <w:t xml:space="preserve"> </w:t>
      </w:r>
      <w:r w:rsidRPr="00E6515F">
        <w:rPr>
          <w:lang w:val="nl-BE"/>
        </w:rPr>
        <w:t xml:space="preserve">wordt duidelijk niet enkel verklaard door de toegevoegde uitbreidingsmiddelen. Een aantal maatschappelijke en beleidsmatige </w:t>
      </w:r>
      <w:proofErr w:type="spellStart"/>
      <w:r w:rsidRPr="00E6515F">
        <w:rPr>
          <w:lang w:val="nl-BE"/>
        </w:rPr>
        <w:t>tendenzen</w:t>
      </w:r>
      <w:proofErr w:type="spellEnd"/>
      <w:r w:rsidRPr="00E6515F">
        <w:rPr>
          <w:lang w:val="nl-BE"/>
        </w:rPr>
        <w:t xml:space="preserve"> hebben er namelijk voor gezorgd dat de kostprijs per persoon met een handicap duurder is geworden. Een aantal belangrijke invloeden:</w:t>
      </w:r>
    </w:p>
    <w:p w:rsidR="00AD5854" w:rsidRPr="00E6515F" w:rsidRDefault="00AD5854" w:rsidP="003529A1">
      <w:pPr>
        <w:pStyle w:val="Lijstalinea"/>
        <w:numPr>
          <w:ilvl w:val="0"/>
          <w:numId w:val="14"/>
        </w:numPr>
        <w:jc w:val="both"/>
        <w:rPr>
          <w:lang w:val="nl-BE"/>
        </w:rPr>
      </w:pPr>
      <w:r w:rsidRPr="00E6515F">
        <w:rPr>
          <w:lang w:val="nl-BE"/>
        </w:rPr>
        <w:t xml:space="preserve">Index: </w:t>
      </w:r>
      <w:r w:rsidR="00E5077E">
        <w:rPr>
          <w:lang w:val="nl-BE"/>
        </w:rPr>
        <w:t>T</w:t>
      </w:r>
      <w:r w:rsidRPr="00E6515F">
        <w:rPr>
          <w:lang w:val="nl-BE"/>
        </w:rPr>
        <w:t xml:space="preserve">ussen 2008 en 2017 zijn er 6 indexsprongen geweest die vooral op </w:t>
      </w:r>
      <w:r w:rsidR="00E5077E">
        <w:rPr>
          <w:lang w:val="nl-BE"/>
        </w:rPr>
        <w:t xml:space="preserve">het vlak van </w:t>
      </w:r>
      <w:r w:rsidR="00E5077E" w:rsidRPr="00E6515F">
        <w:rPr>
          <w:lang w:val="nl-BE"/>
        </w:rPr>
        <w:t xml:space="preserve"> </w:t>
      </w:r>
      <w:r w:rsidRPr="00E6515F">
        <w:rPr>
          <w:lang w:val="nl-BE"/>
        </w:rPr>
        <w:t>personeel</w:t>
      </w:r>
      <w:r w:rsidR="00E5077E">
        <w:rPr>
          <w:lang w:val="nl-BE"/>
        </w:rPr>
        <w:t>s</w:t>
      </w:r>
      <w:r w:rsidRPr="00E6515F">
        <w:rPr>
          <w:lang w:val="nl-BE"/>
        </w:rPr>
        <w:t xml:space="preserve">kosten voor een stijging hebben gezorgd. </w:t>
      </w:r>
      <w:r w:rsidR="00E5077E" w:rsidRPr="00E6515F">
        <w:rPr>
          <w:lang w:val="nl-BE"/>
        </w:rPr>
        <w:t>D</w:t>
      </w:r>
      <w:r w:rsidR="00E5077E">
        <w:rPr>
          <w:lang w:val="nl-BE"/>
        </w:rPr>
        <w:t>a</w:t>
      </w:r>
      <w:r w:rsidR="00E5077E" w:rsidRPr="00E6515F">
        <w:rPr>
          <w:lang w:val="nl-BE"/>
        </w:rPr>
        <w:t xml:space="preserve">t </w:t>
      </w:r>
      <w:r w:rsidRPr="00E6515F">
        <w:rPr>
          <w:lang w:val="nl-BE"/>
        </w:rPr>
        <w:t xml:space="preserve">zorgt er oor dat ongeveer 90 procent van de middelen met 12 procent gestegen is in die </w:t>
      </w:r>
      <w:r w:rsidR="00D20DF0" w:rsidRPr="00E6515F">
        <w:rPr>
          <w:lang w:val="nl-BE"/>
        </w:rPr>
        <w:t xml:space="preserve">10 </w:t>
      </w:r>
      <w:r w:rsidRPr="00E6515F">
        <w:rPr>
          <w:lang w:val="nl-BE"/>
        </w:rPr>
        <w:t xml:space="preserve">jaar. </w:t>
      </w:r>
    </w:p>
    <w:p w:rsidR="00AD5854" w:rsidRPr="00E6515F" w:rsidRDefault="00AD5854" w:rsidP="003529A1">
      <w:pPr>
        <w:pStyle w:val="Lijstalinea"/>
        <w:numPr>
          <w:ilvl w:val="0"/>
          <w:numId w:val="14"/>
        </w:numPr>
        <w:jc w:val="both"/>
        <w:rPr>
          <w:lang w:val="nl-BE"/>
        </w:rPr>
      </w:pPr>
      <w:r w:rsidRPr="00E6515F">
        <w:rPr>
          <w:lang w:val="nl-BE"/>
        </w:rPr>
        <w:t xml:space="preserve">Weddedrift: </w:t>
      </w:r>
      <w:r w:rsidR="00D20DF0" w:rsidRPr="00E6515F">
        <w:rPr>
          <w:lang w:val="nl-BE"/>
        </w:rPr>
        <w:t xml:space="preserve">dit </w:t>
      </w:r>
      <w:r w:rsidRPr="00E6515F">
        <w:rPr>
          <w:lang w:val="nl-BE"/>
        </w:rPr>
        <w:t>is de invloed van anciënniteitswijzigingen en promoties in de sector waardoor het bedrag per punt gestegen is</w:t>
      </w:r>
      <w:r w:rsidR="00E5077E">
        <w:rPr>
          <w:lang w:val="nl-BE"/>
        </w:rPr>
        <w:t>.</w:t>
      </w:r>
    </w:p>
    <w:p w:rsidR="00AD5854" w:rsidRPr="00E6515F" w:rsidRDefault="00AD5854" w:rsidP="003529A1">
      <w:pPr>
        <w:pStyle w:val="Lijstalinea"/>
        <w:numPr>
          <w:ilvl w:val="0"/>
          <w:numId w:val="14"/>
        </w:numPr>
        <w:jc w:val="both"/>
        <w:rPr>
          <w:lang w:val="nl-BE"/>
        </w:rPr>
      </w:pPr>
      <w:r w:rsidRPr="00E6515F">
        <w:rPr>
          <w:lang w:val="nl-BE"/>
        </w:rPr>
        <w:t>De VIA4</w:t>
      </w:r>
      <w:r w:rsidR="00E5077E">
        <w:rPr>
          <w:lang w:val="nl-BE"/>
        </w:rPr>
        <w:t>-</w:t>
      </w:r>
      <w:r w:rsidRPr="00E6515F">
        <w:rPr>
          <w:lang w:val="nl-BE"/>
        </w:rPr>
        <w:t>akkoorden hebben ervoor gezorgd dat er ook extra toeslagen werden toe</w:t>
      </w:r>
      <w:r w:rsidR="00D20DF0" w:rsidRPr="00E6515F">
        <w:rPr>
          <w:lang w:val="nl-BE"/>
        </w:rPr>
        <w:t>ge</w:t>
      </w:r>
      <w:r w:rsidRPr="00E6515F">
        <w:rPr>
          <w:lang w:val="nl-BE"/>
        </w:rPr>
        <w:t>kend</w:t>
      </w:r>
      <w:r w:rsidR="00E5077E">
        <w:rPr>
          <w:lang w:val="nl-BE"/>
        </w:rPr>
        <w:t>,</w:t>
      </w:r>
      <w:r w:rsidRPr="00E6515F">
        <w:rPr>
          <w:lang w:val="nl-BE"/>
        </w:rPr>
        <w:t xml:space="preserve"> vooral in het kader van de zware beroepen</w:t>
      </w:r>
      <w:r w:rsidR="00E5077E">
        <w:rPr>
          <w:lang w:val="nl-BE"/>
        </w:rPr>
        <w:t>,</w:t>
      </w:r>
      <w:r w:rsidRPr="00E6515F">
        <w:rPr>
          <w:lang w:val="nl-BE"/>
        </w:rPr>
        <w:t xml:space="preserve"> waardoor het VAPH ook </w:t>
      </w:r>
      <w:r w:rsidR="00E5077E">
        <w:rPr>
          <w:lang w:val="nl-BE"/>
        </w:rPr>
        <w:t>daar</w:t>
      </w:r>
      <w:r w:rsidR="00E5077E" w:rsidRPr="00E6515F">
        <w:rPr>
          <w:lang w:val="nl-BE"/>
        </w:rPr>
        <w:t xml:space="preserve">voor </w:t>
      </w:r>
      <w:r w:rsidRPr="00E6515F">
        <w:rPr>
          <w:lang w:val="nl-BE"/>
        </w:rPr>
        <w:t>extra middelen diende te voorzien.</w:t>
      </w:r>
    </w:p>
    <w:p w:rsidR="00AD5854" w:rsidRPr="00E6515F" w:rsidRDefault="00AD5854" w:rsidP="003529A1">
      <w:pPr>
        <w:pStyle w:val="Lijstalinea"/>
        <w:numPr>
          <w:ilvl w:val="0"/>
          <w:numId w:val="14"/>
        </w:numPr>
        <w:jc w:val="both"/>
        <w:rPr>
          <w:lang w:val="nl-BE"/>
        </w:rPr>
      </w:pPr>
      <w:r w:rsidRPr="00E6515F">
        <w:rPr>
          <w:lang w:val="nl-BE"/>
        </w:rPr>
        <w:t>Daarnaast heeft de omzetting van de klassieke afdeling</w:t>
      </w:r>
      <w:r w:rsidR="00D20DF0" w:rsidRPr="00E6515F">
        <w:rPr>
          <w:lang w:val="nl-BE"/>
        </w:rPr>
        <w:t>s</w:t>
      </w:r>
      <w:r w:rsidRPr="00E6515F">
        <w:rPr>
          <w:lang w:val="nl-BE"/>
        </w:rPr>
        <w:t>afrekening naar een zorgvernieuwingsafrekening in punten extra kosten met zich mee</w:t>
      </w:r>
      <w:r w:rsidR="00E5077E">
        <w:rPr>
          <w:lang w:val="nl-BE"/>
        </w:rPr>
        <w:t>ge</w:t>
      </w:r>
      <w:r w:rsidRPr="00E6515F">
        <w:rPr>
          <w:lang w:val="nl-BE"/>
        </w:rPr>
        <w:t>bracht.</w:t>
      </w:r>
    </w:p>
    <w:p w:rsidR="00AD5854" w:rsidRPr="00E6515F" w:rsidRDefault="00AD5854" w:rsidP="003529A1">
      <w:pPr>
        <w:jc w:val="both"/>
        <w:rPr>
          <w:lang w:val="nl-BE"/>
        </w:rPr>
      </w:pPr>
    </w:p>
    <w:p w:rsidR="00AD5854" w:rsidRPr="00E6515F" w:rsidRDefault="00AD5854" w:rsidP="003529A1">
      <w:pPr>
        <w:jc w:val="both"/>
        <w:rPr>
          <w:lang w:val="nl-BE"/>
        </w:rPr>
      </w:pPr>
      <w:r w:rsidRPr="00E6515F">
        <w:rPr>
          <w:lang w:val="nl-BE"/>
        </w:rPr>
        <w:t>In de</w:t>
      </w:r>
      <w:r w:rsidR="005A17C5" w:rsidRPr="00E6515F">
        <w:rPr>
          <w:lang w:val="nl-BE"/>
        </w:rPr>
        <w:t>ze</w:t>
      </w:r>
      <w:r w:rsidRPr="00E6515F">
        <w:rPr>
          <w:lang w:val="nl-BE"/>
        </w:rPr>
        <w:t xml:space="preserve"> volledige </w:t>
      </w:r>
      <w:r w:rsidR="005A17C5" w:rsidRPr="00E6515F">
        <w:rPr>
          <w:lang w:val="nl-BE"/>
        </w:rPr>
        <w:t>terugblik op de realisaties van de afgelopen</w:t>
      </w:r>
      <w:r w:rsidR="00E5077E">
        <w:rPr>
          <w:lang w:val="nl-BE"/>
        </w:rPr>
        <w:t xml:space="preserve"> legislaturen</w:t>
      </w:r>
      <w:r w:rsidR="005A17C5" w:rsidRPr="00E6515F">
        <w:rPr>
          <w:lang w:val="nl-BE"/>
        </w:rPr>
        <w:t xml:space="preserve"> </w:t>
      </w:r>
      <w:r w:rsidRPr="00E6515F">
        <w:rPr>
          <w:lang w:val="nl-BE"/>
        </w:rPr>
        <w:t xml:space="preserve">zijn we vooral ingegaan op de jaren 2008 </w:t>
      </w:r>
      <w:r w:rsidR="00E5077E">
        <w:rPr>
          <w:lang w:val="nl-BE"/>
        </w:rPr>
        <w:t>tot en met</w:t>
      </w:r>
      <w:r w:rsidR="00380DEB">
        <w:rPr>
          <w:lang w:val="nl-BE"/>
        </w:rPr>
        <w:t xml:space="preserve"> </w:t>
      </w:r>
      <w:r w:rsidRPr="00E6515F">
        <w:rPr>
          <w:lang w:val="nl-BE"/>
        </w:rPr>
        <w:t>2017 omdat we</w:t>
      </w:r>
      <w:r w:rsidR="00E5077E">
        <w:rPr>
          <w:lang w:val="nl-BE"/>
        </w:rPr>
        <w:t xml:space="preserve"> tot en met</w:t>
      </w:r>
      <w:r w:rsidRPr="00E6515F">
        <w:rPr>
          <w:lang w:val="nl-BE"/>
        </w:rPr>
        <w:t xml:space="preserve"> 2017 beschikken over volledige gegevens. Maar ook in 2018 werden nog heel wat middelen toegevoegd. Hieronder vindt u een tabel met het totaal overzicht per jaar</w:t>
      </w:r>
      <w:r w:rsidR="00E5077E">
        <w:rPr>
          <w:lang w:val="nl-BE"/>
        </w:rPr>
        <w:t>,</w:t>
      </w:r>
      <w:r w:rsidRPr="00E6515F">
        <w:rPr>
          <w:lang w:val="nl-BE"/>
        </w:rPr>
        <w:t xml:space="preserve"> aangevuld met de uitbreidingsmiddelen 2018 en 2019</w:t>
      </w:r>
    </w:p>
    <w:p w:rsidR="00CD1B8C" w:rsidRPr="00E6515F" w:rsidRDefault="00CD1B8C">
      <w:pPr>
        <w:pBdr>
          <w:top w:val="nil"/>
          <w:left w:val="nil"/>
          <w:bottom w:val="nil"/>
          <w:right w:val="nil"/>
          <w:between w:val="nil"/>
        </w:pBdr>
        <w:rPr>
          <w:lang w:val="nl-BE"/>
        </w:rPr>
      </w:pPr>
    </w:p>
    <w:p w:rsidR="00073427" w:rsidRPr="00E6515F" w:rsidRDefault="00073427">
      <w:pPr>
        <w:rPr>
          <w:bCs/>
          <w:szCs w:val="18"/>
          <w:u w:val="single"/>
          <w:lang w:val="nl-BE"/>
        </w:rPr>
      </w:pPr>
      <w:r w:rsidRPr="00E6515F">
        <w:rPr>
          <w:lang w:val="nl-BE"/>
        </w:rPr>
        <w:br w:type="page"/>
      </w:r>
    </w:p>
    <w:p w:rsidR="00FA0664" w:rsidRPr="00E6515F" w:rsidRDefault="00FA0664" w:rsidP="00FA0664">
      <w:pPr>
        <w:pStyle w:val="Bijschrif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34</w:t>
      </w:r>
      <w:r w:rsidRPr="00E6515F">
        <w:rPr>
          <w:lang w:val="nl-BE"/>
        </w:rPr>
        <w:fldChar w:fldCharType="end"/>
      </w:r>
      <w:r w:rsidRPr="00E6515F">
        <w:rPr>
          <w:lang w:val="nl-BE"/>
        </w:rPr>
        <w:t xml:space="preserve">: </w:t>
      </w:r>
      <w:r w:rsidR="00E5077E">
        <w:rPr>
          <w:lang w:val="nl-BE"/>
        </w:rPr>
        <w:t>V</w:t>
      </w:r>
      <w:r w:rsidRPr="00E6515F">
        <w:rPr>
          <w:lang w:val="nl-BE"/>
        </w:rPr>
        <w:t>erdere uitsplitsing per type zorg en ondersteuning van de geïnvesteerde middelen in zorg en ondersteuning in 2017</w:t>
      </w:r>
    </w:p>
    <w:tbl>
      <w:tblPr>
        <w:tblStyle w:val="Tabelraster"/>
        <w:tblW w:w="5353" w:type="dxa"/>
        <w:tblLayout w:type="fixed"/>
        <w:tblLook w:val="0600" w:firstRow="0" w:lastRow="0" w:firstColumn="0" w:lastColumn="0" w:noHBand="1" w:noVBand="1"/>
      </w:tblPr>
      <w:tblGrid>
        <w:gridCol w:w="3510"/>
        <w:gridCol w:w="1843"/>
      </w:tblGrid>
      <w:tr w:rsidR="00C82AAD" w:rsidRPr="00E6515F" w:rsidTr="00C45F18">
        <w:trPr>
          <w:trHeight w:val="340"/>
        </w:trPr>
        <w:tc>
          <w:tcPr>
            <w:tcW w:w="3510" w:type="dxa"/>
            <w:shd w:val="clear" w:color="auto" w:fill="BFBFBF" w:themeFill="background1" w:themeFillShade="BF"/>
          </w:tcPr>
          <w:p w:rsidR="00C82AAD" w:rsidRPr="00E6515F" w:rsidRDefault="00C82AAD" w:rsidP="00B757A4">
            <w:pPr>
              <w:widowControl w:val="0"/>
              <w:pBdr>
                <w:top w:val="nil"/>
                <w:left w:val="nil"/>
                <w:bottom w:val="nil"/>
                <w:right w:val="nil"/>
                <w:between w:val="nil"/>
              </w:pBdr>
              <w:rPr>
                <w:b/>
                <w:lang w:val="nl-BE"/>
              </w:rPr>
            </w:pPr>
            <w:r w:rsidRPr="00E6515F">
              <w:rPr>
                <w:b/>
                <w:lang w:val="nl-BE"/>
              </w:rPr>
              <w:t>Uitsplitsing per type zorg en ondersteuning 2017</w:t>
            </w:r>
          </w:p>
        </w:tc>
        <w:tc>
          <w:tcPr>
            <w:tcW w:w="1843" w:type="dxa"/>
            <w:shd w:val="clear" w:color="auto" w:fill="BFBFBF" w:themeFill="background1" w:themeFillShade="BF"/>
          </w:tcPr>
          <w:p w:rsidR="00C82AAD" w:rsidRPr="00E6515F" w:rsidRDefault="00C82AAD" w:rsidP="00B757A4">
            <w:pPr>
              <w:widowControl w:val="0"/>
              <w:pBdr>
                <w:top w:val="nil"/>
                <w:left w:val="nil"/>
                <w:bottom w:val="nil"/>
                <w:right w:val="nil"/>
                <w:between w:val="nil"/>
              </w:pBdr>
              <w:rPr>
                <w:b/>
                <w:lang w:val="nl-BE"/>
              </w:rPr>
            </w:pPr>
            <w:r w:rsidRPr="00E6515F">
              <w:rPr>
                <w:b/>
                <w:lang w:val="nl-BE"/>
              </w:rPr>
              <w:t xml:space="preserve"> </w:t>
            </w:r>
            <w:r w:rsidR="00C45F18" w:rsidRPr="00E6515F">
              <w:rPr>
                <w:b/>
                <w:lang w:val="nl-BE"/>
              </w:rPr>
              <w:t>Geïnvesteerde middelen 2017</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lang w:val="nl-BE"/>
              </w:rPr>
            </w:pPr>
            <w:r w:rsidRPr="00E6515F">
              <w:rPr>
                <w:b/>
                <w:lang w:val="nl-BE"/>
              </w:rPr>
              <w:t>MFC</w:t>
            </w:r>
          </w:p>
        </w:tc>
        <w:tc>
          <w:tcPr>
            <w:tcW w:w="1843" w:type="dxa"/>
            <w:vAlign w:val="center"/>
          </w:tcPr>
          <w:p w:rsidR="00AB7840" w:rsidRPr="00E6515F" w:rsidRDefault="00AB7840">
            <w:pPr>
              <w:jc w:val="right"/>
              <w:rPr>
                <w:color w:val="000000"/>
                <w:lang w:val="nl-BE"/>
              </w:rPr>
            </w:pPr>
            <w:r w:rsidRPr="00E6515F">
              <w:rPr>
                <w:color w:val="000000"/>
                <w:lang w:val="nl-BE"/>
              </w:rPr>
              <w:t>€ 373.497.592</w:t>
            </w:r>
          </w:p>
        </w:tc>
      </w:tr>
      <w:tr w:rsidR="00AB7840" w:rsidRPr="00E6515F" w:rsidTr="00C45F18">
        <w:trPr>
          <w:trHeight w:val="340"/>
        </w:trPr>
        <w:tc>
          <w:tcPr>
            <w:tcW w:w="3510" w:type="dxa"/>
          </w:tcPr>
          <w:p w:rsidR="00AB7840" w:rsidRPr="00E6515F" w:rsidRDefault="00C45F18" w:rsidP="00C45F18">
            <w:pPr>
              <w:widowControl w:val="0"/>
              <w:pBdr>
                <w:top w:val="nil"/>
                <w:left w:val="nil"/>
                <w:bottom w:val="nil"/>
                <w:right w:val="nil"/>
                <w:between w:val="nil"/>
              </w:pBdr>
              <w:rPr>
                <w:b/>
                <w:lang w:val="nl-BE"/>
              </w:rPr>
            </w:pPr>
            <w:r w:rsidRPr="00E6515F">
              <w:rPr>
                <w:b/>
                <w:lang w:val="nl-BE"/>
              </w:rPr>
              <w:t>Vouchers</w:t>
            </w:r>
          </w:p>
        </w:tc>
        <w:tc>
          <w:tcPr>
            <w:tcW w:w="1843" w:type="dxa"/>
            <w:vAlign w:val="center"/>
          </w:tcPr>
          <w:p w:rsidR="00AB7840" w:rsidRPr="00E6515F" w:rsidRDefault="00AB7840">
            <w:pPr>
              <w:jc w:val="right"/>
              <w:rPr>
                <w:color w:val="000000"/>
                <w:lang w:val="nl-BE"/>
              </w:rPr>
            </w:pPr>
            <w:r w:rsidRPr="00E6515F">
              <w:rPr>
                <w:color w:val="000000"/>
                <w:lang w:val="nl-BE"/>
              </w:rPr>
              <w:t>€ 926.878.360</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lang w:val="nl-BE"/>
              </w:rPr>
            </w:pPr>
            <w:r w:rsidRPr="00E6515F">
              <w:rPr>
                <w:b/>
                <w:lang w:val="nl-BE"/>
              </w:rPr>
              <w:t>RTH</w:t>
            </w:r>
          </w:p>
        </w:tc>
        <w:tc>
          <w:tcPr>
            <w:tcW w:w="1843" w:type="dxa"/>
            <w:vAlign w:val="center"/>
          </w:tcPr>
          <w:p w:rsidR="00AB7840" w:rsidRPr="00E6515F" w:rsidRDefault="00AB7840">
            <w:pPr>
              <w:jc w:val="right"/>
              <w:rPr>
                <w:color w:val="000000"/>
                <w:lang w:val="nl-BE"/>
              </w:rPr>
            </w:pPr>
            <w:r w:rsidRPr="00E6515F">
              <w:rPr>
                <w:color w:val="000000"/>
                <w:lang w:val="nl-BE"/>
              </w:rPr>
              <w:t>€ 55.517.174</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lang w:val="nl-BE"/>
              </w:rPr>
            </w:pPr>
            <w:r w:rsidRPr="00E6515F">
              <w:rPr>
                <w:b/>
                <w:lang w:val="nl-BE"/>
              </w:rPr>
              <w:t>DOP</w:t>
            </w:r>
          </w:p>
        </w:tc>
        <w:tc>
          <w:tcPr>
            <w:tcW w:w="1843" w:type="dxa"/>
            <w:vAlign w:val="center"/>
          </w:tcPr>
          <w:p w:rsidR="00AB7840" w:rsidRPr="00E6515F" w:rsidRDefault="00AB7840">
            <w:pPr>
              <w:jc w:val="right"/>
              <w:rPr>
                <w:color w:val="000000"/>
                <w:lang w:val="nl-BE"/>
              </w:rPr>
            </w:pPr>
            <w:r w:rsidRPr="00E6515F">
              <w:rPr>
                <w:color w:val="000000"/>
                <w:lang w:val="nl-BE"/>
              </w:rPr>
              <w:t>€ 5.912.453</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lang w:val="nl-BE"/>
              </w:rPr>
            </w:pPr>
            <w:r w:rsidRPr="00E6515F">
              <w:rPr>
                <w:b/>
                <w:lang w:val="nl-BE"/>
              </w:rPr>
              <w:t>PVC</w:t>
            </w:r>
            <w:r w:rsidR="00EE2B0E" w:rsidRPr="00E6515F">
              <w:rPr>
                <w:b/>
                <w:lang w:val="nl-BE"/>
              </w:rPr>
              <w:t xml:space="preserve"> minderjarigen</w:t>
            </w:r>
          </w:p>
        </w:tc>
        <w:tc>
          <w:tcPr>
            <w:tcW w:w="1843" w:type="dxa"/>
            <w:vAlign w:val="center"/>
          </w:tcPr>
          <w:p w:rsidR="00AB7840" w:rsidRPr="00E6515F" w:rsidRDefault="00AB7840">
            <w:pPr>
              <w:jc w:val="right"/>
              <w:rPr>
                <w:color w:val="000000"/>
                <w:lang w:val="nl-BE"/>
              </w:rPr>
            </w:pPr>
            <w:r w:rsidRPr="00E6515F">
              <w:rPr>
                <w:color w:val="000000"/>
                <w:lang w:val="nl-BE"/>
              </w:rPr>
              <w:t>€ 2.467.223</w:t>
            </w:r>
          </w:p>
        </w:tc>
      </w:tr>
      <w:tr w:rsidR="00AB7840" w:rsidRPr="00E6515F" w:rsidTr="00C45F18">
        <w:trPr>
          <w:trHeight w:val="340"/>
        </w:trPr>
        <w:tc>
          <w:tcPr>
            <w:tcW w:w="3510" w:type="dxa"/>
          </w:tcPr>
          <w:p w:rsidR="00AB7840" w:rsidRPr="00E6515F" w:rsidRDefault="00AB7840" w:rsidP="00C45F18">
            <w:pPr>
              <w:widowControl w:val="0"/>
              <w:pBdr>
                <w:top w:val="nil"/>
                <w:left w:val="nil"/>
                <w:bottom w:val="nil"/>
                <w:right w:val="nil"/>
                <w:between w:val="nil"/>
              </w:pBdr>
              <w:rPr>
                <w:b/>
                <w:lang w:val="nl-BE"/>
              </w:rPr>
            </w:pPr>
            <w:r w:rsidRPr="00E6515F">
              <w:rPr>
                <w:b/>
                <w:lang w:val="nl-BE"/>
              </w:rPr>
              <w:t>G</w:t>
            </w:r>
            <w:r w:rsidR="00C45F18" w:rsidRPr="00E6515F">
              <w:rPr>
                <w:b/>
                <w:lang w:val="nl-BE"/>
              </w:rPr>
              <w:t>eïnterneerden</w:t>
            </w:r>
          </w:p>
        </w:tc>
        <w:tc>
          <w:tcPr>
            <w:tcW w:w="1843" w:type="dxa"/>
            <w:vAlign w:val="center"/>
          </w:tcPr>
          <w:p w:rsidR="00AB7840" w:rsidRPr="00E6515F" w:rsidRDefault="00AB7840">
            <w:pPr>
              <w:jc w:val="right"/>
              <w:rPr>
                <w:color w:val="000000"/>
                <w:lang w:val="nl-BE"/>
              </w:rPr>
            </w:pPr>
            <w:r w:rsidRPr="00E6515F">
              <w:rPr>
                <w:color w:val="000000"/>
                <w:lang w:val="nl-BE"/>
              </w:rPr>
              <w:t>€ 5.054.282</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lang w:val="nl-BE"/>
              </w:rPr>
            </w:pPr>
            <w:r w:rsidRPr="00E6515F">
              <w:rPr>
                <w:b/>
                <w:lang w:val="nl-BE"/>
              </w:rPr>
              <w:t>ODB</w:t>
            </w:r>
          </w:p>
        </w:tc>
        <w:tc>
          <w:tcPr>
            <w:tcW w:w="1843" w:type="dxa"/>
            <w:vAlign w:val="center"/>
          </w:tcPr>
          <w:p w:rsidR="00AB7840" w:rsidRPr="00E6515F" w:rsidRDefault="00AB7840">
            <w:pPr>
              <w:jc w:val="right"/>
              <w:rPr>
                <w:color w:val="000000"/>
                <w:lang w:val="nl-BE"/>
              </w:rPr>
            </w:pPr>
            <w:r w:rsidRPr="00E6515F">
              <w:rPr>
                <w:color w:val="000000"/>
                <w:lang w:val="nl-BE"/>
              </w:rPr>
              <w:t>€ 1.665.763</w:t>
            </w:r>
          </w:p>
        </w:tc>
      </w:tr>
      <w:tr w:rsidR="00AB7840" w:rsidRPr="00E6515F" w:rsidTr="00C45F18">
        <w:trPr>
          <w:trHeight w:val="340"/>
        </w:trPr>
        <w:tc>
          <w:tcPr>
            <w:tcW w:w="3510" w:type="dxa"/>
          </w:tcPr>
          <w:p w:rsidR="00AB7840" w:rsidRPr="00E6515F" w:rsidRDefault="00C45F18">
            <w:pPr>
              <w:widowControl w:val="0"/>
              <w:pBdr>
                <w:top w:val="nil"/>
                <w:left w:val="nil"/>
                <w:bottom w:val="nil"/>
                <w:right w:val="nil"/>
                <w:between w:val="nil"/>
              </w:pBdr>
              <w:rPr>
                <w:b/>
                <w:lang w:val="nl-BE"/>
              </w:rPr>
            </w:pPr>
            <w:r w:rsidRPr="00E6515F">
              <w:rPr>
                <w:b/>
                <w:lang w:val="nl-BE"/>
              </w:rPr>
              <w:t>Cash</w:t>
            </w:r>
          </w:p>
        </w:tc>
        <w:tc>
          <w:tcPr>
            <w:tcW w:w="1843" w:type="dxa"/>
            <w:vAlign w:val="center"/>
          </w:tcPr>
          <w:p w:rsidR="00AB7840" w:rsidRPr="00E6515F" w:rsidRDefault="00AB7840">
            <w:pPr>
              <w:jc w:val="right"/>
              <w:rPr>
                <w:color w:val="000000"/>
                <w:lang w:val="nl-BE"/>
              </w:rPr>
            </w:pPr>
            <w:r w:rsidRPr="00E6515F">
              <w:rPr>
                <w:color w:val="000000"/>
                <w:lang w:val="nl-BE"/>
              </w:rPr>
              <w:t>€ 83.531.490</w:t>
            </w:r>
          </w:p>
        </w:tc>
      </w:tr>
      <w:tr w:rsidR="00AB7840" w:rsidRPr="00E6515F" w:rsidTr="00C45F18">
        <w:trPr>
          <w:trHeight w:val="340"/>
        </w:trPr>
        <w:tc>
          <w:tcPr>
            <w:tcW w:w="3510" w:type="dxa"/>
          </w:tcPr>
          <w:p w:rsidR="00AB7840" w:rsidRPr="00E6515F" w:rsidRDefault="00C45F18">
            <w:pPr>
              <w:widowControl w:val="0"/>
              <w:pBdr>
                <w:top w:val="nil"/>
                <w:left w:val="nil"/>
                <w:bottom w:val="nil"/>
                <w:right w:val="nil"/>
                <w:between w:val="nil"/>
              </w:pBdr>
              <w:rPr>
                <w:b/>
                <w:lang w:val="nl-BE"/>
              </w:rPr>
            </w:pPr>
            <w:r w:rsidRPr="00E6515F">
              <w:rPr>
                <w:b/>
                <w:lang w:val="nl-BE"/>
              </w:rPr>
              <w:t>Bijstandsorganisaties</w:t>
            </w:r>
          </w:p>
        </w:tc>
        <w:tc>
          <w:tcPr>
            <w:tcW w:w="1843" w:type="dxa"/>
            <w:vAlign w:val="center"/>
          </w:tcPr>
          <w:p w:rsidR="00AB7840" w:rsidRPr="00E6515F" w:rsidRDefault="00AB7840">
            <w:pPr>
              <w:jc w:val="right"/>
              <w:rPr>
                <w:color w:val="000000"/>
                <w:lang w:val="nl-BE"/>
              </w:rPr>
            </w:pPr>
            <w:r w:rsidRPr="00E6515F">
              <w:rPr>
                <w:color w:val="000000"/>
                <w:lang w:val="nl-BE"/>
              </w:rPr>
              <w:t>€ 1.582.001</w:t>
            </w:r>
          </w:p>
        </w:tc>
      </w:tr>
      <w:tr w:rsidR="00AB7840" w:rsidRPr="00E6515F" w:rsidTr="00C45F18">
        <w:trPr>
          <w:trHeight w:val="340"/>
        </w:trPr>
        <w:tc>
          <w:tcPr>
            <w:tcW w:w="3510" w:type="dxa"/>
          </w:tcPr>
          <w:p w:rsidR="00AB7840" w:rsidRPr="00E6515F" w:rsidRDefault="00AB7840">
            <w:pPr>
              <w:widowControl w:val="0"/>
              <w:pBdr>
                <w:top w:val="nil"/>
                <w:left w:val="nil"/>
                <w:bottom w:val="nil"/>
                <w:right w:val="nil"/>
                <w:between w:val="nil"/>
              </w:pBdr>
              <w:rPr>
                <w:b/>
                <w:i/>
                <w:lang w:val="nl-BE"/>
              </w:rPr>
            </w:pPr>
            <w:r w:rsidRPr="00E6515F">
              <w:rPr>
                <w:b/>
                <w:i/>
                <w:lang w:val="nl-BE"/>
              </w:rPr>
              <w:t xml:space="preserve"> Totaal </w:t>
            </w:r>
          </w:p>
        </w:tc>
        <w:tc>
          <w:tcPr>
            <w:tcW w:w="1843" w:type="dxa"/>
            <w:vAlign w:val="center"/>
          </w:tcPr>
          <w:p w:rsidR="00AB7840" w:rsidRPr="00E6515F" w:rsidRDefault="00615934">
            <w:pPr>
              <w:jc w:val="right"/>
              <w:rPr>
                <w:b/>
                <w:bCs/>
                <w:i/>
                <w:iCs/>
                <w:color w:val="FF0000"/>
                <w:lang w:val="nl-BE"/>
              </w:rPr>
            </w:pPr>
            <w:r w:rsidRPr="00E6515F">
              <w:rPr>
                <w:b/>
                <w:bCs/>
                <w:i/>
                <w:iCs/>
                <w:lang w:val="nl-BE"/>
              </w:rPr>
              <w:t>€ 1.456.106.338</w:t>
            </w:r>
          </w:p>
        </w:tc>
      </w:tr>
    </w:tbl>
    <w:p w:rsidR="00CD1B8C" w:rsidRPr="00E6515F" w:rsidRDefault="00CD1B8C">
      <w:pPr>
        <w:pBdr>
          <w:top w:val="nil"/>
          <w:left w:val="nil"/>
          <w:bottom w:val="nil"/>
          <w:right w:val="nil"/>
          <w:between w:val="nil"/>
        </w:pBdr>
        <w:rPr>
          <w:lang w:val="nl-BE"/>
        </w:rPr>
      </w:pPr>
    </w:p>
    <w:p w:rsidR="00CD1B8C" w:rsidRPr="00E6515F" w:rsidRDefault="002859D7" w:rsidP="009D5BE4">
      <w:pPr>
        <w:pBdr>
          <w:top w:val="nil"/>
          <w:left w:val="nil"/>
          <w:bottom w:val="nil"/>
          <w:right w:val="nil"/>
          <w:between w:val="nil"/>
        </w:pBdr>
        <w:jc w:val="both"/>
        <w:rPr>
          <w:lang w:val="nl-BE"/>
        </w:rPr>
      </w:pPr>
      <w:r w:rsidRPr="00E6515F">
        <w:rPr>
          <w:lang w:val="nl-BE"/>
        </w:rPr>
        <w:t xml:space="preserve">Voor alle duidelijkheid willen we hieraan toevoegen dat </w:t>
      </w:r>
      <w:r w:rsidR="00E5077E">
        <w:rPr>
          <w:lang w:val="nl-BE"/>
        </w:rPr>
        <w:t xml:space="preserve">de </w:t>
      </w:r>
      <w:r w:rsidRPr="00E6515F">
        <w:rPr>
          <w:lang w:val="nl-BE"/>
        </w:rPr>
        <w:t>bovenstaande bedragen, bedragen zijn</w:t>
      </w:r>
      <w:r w:rsidR="00C45F18" w:rsidRPr="00E6515F">
        <w:rPr>
          <w:lang w:val="nl-BE"/>
        </w:rPr>
        <w:t xml:space="preserve"> voor het prestatiejaar 2017. </w:t>
      </w:r>
      <w:r w:rsidR="00E5077E" w:rsidRPr="00E6515F">
        <w:rPr>
          <w:lang w:val="nl-BE"/>
        </w:rPr>
        <w:t>D</w:t>
      </w:r>
      <w:r w:rsidR="00E5077E">
        <w:rPr>
          <w:lang w:val="nl-BE"/>
        </w:rPr>
        <w:t>a</w:t>
      </w:r>
      <w:r w:rsidR="00E5077E" w:rsidRPr="00E6515F">
        <w:rPr>
          <w:lang w:val="nl-BE"/>
        </w:rPr>
        <w:t xml:space="preserve">t </w:t>
      </w:r>
      <w:r w:rsidRPr="00E6515F">
        <w:rPr>
          <w:lang w:val="nl-BE"/>
        </w:rPr>
        <w:t xml:space="preserve">is alles wat voor </w:t>
      </w:r>
      <w:r w:rsidR="00E5077E">
        <w:rPr>
          <w:lang w:val="nl-BE"/>
        </w:rPr>
        <w:t>dat</w:t>
      </w:r>
      <w:r w:rsidR="00E5077E" w:rsidRPr="00E6515F">
        <w:rPr>
          <w:lang w:val="nl-BE"/>
        </w:rPr>
        <w:t xml:space="preserve"> </w:t>
      </w:r>
      <w:r w:rsidRPr="00E6515F">
        <w:rPr>
          <w:lang w:val="nl-BE"/>
        </w:rPr>
        <w:t>jaar betaald wordt in voorschotten enerzijds</w:t>
      </w:r>
      <w:r w:rsidR="00E5077E">
        <w:rPr>
          <w:lang w:val="nl-BE"/>
        </w:rPr>
        <w:t>,</w:t>
      </w:r>
      <w:r w:rsidRPr="00E6515F">
        <w:rPr>
          <w:lang w:val="nl-BE"/>
        </w:rPr>
        <w:t xml:space="preserve"> samen met wat er nog bijkomt aan afrekeningen voor </w:t>
      </w:r>
      <w:r w:rsidR="00481595" w:rsidRPr="00E6515F">
        <w:rPr>
          <w:lang w:val="nl-BE"/>
        </w:rPr>
        <w:t>datzelfde</w:t>
      </w:r>
      <w:r w:rsidRPr="00E6515F">
        <w:rPr>
          <w:lang w:val="nl-BE"/>
        </w:rPr>
        <w:t xml:space="preserve"> jaar</w:t>
      </w:r>
      <w:r w:rsidR="00E5077E">
        <w:rPr>
          <w:lang w:val="nl-BE"/>
        </w:rPr>
        <w:t xml:space="preserve"> anderzijds</w:t>
      </w:r>
      <w:r w:rsidRPr="00E6515F">
        <w:rPr>
          <w:lang w:val="nl-BE"/>
        </w:rPr>
        <w:t>.</w:t>
      </w:r>
    </w:p>
    <w:p w:rsidR="00CD1B8C" w:rsidRPr="00E6515F" w:rsidRDefault="00CD1B8C" w:rsidP="009D5BE4">
      <w:pPr>
        <w:pBdr>
          <w:top w:val="nil"/>
          <w:left w:val="nil"/>
          <w:bottom w:val="nil"/>
          <w:right w:val="nil"/>
          <w:between w:val="nil"/>
        </w:pBdr>
        <w:jc w:val="both"/>
        <w:rPr>
          <w:lang w:val="nl-BE"/>
        </w:rPr>
      </w:pPr>
    </w:p>
    <w:p w:rsidR="0043779B" w:rsidRPr="00E6515F" w:rsidRDefault="002859D7" w:rsidP="009D5BE4">
      <w:pPr>
        <w:pBdr>
          <w:top w:val="nil"/>
          <w:left w:val="nil"/>
          <w:bottom w:val="nil"/>
          <w:right w:val="nil"/>
          <w:between w:val="nil"/>
        </w:pBdr>
        <w:jc w:val="both"/>
        <w:rPr>
          <w:lang w:val="nl-BE"/>
        </w:rPr>
      </w:pPr>
      <w:r w:rsidRPr="00E6515F">
        <w:rPr>
          <w:lang w:val="nl-BE"/>
        </w:rPr>
        <w:t xml:space="preserve">We merken dat er de afgelopen tien jaar ongeveer 50 procent extra is geïnvesteerd voor de personen met een handicap. </w:t>
      </w:r>
    </w:p>
    <w:p w:rsidR="0043779B" w:rsidRPr="00E6515F" w:rsidRDefault="0043779B" w:rsidP="009D5BE4">
      <w:pPr>
        <w:pBdr>
          <w:top w:val="nil"/>
          <w:left w:val="nil"/>
          <w:bottom w:val="nil"/>
          <w:right w:val="nil"/>
          <w:between w:val="nil"/>
        </w:pBdr>
        <w:jc w:val="both"/>
        <w:rPr>
          <w:lang w:val="nl-BE"/>
        </w:rPr>
      </w:pPr>
    </w:p>
    <w:p w:rsidR="00EB3E89" w:rsidRPr="00E6515F" w:rsidRDefault="00EB3E89">
      <w:pPr>
        <w:rPr>
          <w:b/>
          <w:sz w:val="34"/>
          <w:szCs w:val="34"/>
          <w:lang w:val="nl-BE"/>
        </w:rPr>
      </w:pPr>
      <w:r w:rsidRPr="00E6515F">
        <w:rPr>
          <w:sz w:val="34"/>
          <w:szCs w:val="34"/>
          <w:lang w:val="nl-BE"/>
        </w:rPr>
        <w:br w:type="page"/>
      </w:r>
    </w:p>
    <w:p w:rsidR="0043779B" w:rsidRPr="00E6515F" w:rsidRDefault="0043779B" w:rsidP="00EE2B0E">
      <w:pPr>
        <w:pStyle w:val="Kop1"/>
        <w:widowControl w:val="0"/>
        <w:numPr>
          <w:ilvl w:val="1"/>
          <w:numId w:val="1"/>
        </w:numPr>
        <w:pBdr>
          <w:top w:val="nil"/>
          <w:left w:val="nil"/>
          <w:bottom w:val="nil"/>
          <w:right w:val="nil"/>
          <w:between w:val="nil"/>
        </w:pBdr>
        <w:rPr>
          <w:sz w:val="34"/>
          <w:szCs w:val="34"/>
          <w:lang w:val="nl-BE"/>
        </w:rPr>
      </w:pPr>
      <w:bookmarkStart w:id="113" w:name="_Toc536797832"/>
      <w:r w:rsidRPr="00E6515F">
        <w:rPr>
          <w:sz w:val="34"/>
          <w:szCs w:val="34"/>
          <w:lang w:val="nl-BE"/>
        </w:rPr>
        <w:lastRenderedPageBreak/>
        <w:t>Overzicht uitbreidingsbeleid per jaar</w:t>
      </w:r>
      <w:bookmarkEnd w:id="113"/>
    </w:p>
    <w:p w:rsidR="0043779B" w:rsidRPr="00E6515F" w:rsidRDefault="0043779B" w:rsidP="009D5BE4">
      <w:pPr>
        <w:pBdr>
          <w:top w:val="nil"/>
          <w:left w:val="nil"/>
          <w:bottom w:val="nil"/>
          <w:right w:val="nil"/>
          <w:between w:val="nil"/>
        </w:pBdr>
        <w:jc w:val="both"/>
        <w:rPr>
          <w:lang w:val="nl-BE"/>
        </w:rPr>
      </w:pPr>
    </w:p>
    <w:p w:rsidR="00C16AAC" w:rsidRPr="00E6515F" w:rsidRDefault="002859D7" w:rsidP="00073427">
      <w:pPr>
        <w:pBdr>
          <w:top w:val="nil"/>
          <w:left w:val="nil"/>
          <w:bottom w:val="nil"/>
          <w:right w:val="nil"/>
          <w:between w:val="nil"/>
        </w:pBdr>
        <w:jc w:val="both"/>
        <w:rPr>
          <w:lang w:val="nl-BE"/>
        </w:rPr>
      </w:pPr>
      <w:r w:rsidRPr="00E6515F">
        <w:rPr>
          <w:lang w:val="nl-BE"/>
        </w:rPr>
        <w:t xml:space="preserve">Elk jaar werden er heel wat uitbreidingsmiddelen toegevoegd aan de bestaande middelen. Hieronder </w:t>
      </w:r>
      <w:r w:rsidR="00E5077E">
        <w:rPr>
          <w:lang w:val="nl-BE"/>
        </w:rPr>
        <w:t xml:space="preserve">vindt u </w:t>
      </w:r>
      <w:r w:rsidRPr="00E6515F">
        <w:rPr>
          <w:lang w:val="nl-BE"/>
        </w:rPr>
        <w:t>een overzicht van de uitbreidingsmiddelen per prestatiejaar</w:t>
      </w:r>
      <w:r w:rsidR="00E5077E">
        <w:rPr>
          <w:lang w:val="nl-BE"/>
        </w:rPr>
        <w:t>,</w:t>
      </w:r>
      <w:r w:rsidR="00C45F18" w:rsidRPr="00E6515F">
        <w:rPr>
          <w:lang w:val="nl-BE"/>
        </w:rPr>
        <w:t xml:space="preserve"> uitgedrukt in miljoen euro. In 2009 waren er geen uitbreidingsmiddelen voorzien.</w:t>
      </w:r>
    </w:p>
    <w:p w:rsidR="00073427" w:rsidRPr="00E6515F" w:rsidRDefault="00073427" w:rsidP="00073427">
      <w:pPr>
        <w:pBdr>
          <w:top w:val="nil"/>
          <w:left w:val="nil"/>
          <w:bottom w:val="nil"/>
          <w:right w:val="nil"/>
          <w:between w:val="nil"/>
        </w:pBdr>
        <w:jc w:val="both"/>
        <w:rPr>
          <w:lang w:val="nl-BE"/>
        </w:rPr>
      </w:pPr>
    </w:p>
    <w:tbl>
      <w:tblPr>
        <w:tblpPr w:leftFromText="141" w:rightFromText="141" w:vertAnchor="text" w:horzAnchor="margin" w:tblpXSpec="right" w:tblpY="397"/>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204"/>
        <w:gridCol w:w="1204"/>
        <w:gridCol w:w="1453"/>
        <w:gridCol w:w="1304"/>
        <w:gridCol w:w="1204"/>
        <w:gridCol w:w="1299"/>
        <w:gridCol w:w="1400"/>
      </w:tblGrid>
      <w:tr w:rsidR="003D0D63" w:rsidRPr="00E6515F" w:rsidTr="003D0D63">
        <w:trPr>
          <w:trHeight w:val="3870"/>
        </w:trPr>
        <w:tc>
          <w:tcPr>
            <w:tcW w:w="880" w:type="dxa"/>
            <w:shd w:val="clear" w:color="auto" w:fill="BFBFBF" w:themeFill="background1" w:themeFillShade="BF"/>
            <w:noWrap/>
            <w:vAlign w:val="bottom"/>
            <w:hideMark/>
          </w:tcPr>
          <w:p w:rsidR="003D0D63" w:rsidRPr="00E6515F" w:rsidRDefault="003D0D63" w:rsidP="003D0D63">
            <w:pPr>
              <w:widowControl w:val="0"/>
              <w:spacing w:line="240" w:lineRule="auto"/>
              <w:rPr>
                <w:lang w:val="nl-BE"/>
              </w:rPr>
            </w:pPr>
          </w:p>
        </w:tc>
        <w:tc>
          <w:tcPr>
            <w:tcW w:w="1204" w:type="dxa"/>
            <w:shd w:val="clear" w:color="auto" w:fill="BFBFBF" w:themeFill="background1" w:themeFillShade="BF"/>
            <w:textDirection w:val="btLr"/>
            <w:vAlign w:val="center"/>
            <w:hideMark/>
          </w:tcPr>
          <w:p w:rsidR="003D0D63" w:rsidRPr="00E6515F" w:rsidRDefault="003D0D63" w:rsidP="003D0D63">
            <w:pPr>
              <w:widowControl w:val="0"/>
              <w:spacing w:line="240" w:lineRule="auto"/>
              <w:rPr>
                <w:b/>
                <w:lang w:val="nl-BE"/>
              </w:rPr>
            </w:pPr>
            <w:proofErr w:type="spellStart"/>
            <w:r w:rsidRPr="00E6515F">
              <w:rPr>
                <w:b/>
                <w:lang w:val="nl-BE"/>
              </w:rPr>
              <w:t>Organisiaties</w:t>
            </w:r>
            <w:proofErr w:type="spellEnd"/>
            <w:r w:rsidRPr="00E6515F">
              <w:rPr>
                <w:b/>
                <w:lang w:val="nl-BE"/>
              </w:rPr>
              <w:t xml:space="preserve"> in </w:t>
            </w:r>
            <w:r>
              <w:rPr>
                <w:b/>
                <w:lang w:val="nl-BE"/>
              </w:rPr>
              <w:t xml:space="preserve">het </w:t>
            </w:r>
            <w:r w:rsidRPr="00E6515F">
              <w:rPr>
                <w:b/>
                <w:lang w:val="nl-BE"/>
              </w:rPr>
              <w:t>kader van onderzoek</w:t>
            </w:r>
            <w:r w:rsidRPr="00E6515F">
              <w:rPr>
                <w:b/>
                <w:lang w:val="nl-BE"/>
              </w:rPr>
              <w:br/>
              <w:t xml:space="preserve">en advies en intermediaire organisaties, vrijetijdsorganisaties </w:t>
            </w:r>
          </w:p>
        </w:tc>
        <w:tc>
          <w:tcPr>
            <w:tcW w:w="1204" w:type="dxa"/>
            <w:shd w:val="clear" w:color="auto" w:fill="BFBFBF" w:themeFill="background1" w:themeFillShade="BF"/>
            <w:textDirection w:val="btLr"/>
            <w:vAlign w:val="center"/>
            <w:hideMark/>
          </w:tcPr>
          <w:p w:rsidR="003D0D63" w:rsidRPr="00E6515F" w:rsidRDefault="003D0D63" w:rsidP="003D0D63">
            <w:pPr>
              <w:widowControl w:val="0"/>
              <w:spacing w:line="240" w:lineRule="auto"/>
              <w:rPr>
                <w:b/>
                <w:lang w:val="nl-BE"/>
              </w:rPr>
            </w:pPr>
            <w:r w:rsidRPr="00E6515F">
              <w:rPr>
                <w:b/>
                <w:lang w:val="nl-BE"/>
              </w:rPr>
              <w:t xml:space="preserve">Individuele </w:t>
            </w:r>
            <w:r>
              <w:rPr>
                <w:b/>
                <w:lang w:val="nl-BE"/>
              </w:rPr>
              <w:t>m</w:t>
            </w:r>
            <w:r w:rsidRPr="00E6515F">
              <w:rPr>
                <w:b/>
                <w:lang w:val="nl-BE"/>
              </w:rPr>
              <w:t>ateri</w:t>
            </w:r>
            <w:r>
              <w:rPr>
                <w:b/>
                <w:lang w:val="nl-BE"/>
              </w:rPr>
              <w:t>ë</w:t>
            </w:r>
            <w:r w:rsidRPr="00E6515F">
              <w:rPr>
                <w:b/>
                <w:lang w:val="nl-BE"/>
              </w:rPr>
              <w:t xml:space="preserve">le </w:t>
            </w:r>
            <w:r>
              <w:rPr>
                <w:b/>
                <w:lang w:val="nl-BE"/>
              </w:rPr>
              <w:t>b</w:t>
            </w:r>
            <w:r w:rsidRPr="00E6515F">
              <w:rPr>
                <w:b/>
                <w:lang w:val="nl-BE"/>
              </w:rPr>
              <w:t>ijstand (IMB)</w:t>
            </w:r>
            <w:r w:rsidRPr="00E6515F">
              <w:rPr>
                <w:b/>
                <w:lang w:val="nl-BE"/>
              </w:rPr>
              <w:br/>
              <w:t xml:space="preserve"> en </w:t>
            </w:r>
            <w:r>
              <w:rPr>
                <w:b/>
                <w:lang w:val="nl-BE"/>
              </w:rPr>
              <w:t>s</w:t>
            </w:r>
            <w:r w:rsidRPr="00E6515F">
              <w:rPr>
                <w:b/>
                <w:lang w:val="nl-BE"/>
              </w:rPr>
              <w:t>choolopleiding, doventolken</w:t>
            </w:r>
          </w:p>
        </w:tc>
        <w:tc>
          <w:tcPr>
            <w:tcW w:w="1453" w:type="dxa"/>
            <w:shd w:val="clear" w:color="auto" w:fill="BFBFBF" w:themeFill="background1" w:themeFillShade="BF"/>
            <w:noWrap/>
            <w:textDirection w:val="btLr"/>
            <w:vAlign w:val="center"/>
            <w:hideMark/>
          </w:tcPr>
          <w:p w:rsidR="003D0D63" w:rsidRPr="00E6515F" w:rsidRDefault="003D0D63" w:rsidP="003D0D63">
            <w:pPr>
              <w:widowControl w:val="0"/>
              <w:spacing w:line="240" w:lineRule="auto"/>
              <w:rPr>
                <w:b/>
                <w:lang w:val="nl-BE"/>
              </w:rPr>
            </w:pPr>
            <w:r w:rsidRPr="00E6515F">
              <w:rPr>
                <w:b/>
                <w:lang w:val="nl-BE"/>
              </w:rPr>
              <w:t>Zorg en ondersteuning in natura</w:t>
            </w:r>
          </w:p>
        </w:tc>
        <w:tc>
          <w:tcPr>
            <w:tcW w:w="1304" w:type="dxa"/>
            <w:shd w:val="clear" w:color="auto" w:fill="BFBFBF" w:themeFill="background1" w:themeFillShade="BF"/>
            <w:noWrap/>
            <w:textDirection w:val="btLr"/>
            <w:vAlign w:val="center"/>
            <w:hideMark/>
          </w:tcPr>
          <w:p w:rsidR="003D0D63" w:rsidRPr="00E6515F" w:rsidRDefault="003D0D63" w:rsidP="003D0D63">
            <w:pPr>
              <w:widowControl w:val="0"/>
              <w:spacing w:line="240" w:lineRule="auto"/>
              <w:rPr>
                <w:b/>
                <w:lang w:val="nl-BE"/>
              </w:rPr>
            </w:pPr>
            <w:r w:rsidRPr="00E6515F">
              <w:rPr>
                <w:b/>
                <w:lang w:val="nl-BE"/>
              </w:rPr>
              <w:t>PAB</w:t>
            </w:r>
          </w:p>
        </w:tc>
        <w:tc>
          <w:tcPr>
            <w:tcW w:w="1204" w:type="dxa"/>
            <w:shd w:val="clear" w:color="auto" w:fill="BFBFBF" w:themeFill="background1" w:themeFillShade="BF"/>
            <w:noWrap/>
            <w:textDirection w:val="btLr"/>
            <w:vAlign w:val="center"/>
            <w:hideMark/>
          </w:tcPr>
          <w:p w:rsidR="003D0D63" w:rsidRPr="00E6515F" w:rsidRDefault="003D0D63" w:rsidP="003D0D63">
            <w:pPr>
              <w:widowControl w:val="0"/>
              <w:spacing w:line="240" w:lineRule="auto"/>
              <w:rPr>
                <w:b/>
                <w:lang w:val="nl-BE"/>
              </w:rPr>
            </w:pPr>
            <w:r w:rsidRPr="00E6515F">
              <w:rPr>
                <w:b/>
                <w:lang w:val="nl-BE"/>
              </w:rPr>
              <w:t xml:space="preserve">Projectsubsidies  (2010) </w:t>
            </w:r>
            <w:r>
              <w:rPr>
                <w:b/>
                <w:lang w:val="nl-BE"/>
              </w:rPr>
              <w:t xml:space="preserve">en </w:t>
            </w:r>
            <w:r w:rsidRPr="00E6515F">
              <w:rPr>
                <w:b/>
                <w:lang w:val="nl-BE"/>
              </w:rPr>
              <w:t xml:space="preserve">infrastructuursubsidies (2017) </w:t>
            </w:r>
          </w:p>
        </w:tc>
        <w:tc>
          <w:tcPr>
            <w:tcW w:w="1299" w:type="dxa"/>
            <w:shd w:val="clear" w:color="auto" w:fill="BFBFBF" w:themeFill="background1" w:themeFillShade="BF"/>
            <w:textDirection w:val="btLr"/>
          </w:tcPr>
          <w:p w:rsidR="003D0D63" w:rsidRPr="004B087D" w:rsidRDefault="003D0D63" w:rsidP="003D0D63">
            <w:pPr>
              <w:widowControl w:val="0"/>
              <w:spacing w:line="240" w:lineRule="auto"/>
              <w:rPr>
                <w:b/>
                <w:lang w:val="nl-BE"/>
              </w:rPr>
            </w:pPr>
            <w:r w:rsidRPr="004B087D">
              <w:rPr>
                <w:b/>
                <w:lang w:val="nl-BE"/>
              </w:rPr>
              <w:t>Zorgbudget (BOB)</w:t>
            </w:r>
          </w:p>
        </w:tc>
        <w:tc>
          <w:tcPr>
            <w:tcW w:w="1400" w:type="dxa"/>
            <w:shd w:val="clear" w:color="auto" w:fill="BFBFBF" w:themeFill="background1" w:themeFillShade="BF"/>
            <w:noWrap/>
            <w:textDirection w:val="btLr"/>
            <w:vAlign w:val="center"/>
            <w:hideMark/>
          </w:tcPr>
          <w:p w:rsidR="003D0D63" w:rsidRPr="00E6515F" w:rsidRDefault="003D0D63" w:rsidP="003D0D63">
            <w:pPr>
              <w:widowControl w:val="0"/>
              <w:spacing w:line="240" w:lineRule="auto"/>
              <w:rPr>
                <w:b/>
                <w:i/>
                <w:lang w:val="nl-BE"/>
              </w:rPr>
            </w:pPr>
            <w:r w:rsidRPr="00E6515F">
              <w:rPr>
                <w:b/>
                <w:i/>
                <w:lang w:val="nl-BE"/>
              </w:rPr>
              <w:t>Totaal</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2008</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€ 530.000 </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€ 50.000</w:t>
            </w:r>
          </w:p>
        </w:tc>
        <w:tc>
          <w:tcPr>
            <w:tcW w:w="1453"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€ 24.920.000 </w:t>
            </w:r>
          </w:p>
        </w:tc>
        <w:tc>
          <w:tcPr>
            <w:tcW w:w="13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7.000.000 </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€ 32.500.000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2009</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453"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3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2010</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1.645.000 </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w:t>
            </w:r>
          </w:p>
        </w:tc>
        <w:tc>
          <w:tcPr>
            <w:tcW w:w="1453"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13.055.000 </w:t>
            </w:r>
          </w:p>
        </w:tc>
        <w:tc>
          <w:tcPr>
            <w:tcW w:w="13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5.700.000 </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xml:space="preserve"> € 2.100.000 </w:t>
            </w:r>
          </w:p>
        </w:tc>
        <w:tc>
          <w:tcPr>
            <w:tcW w:w="1299" w:type="dxa"/>
            <w:vAlign w:val="center"/>
          </w:tcPr>
          <w:p w:rsidR="003D0D63" w:rsidRPr="00E6515F" w:rsidRDefault="003D0D63" w:rsidP="003D0D63">
            <w:pPr>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€ 22.500.000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2011</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€ 1.849.000</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€ 2.335.000</w:t>
            </w:r>
          </w:p>
        </w:tc>
        <w:tc>
          <w:tcPr>
            <w:tcW w:w="1453"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€ 21.369.000</w:t>
            </w:r>
          </w:p>
        </w:tc>
        <w:tc>
          <w:tcPr>
            <w:tcW w:w="13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€ 5.747.000</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jc w:val="right"/>
              <w:rPr>
                <w:i/>
                <w:iCs/>
                <w:color w:val="000000"/>
                <w:sz w:val="20"/>
                <w:szCs w:val="20"/>
                <w:lang w:val="nl-BE"/>
              </w:rPr>
            </w:pPr>
          </w:p>
        </w:tc>
        <w:tc>
          <w:tcPr>
            <w:tcW w:w="1400"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€ 31.300.000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2012</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€ 1.177.000</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€ 1.063.000</w:t>
            </w:r>
          </w:p>
        </w:tc>
        <w:tc>
          <w:tcPr>
            <w:tcW w:w="1453"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€ 26.314.316</w:t>
            </w:r>
          </w:p>
        </w:tc>
        <w:tc>
          <w:tcPr>
            <w:tcW w:w="1304"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€ 6.445.684</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jc w:val="right"/>
              <w:rPr>
                <w:i/>
                <w:iCs/>
                <w:color w:val="000000"/>
                <w:sz w:val="20"/>
                <w:szCs w:val="20"/>
                <w:lang w:val="nl-BE"/>
              </w:rPr>
            </w:pPr>
          </w:p>
        </w:tc>
        <w:tc>
          <w:tcPr>
            <w:tcW w:w="1400" w:type="dxa"/>
            <w:shd w:val="clear" w:color="auto" w:fill="auto"/>
            <w:noWrap/>
            <w:vAlign w:val="center"/>
          </w:tcPr>
          <w:p w:rsidR="003D0D63" w:rsidRPr="00E6515F" w:rsidRDefault="003D0D63" w:rsidP="003D0D63">
            <w:pPr>
              <w:jc w:val="right"/>
              <w:rPr>
                <w:i/>
                <w:iCs/>
                <w:color w:val="000000"/>
                <w:sz w:val="20"/>
                <w:szCs w:val="20"/>
                <w:lang w:val="nl-BE"/>
              </w:rPr>
            </w:pPr>
            <w:r w:rsidRPr="00E6515F">
              <w:rPr>
                <w:i/>
                <w:iCs/>
                <w:color w:val="000000"/>
                <w:sz w:val="20"/>
                <w:szCs w:val="20"/>
                <w:lang w:val="nl-BE"/>
              </w:rPr>
              <w:t>€ 35.000.000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2013</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€ 1.117.000</w:t>
            </w:r>
          </w:p>
        </w:tc>
        <w:tc>
          <w:tcPr>
            <w:tcW w:w="12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p>
        </w:tc>
        <w:tc>
          <w:tcPr>
            <w:tcW w:w="1453"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21.983.000 </w:t>
            </w:r>
          </w:p>
        </w:tc>
        <w:tc>
          <w:tcPr>
            <w:tcW w:w="13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6.900.000 </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widowControl w:val="0"/>
              <w:spacing w:line="240" w:lineRule="auto"/>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€ 30.000.000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2014</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€ 20.000 </w:t>
            </w:r>
          </w:p>
        </w:tc>
        <w:tc>
          <w:tcPr>
            <w:tcW w:w="1453"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23.016.857 </w:t>
            </w:r>
          </w:p>
        </w:tc>
        <w:tc>
          <w:tcPr>
            <w:tcW w:w="13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4.203.143 </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widowControl w:val="0"/>
              <w:spacing w:line="240" w:lineRule="auto"/>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€ 27.240.000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2015</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€ 2.054.525 </w:t>
            </w:r>
          </w:p>
        </w:tc>
        <w:tc>
          <w:tcPr>
            <w:tcW w:w="1453"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30.203.475 </w:t>
            </w:r>
          </w:p>
        </w:tc>
        <w:tc>
          <w:tcPr>
            <w:tcW w:w="13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7.742.000 </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widowControl w:val="0"/>
              <w:spacing w:line="240" w:lineRule="auto"/>
              <w:jc w:val="right"/>
              <w:rPr>
                <w:i/>
                <w:iCs/>
                <w:color w:val="000000"/>
                <w:sz w:val="20"/>
                <w:szCs w:val="20"/>
                <w:lang w:val="nl-BE"/>
              </w:rPr>
            </w:pP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€ 40.000.000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2016</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p>
        </w:tc>
        <w:tc>
          <w:tcPr>
            <w:tcW w:w="1453"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8.685.856 </w:t>
            </w:r>
          </w:p>
        </w:tc>
        <w:tc>
          <w:tcPr>
            <w:tcW w:w="13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€ 314.144</w:t>
            </w:r>
          </w:p>
        </w:tc>
        <w:tc>
          <w:tcPr>
            <w:tcW w:w="1204" w:type="dxa"/>
            <w:shd w:val="clear" w:color="auto" w:fill="auto"/>
            <w:noWrap/>
            <w:vAlign w:val="center"/>
          </w:tcPr>
          <w:p w:rsidR="003D0D63" w:rsidRPr="00E6515F" w:rsidRDefault="003D0D63" w:rsidP="003D0D63">
            <w:pPr>
              <w:jc w:val="right"/>
              <w:rPr>
                <w:i/>
                <w:iCs/>
                <w:color w:val="000000"/>
                <w:sz w:val="20"/>
                <w:szCs w:val="20"/>
                <w:lang w:val="nl-BE"/>
              </w:rPr>
            </w:pPr>
          </w:p>
        </w:tc>
        <w:tc>
          <w:tcPr>
            <w:tcW w:w="1299" w:type="dxa"/>
            <w:vAlign w:val="center"/>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€ 9.000.000</w:t>
            </w: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€ 18.000.000</w:t>
            </w:r>
          </w:p>
        </w:tc>
      </w:tr>
      <w:tr w:rsidR="003D0D63" w:rsidRPr="00E6515F" w:rsidTr="003D0D63">
        <w:trPr>
          <w:trHeight w:val="357"/>
        </w:trPr>
        <w:tc>
          <w:tcPr>
            <w:tcW w:w="880" w:type="dxa"/>
            <w:shd w:val="clear" w:color="auto" w:fill="auto"/>
            <w:noWrap/>
            <w:vAlign w:val="bottom"/>
            <w:hideMark/>
          </w:tcPr>
          <w:p w:rsidR="003D0D63" w:rsidRPr="00E6515F" w:rsidRDefault="003D0D63" w:rsidP="003D0D63">
            <w:pPr>
              <w:widowControl w:val="0"/>
              <w:spacing w:line="240" w:lineRule="auto"/>
              <w:rPr>
                <w:b/>
                <w:sz w:val="20"/>
                <w:szCs w:val="20"/>
                <w:lang w:val="nl-BE"/>
              </w:rPr>
            </w:pPr>
            <w:r w:rsidRPr="00E6515F">
              <w:rPr>
                <w:b/>
                <w:sz w:val="20"/>
                <w:szCs w:val="20"/>
                <w:lang w:val="nl-BE"/>
              </w:rPr>
              <w:t>2017</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p>
        </w:tc>
        <w:tc>
          <w:tcPr>
            <w:tcW w:w="12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€ 2.400.000 </w:t>
            </w:r>
          </w:p>
        </w:tc>
        <w:tc>
          <w:tcPr>
            <w:tcW w:w="1453"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55.469.100 </w:t>
            </w:r>
          </w:p>
        </w:tc>
        <w:tc>
          <w:tcPr>
            <w:tcW w:w="1304" w:type="dxa"/>
            <w:shd w:val="clear" w:color="auto" w:fill="auto"/>
            <w:noWrap/>
            <w:vAlign w:val="center"/>
            <w:hideMark/>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xml:space="preserve"> €    7.852.500 </w:t>
            </w:r>
          </w:p>
        </w:tc>
        <w:tc>
          <w:tcPr>
            <w:tcW w:w="1204"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€ 4.400.000</w:t>
            </w:r>
          </w:p>
        </w:tc>
        <w:tc>
          <w:tcPr>
            <w:tcW w:w="1299" w:type="dxa"/>
            <w:vAlign w:val="center"/>
          </w:tcPr>
          <w:p w:rsidR="003D0D63" w:rsidRPr="00E6515F" w:rsidRDefault="003D0D63" w:rsidP="003D0D63">
            <w:pPr>
              <w:widowControl w:val="0"/>
              <w:spacing w:line="240" w:lineRule="auto"/>
              <w:jc w:val="right"/>
              <w:rPr>
                <w:i/>
                <w:iCs/>
                <w:color w:val="000000"/>
                <w:sz w:val="20"/>
                <w:szCs w:val="20"/>
                <w:lang w:val="nl-BE"/>
              </w:rPr>
            </w:pPr>
            <w:r w:rsidRPr="00E6515F">
              <w:rPr>
                <w:i/>
                <w:iCs/>
                <w:color w:val="000000"/>
                <w:sz w:val="20"/>
                <w:szCs w:val="20"/>
                <w:lang w:val="nl-BE"/>
              </w:rPr>
              <w:t>€ 43.778.400</w:t>
            </w:r>
          </w:p>
        </w:tc>
        <w:tc>
          <w:tcPr>
            <w:tcW w:w="1400" w:type="dxa"/>
            <w:shd w:val="clear" w:color="auto" w:fill="auto"/>
            <w:noWrap/>
            <w:vAlign w:val="center"/>
            <w:hideMark/>
          </w:tcPr>
          <w:p w:rsidR="003D0D63" w:rsidRPr="00E6515F" w:rsidRDefault="003D0D63" w:rsidP="003D0D63">
            <w:pPr>
              <w:jc w:val="right"/>
              <w:rPr>
                <w:i/>
                <w:iCs/>
                <w:color w:val="000000"/>
                <w:sz w:val="20"/>
                <w:szCs w:val="20"/>
                <w:lang w:val="nl-BE"/>
              </w:rPr>
            </w:pPr>
            <w:r w:rsidRPr="00E6515F">
              <w:rPr>
                <w:i/>
                <w:iCs/>
                <w:color w:val="000000"/>
                <w:sz w:val="20"/>
                <w:szCs w:val="20"/>
                <w:lang w:val="nl-BE"/>
              </w:rPr>
              <w:t>€ 113.900.000</w:t>
            </w:r>
          </w:p>
        </w:tc>
      </w:tr>
    </w:tbl>
    <w:p w:rsidR="00CD1B8C" w:rsidRPr="00E6515F" w:rsidRDefault="00FA0664" w:rsidP="00FA0664">
      <w:pPr>
        <w:pStyle w:val="Bijschrift"/>
        <w:rPr>
          <w:lang w:val="nl-BE"/>
        </w:rPr>
      </w:pPr>
      <w:r w:rsidRPr="00E6515F">
        <w:rPr>
          <w:lang w:val="nl-BE"/>
        </w:rPr>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35</w:t>
      </w:r>
      <w:r w:rsidRPr="00E6515F">
        <w:rPr>
          <w:lang w:val="nl-BE"/>
        </w:rPr>
        <w:fldChar w:fldCharType="end"/>
      </w:r>
      <w:r w:rsidRPr="00E6515F">
        <w:rPr>
          <w:lang w:val="nl-BE"/>
        </w:rPr>
        <w:t xml:space="preserve">: </w:t>
      </w:r>
      <w:r w:rsidR="00996B4D">
        <w:rPr>
          <w:lang w:val="nl-BE"/>
        </w:rPr>
        <w:t>U</w:t>
      </w:r>
      <w:r w:rsidRPr="00E6515F">
        <w:rPr>
          <w:lang w:val="nl-BE"/>
        </w:rPr>
        <w:t>itbreidingsmiddelen</w:t>
      </w:r>
      <w:r w:rsidR="00BB29E2" w:rsidRPr="00E6515F">
        <w:rPr>
          <w:lang w:val="nl-BE"/>
        </w:rPr>
        <w:t xml:space="preserve"> </w:t>
      </w:r>
      <w:r w:rsidRPr="00E6515F">
        <w:rPr>
          <w:lang w:val="nl-BE"/>
        </w:rPr>
        <w:t>per prestatiejaar</w:t>
      </w:r>
      <w:r w:rsidR="00767D3C" w:rsidRPr="00E6515F">
        <w:rPr>
          <w:lang w:val="nl-BE"/>
        </w:rPr>
        <w:t xml:space="preserve"> per kostenpost</w:t>
      </w:r>
    </w:p>
    <w:p w:rsidR="00073427" w:rsidRPr="00E6515F" w:rsidRDefault="00073427">
      <w:pPr>
        <w:rPr>
          <w:bCs/>
          <w:szCs w:val="18"/>
          <w:u w:val="single"/>
          <w:lang w:val="nl-BE"/>
        </w:rPr>
      </w:pPr>
      <w:r w:rsidRPr="00E6515F">
        <w:rPr>
          <w:lang w:val="nl-BE"/>
        </w:rPr>
        <w:br w:type="page"/>
      </w:r>
    </w:p>
    <w:p w:rsidR="00415E22" w:rsidRPr="00E6515F" w:rsidRDefault="00767D3C" w:rsidP="00767D3C">
      <w:pPr>
        <w:pStyle w:val="Bijschrift"/>
        <w:rPr>
          <w:lang w:val="nl-BE"/>
        </w:rPr>
      </w:pPr>
      <w:r w:rsidRPr="00E6515F">
        <w:rPr>
          <w:lang w:val="nl-BE"/>
        </w:rPr>
        <w:lastRenderedPageBreak/>
        <w:t xml:space="preserve">Tabel </w:t>
      </w:r>
      <w:r w:rsidRPr="00E6515F">
        <w:rPr>
          <w:lang w:val="nl-BE"/>
        </w:rPr>
        <w:fldChar w:fldCharType="begin"/>
      </w:r>
      <w:r w:rsidRPr="00E6515F">
        <w:rPr>
          <w:lang w:val="nl-BE"/>
        </w:rPr>
        <w:instrText xml:space="preserve"> SEQ Tabel \* ARABIC </w:instrText>
      </w:r>
      <w:r w:rsidRPr="00E6515F">
        <w:rPr>
          <w:lang w:val="nl-BE"/>
        </w:rPr>
        <w:fldChar w:fldCharType="separate"/>
      </w:r>
      <w:r w:rsidR="0062760A">
        <w:rPr>
          <w:noProof/>
          <w:lang w:val="nl-BE"/>
        </w:rPr>
        <w:t>36</w:t>
      </w:r>
      <w:r w:rsidRPr="00E6515F">
        <w:rPr>
          <w:lang w:val="nl-BE"/>
        </w:rPr>
        <w:fldChar w:fldCharType="end"/>
      </w:r>
      <w:r w:rsidRPr="00E6515F">
        <w:rPr>
          <w:lang w:val="nl-BE"/>
        </w:rPr>
        <w:t xml:space="preserve">: </w:t>
      </w:r>
      <w:r w:rsidR="00996B4D">
        <w:rPr>
          <w:lang w:val="nl-BE"/>
        </w:rPr>
        <w:t>U</w:t>
      </w:r>
      <w:r w:rsidRPr="00E6515F">
        <w:rPr>
          <w:lang w:val="nl-BE"/>
        </w:rPr>
        <w:t>itbreidingsmiddelen per prestatiejaar, inclusief 2018 en 2019</w:t>
      </w:r>
    </w:p>
    <w:tbl>
      <w:tblPr>
        <w:tblW w:w="31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823"/>
      </w:tblGrid>
      <w:tr w:rsidR="00767D3C" w:rsidRPr="00E6515F" w:rsidTr="001950B1">
        <w:trPr>
          <w:trHeight w:val="340"/>
        </w:trPr>
        <w:tc>
          <w:tcPr>
            <w:tcW w:w="1340" w:type="dxa"/>
            <w:shd w:val="clear" w:color="auto" w:fill="BFBFBF" w:themeFill="background1" w:themeFillShade="BF"/>
            <w:noWrap/>
            <w:vAlign w:val="bottom"/>
            <w:hideMark/>
          </w:tcPr>
          <w:p w:rsidR="00767D3C" w:rsidRPr="00E6515F" w:rsidRDefault="00767D3C"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Jaar</w:t>
            </w:r>
          </w:p>
        </w:tc>
        <w:tc>
          <w:tcPr>
            <w:tcW w:w="1823" w:type="dxa"/>
            <w:shd w:val="clear" w:color="auto" w:fill="BFBFBF" w:themeFill="background1" w:themeFillShade="BF"/>
            <w:noWrap/>
            <w:vAlign w:val="bottom"/>
            <w:hideMark/>
          </w:tcPr>
          <w:p w:rsidR="00767D3C" w:rsidRPr="00E6515F" w:rsidRDefault="00767D3C" w:rsidP="00767D3C">
            <w:pPr>
              <w:spacing w:line="240" w:lineRule="auto"/>
              <w:rPr>
                <w:rFonts w:eastAsia="Times New Roman" w:cs="Times New Roman"/>
                <w:b/>
                <w:color w:val="000000"/>
                <w:lang w:val="nl-BE"/>
              </w:rPr>
            </w:pPr>
            <w:r w:rsidRPr="00E6515F">
              <w:rPr>
                <w:rFonts w:eastAsia="Times New Roman" w:cs="Times New Roman"/>
                <w:b/>
                <w:color w:val="000000"/>
                <w:lang w:val="nl-BE"/>
              </w:rPr>
              <w:t>Uitbreidingsbeleid</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2008</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€ 32.500.000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2009</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2010</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€ 22.500.000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2011</w:t>
            </w:r>
          </w:p>
        </w:tc>
        <w:tc>
          <w:tcPr>
            <w:tcW w:w="1823" w:type="dxa"/>
            <w:shd w:val="clear" w:color="auto" w:fill="auto"/>
            <w:noWrap/>
            <w:vAlign w:val="center"/>
            <w:hideMark/>
          </w:tcPr>
          <w:p w:rsidR="001950B1" w:rsidRPr="00E6515F" w:rsidRDefault="001950B1" w:rsidP="008B0624">
            <w:pPr>
              <w:jc w:val="right"/>
              <w:rPr>
                <w:i/>
                <w:iCs/>
                <w:color w:val="000000"/>
                <w:sz w:val="20"/>
                <w:szCs w:val="20"/>
                <w:lang w:val="nl-BE"/>
              </w:rPr>
            </w:pPr>
            <w:r w:rsidRPr="00E6515F">
              <w:rPr>
                <w:i/>
                <w:iCs/>
                <w:color w:val="000000"/>
                <w:sz w:val="20"/>
                <w:szCs w:val="20"/>
                <w:lang w:val="nl-BE"/>
              </w:rPr>
              <w:t xml:space="preserve">€ </w:t>
            </w:r>
            <w:r w:rsidR="008B0624" w:rsidRPr="00E6515F">
              <w:rPr>
                <w:i/>
                <w:iCs/>
                <w:color w:val="000000"/>
                <w:sz w:val="20"/>
                <w:szCs w:val="20"/>
                <w:lang w:val="nl-BE"/>
              </w:rPr>
              <w:t>31.300.000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2012</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sz w:val="20"/>
                <w:szCs w:val="20"/>
                <w:lang w:val="nl-BE"/>
              </w:rPr>
              <w:t>€ 35.000.000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2013</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€ 30.000.000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2014</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€ 27.240.000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2015</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€ 40.000.000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2016</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€ 18.000.000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2017</w:t>
            </w:r>
          </w:p>
        </w:tc>
        <w:tc>
          <w:tcPr>
            <w:tcW w:w="1823" w:type="dxa"/>
            <w:shd w:val="clear" w:color="auto" w:fill="auto"/>
            <w:noWrap/>
            <w:vAlign w:val="center"/>
            <w:hideMark/>
          </w:tcPr>
          <w:p w:rsidR="001950B1" w:rsidRPr="00E6515F" w:rsidRDefault="001950B1">
            <w:pPr>
              <w:jc w:val="right"/>
              <w:rPr>
                <w:i/>
                <w:iCs/>
                <w:color w:val="000000"/>
                <w:sz w:val="20"/>
                <w:szCs w:val="20"/>
                <w:lang w:val="nl-BE"/>
              </w:rPr>
            </w:pPr>
            <w:r w:rsidRPr="00E6515F">
              <w:rPr>
                <w:i/>
                <w:iCs/>
                <w:color w:val="000000"/>
                <w:sz w:val="20"/>
                <w:szCs w:val="20"/>
                <w:lang w:val="nl-BE"/>
              </w:rPr>
              <w:t>€ 113.900.000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2018</w:t>
            </w:r>
          </w:p>
        </w:tc>
        <w:tc>
          <w:tcPr>
            <w:tcW w:w="1823" w:type="dxa"/>
            <w:shd w:val="clear" w:color="auto" w:fill="auto"/>
            <w:noWrap/>
            <w:vAlign w:val="center"/>
            <w:hideMark/>
          </w:tcPr>
          <w:p w:rsidR="001950B1" w:rsidRPr="00E6515F" w:rsidRDefault="008B0624">
            <w:pPr>
              <w:jc w:val="right"/>
              <w:rPr>
                <w:i/>
                <w:iCs/>
                <w:color w:val="000000"/>
                <w:sz w:val="20"/>
                <w:szCs w:val="20"/>
                <w:lang w:val="nl-BE"/>
              </w:rPr>
            </w:pPr>
            <w:r w:rsidRPr="00E6515F">
              <w:rPr>
                <w:i/>
                <w:iCs/>
                <w:color w:val="000000"/>
                <w:sz w:val="20"/>
                <w:szCs w:val="20"/>
                <w:lang w:val="nl-BE"/>
              </w:rPr>
              <w:t>€ 70.000.000</w:t>
            </w:r>
          </w:p>
        </w:tc>
      </w:tr>
      <w:tr w:rsidR="001950B1" w:rsidRPr="00E6515F" w:rsidTr="001950B1">
        <w:trPr>
          <w:trHeight w:val="340"/>
        </w:trPr>
        <w:tc>
          <w:tcPr>
            <w:tcW w:w="1340" w:type="dxa"/>
            <w:shd w:val="clear" w:color="auto" w:fill="auto"/>
            <w:noWrap/>
            <w:vAlign w:val="center"/>
            <w:hideMark/>
          </w:tcPr>
          <w:p w:rsidR="001950B1" w:rsidRPr="00E6515F" w:rsidRDefault="001950B1" w:rsidP="00767D3C">
            <w:pPr>
              <w:spacing w:line="240" w:lineRule="auto"/>
              <w:jc w:val="center"/>
              <w:rPr>
                <w:rFonts w:eastAsia="Times New Roman" w:cs="Times New Roman"/>
                <w:b/>
                <w:color w:val="000000"/>
                <w:lang w:val="nl-BE"/>
              </w:rPr>
            </w:pPr>
            <w:r w:rsidRPr="00E6515F">
              <w:rPr>
                <w:rFonts w:eastAsia="Times New Roman" w:cs="Times New Roman"/>
                <w:b/>
                <w:color w:val="000000"/>
                <w:lang w:val="nl-BE"/>
              </w:rPr>
              <w:t>2019</w:t>
            </w:r>
          </w:p>
        </w:tc>
        <w:tc>
          <w:tcPr>
            <w:tcW w:w="1823" w:type="dxa"/>
            <w:shd w:val="clear" w:color="auto" w:fill="auto"/>
            <w:noWrap/>
            <w:vAlign w:val="center"/>
            <w:hideMark/>
          </w:tcPr>
          <w:p w:rsidR="001950B1" w:rsidRPr="00E6515F" w:rsidRDefault="001950B1" w:rsidP="008B0624">
            <w:pPr>
              <w:jc w:val="right"/>
              <w:rPr>
                <w:rFonts w:eastAsia="Times New Roman" w:cs="Times New Roman"/>
                <w:color w:val="000000"/>
                <w:lang w:val="nl-BE"/>
              </w:rPr>
            </w:pPr>
            <w:r w:rsidRPr="00E6515F">
              <w:rPr>
                <w:i/>
                <w:iCs/>
                <w:color w:val="000000"/>
                <w:sz w:val="20"/>
                <w:szCs w:val="20"/>
                <w:lang w:val="nl-BE"/>
              </w:rPr>
              <w:t>€ 92.500.000</w:t>
            </w:r>
            <w:r w:rsidRPr="00E6515F">
              <w:rPr>
                <w:rFonts w:eastAsia="Times New Roman" w:cs="Times New Roman"/>
                <w:color w:val="000000"/>
                <w:lang w:val="nl-BE"/>
              </w:rPr>
              <w:t xml:space="preserve"> </w:t>
            </w:r>
          </w:p>
        </w:tc>
      </w:tr>
    </w:tbl>
    <w:p w:rsidR="00415E22" w:rsidRPr="00E6515F" w:rsidRDefault="00415E22" w:rsidP="00415E22">
      <w:pPr>
        <w:rPr>
          <w:lang w:val="nl-BE"/>
        </w:rPr>
      </w:pPr>
    </w:p>
    <w:p w:rsidR="00CB6110" w:rsidRPr="00E6515F" w:rsidRDefault="00CB6110" w:rsidP="00767D3C">
      <w:pPr>
        <w:pStyle w:val="Kop1"/>
        <w:widowControl w:val="0"/>
        <w:numPr>
          <w:ilvl w:val="2"/>
          <w:numId w:val="1"/>
        </w:numPr>
        <w:pBdr>
          <w:top w:val="nil"/>
          <w:left w:val="nil"/>
          <w:bottom w:val="nil"/>
          <w:right w:val="nil"/>
          <w:between w:val="nil"/>
        </w:pBdr>
        <w:rPr>
          <w:sz w:val="30"/>
          <w:szCs w:val="30"/>
          <w:lang w:val="nl-BE"/>
        </w:rPr>
      </w:pPr>
      <w:bookmarkStart w:id="114" w:name="_Toc536797833"/>
      <w:r w:rsidRPr="00E6515F">
        <w:rPr>
          <w:sz w:val="30"/>
          <w:szCs w:val="30"/>
          <w:lang w:val="nl-BE"/>
        </w:rPr>
        <w:t>Uitbreidingsbeleid 2018</w:t>
      </w:r>
      <w:bookmarkEnd w:id="114"/>
    </w:p>
    <w:p w:rsidR="00074B9C" w:rsidRPr="00E6515F" w:rsidRDefault="00074B9C" w:rsidP="003529A1">
      <w:pPr>
        <w:jc w:val="both"/>
        <w:rPr>
          <w:lang w:val="nl-BE"/>
        </w:rPr>
      </w:pPr>
      <w:r w:rsidRPr="00E6515F">
        <w:rPr>
          <w:lang w:val="nl-BE"/>
        </w:rPr>
        <w:t xml:space="preserve">Voor 2018 werden de middelen verspreid over trap 1 en trap 2 toegevoegd. In trap 1 </w:t>
      </w:r>
      <w:r w:rsidR="007C51F8">
        <w:rPr>
          <w:lang w:val="nl-BE"/>
        </w:rPr>
        <w:t>werd</w:t>
      </w:r>
      <w:r w:rsidR="007C51F8" w:rsidRPr="00E6515F">
        <w:rPr>
          <w:lang w:val="nl-BE"/>
        </w:rPr>
        <w:t xml:space="preserve"> </w:t>
      </w:r>
      <w:r w:rsidRPr="00E6515F">
        <w:rPr>
          <w:lang w:val="nl-BE"/>
        </w:rPr>
        <w:t>er 22,8</w:t>
      </w:r>
      <w:r w:rsidR="00767D3C" w:rsidRPr="00E6515F">
        <w:rPr>
          <w:lang w:val="nl-BE"/>
        </w:rPr>
        <w:t> </w:t>
      </w:r>
      <w:r w:rsidRPr="00E6515F">
        <w:rPr>
          <w:lang w:val="nl-BE"/>
        </w:rPr>
        <w:t xml:space="preserve">miljoen voorzien voor extra zorgbudgetten en 2 miljoen in het kader van respijtzorg-RTH. De resterende 7,6 miljoen werd overgedragen naar trap twee in functie van extra terbeschikkingstellingen </w:t>
      </w:r>
      <w:r w:rsidR="007C51F8">
        <w:rPr>
          <w:lang w:val="nl-BE"/>
        </w:rPr>
        <w:t xml:space="preserve">van </w:t>
      </w:r>
      <w:r w:rsidR="00DD02E4">
        <w:rPr>
          <w:lang w:val="nl-BE"/>
        </w:rPr>
        <w:t>persoonsvolgend</w:t>
      </w:r>
      <w:r w:rsidR="007C51F8">
        <w:rPr>
          <w:lang w:val="nl-BE"/>
        </w:rPr>
        <w:t>e</w:t>
      </w:r>
      <w:r w:rsidR="00DD02E4">
        <w:rPr>
          <w:lang w:val="nl-BE"/>
        </w:rPr>
        <w:t xml:space="preserve"> budget</w:t>
      </w:r>
      <w:r w:rsidR="007C51F8">
        <w:rPr>
          <w:lang w:val="nl-BE"/>
        </w:rPr>
        <w:t>ten</w:t>
      </w:r>
      <w:r w:rsidRPr="00E6515F">
        <w:rPr>
          <w:lang w:val="nl-BE"/>
        </w:rPr>
        <w:t>.</w:t>
      </w:r>
    </w:p>
    <w:p w:rsidR="003529A1" w:rsidRPr="00E6515F" w:rsidRDefault="003529A1" w:rsidP="003529A1">
      <w:pPr>
        <w:jc w:val="both"/>
        <w:rPr>
          <w:lang w:val="nl-BE"/>
        </w:rPr>
      </w:pPr>
    </w:p>
    <w:p w:rsidR="007C51F8" w:rsidRPr="007C51F8" w:rsidRDefault="00074B9C" w:rsidP="007C51F8">
      <w:pPr>
        <w:jc w:val="both"/>
        <w:rPr>
          <w:lang w:val="nl-BE"/>
        </w:rPr>
      </w:pPr>
      <w:r w:rsidRPr="00E6515F">
        <w:rPr>
          <w:lang w:val="nl-BE"/>
        </w:rPr>
        <w:t xml:space="preserve">In het kader van de niet-rechtstreeks toegankelijke hulp </w:t>
      </w:r>
      <w:r w:rsidR="00767D3C" w:rsidRPr="00E6515F">
        <w:rPr>
          <w:lang w:val="nl-BE"/>
        </w:rPr>
        <w:t>was er</w:t>
      </w:r>
      <w:r w:rsidRPr="00E6515F">
        <w:rPr>
          <w:lang w:val="nl-BE"/>
        </w:rPr>
        <w:t xml:space="preserve"> zo 56,8 miljoen</w:t>
      </w:r>
      <w:r w:rsidR="00767D3C" w:rsidRPr="00E6515F">
        <w:rPr>
          <w:lang w:val="nl-BE"/>
        </w:rPr>
        <w:t xml:space="preserve"> euro</w:t>
      </w:r>
      <w:r w:rsidRPr="00E6515F">
        <w:rPr>
          <w:lang w:val="nl-BE"/>
        </w:rPr>
        <w:t xml:space="preserve"> beschikbaar. Na aftrek van 750</w:t>
      </w:r>
      <w:r w:rsidR="00121F5E" w:rsidRPr="00E6515F">
        <w:rPr>
          <w:lang w:val="nl-BE"/>
        </w:rPr>
        <w:t>.</w:t>
      </w:r>
      <w:r w:rsidRPr="00E6515F">
        <w:rPr>
          <w:lang w:val="nl-BE"/>
        </w:rPr>
        <w:t xml:space="preserve">000 euro voor voorafnames voor </w:t>
      </w:r>
      <w:r w:rsidR="007C51F8">
        <w:rPr>
          <w:lang w:val="nl-BE"/>
        </w:rPr>
        <w:t xml:space="preserve">het </w:t>
      </w:r>
      <w:r w:rsidRPr="00E6515F">
        <w:rPr>
          <w:lang w:val="nl-BE"/>
        </w:rPr>
        <w:t>GIPSO</w:t>
      </w:r>
      <w:r w:rsidR="004B087D">
        <w:rPr>
          <w:lang w:val="nl-BE"/>
        </w:rPr>
        <w:t>-</w:t>
      </w:r>
      <w:r w:rsidRPr="00E6515F">
        <w:rPr>
          <w:lang w:val="nl-BE"/>
        </w:rPr>
        <w:t xml:space="preserve">project, casemanagement, extra financiering </w:t>
      </w:r>
      <w:r w:rsidR="007C51F8">
        <w:rPr>
          <w:lang w:val="nl-BE"/>
        </w:rPr>
        <w:t xml:space="preserve">van de </w:t>
      </w:r>
      <w:r w:rsidRPr="00E6515F">
        <w:rPr>
          <w:lang w:val="nl-BE"/>
        </w:rPr>
        <w:t xml:space="preserve">bijstandsorganisaties, doventolken en </w:t>
      </w:r>
      <w:r w:rsidR="007C51F8">
        <w:rPr>
          <w:lang w:val="nl-BE"/>
        </w:rPr>
        <w:t>multidisciplinaire teams,</w:t>
      </w:r>
      <w:r w:rsidR="007C51F8" w:rsidRPr="00E6515F">
        <w:rPr>
          <w:lang w:val="nl-BE"/>
        </w:rPr>
        <w:t xml:space="preserve"> </w:t>
      </w:r>
      <w:r w:rsidRPr="00E6515F">
        <w:rPr>
          <w:lang w:val="nl-BE"/>
        </w:rPr>
        <w:t>restte er nog onge</w:t>
      </w:r>
      <w:r w:rsidR="00767D3C" w:rsidRPr="00E6515F">
        <w:rPr>
          <w:lang w:val="nl-BE"/>
        </w:rPr>
        <w:t>v</w:t>
      </w:r>
      <w:r w:rsidRPr="00E6515F">
        <w:rPr>
          <w:lang w:val="nl-BE"/>
        </w:rPr>
        <w:t>eer 56,1 miljo</w:t>
      </w:r>
      <w:r w:rsidR="00767D3C" w:rsidRPr="00E6515F">
        <w:rPr>
          <w:lang w:val="nl-BE"/>
        </w:rPr>
        <w:t>e</w:t>
      </w:r>
      <w:r w:rsidRPr="00E6515F">
        <w:rPr>
          <w:lang w:val="nl-BE"/>
        </w:rPr>
        <w:t>n</w:t>
      </w:r>
      <w:r w:rsidR="00767D3C" w:rsidRPr="00E6515F">
        <w:rPr>
          <w:lang w:val="nl-BE"/>
        </w:rPr>
        <w:t xml:space="preserve"> euro</w:t>
      </w:r>
      <w:r w:rsidR="007C51F8">
        <w:rPr>
          <w:lang w:val="nl-BE"/>
        </w:rPr>
        <w:t>,</w:t>
      </w:r>
      <w:r w:rsidRPr="00E6515F">
        <w:rPr>
          <w:lang w:val="nl-BE"/>
        </w:rPr>
        <w:t xml:space="preserve"> </w:t>
      </w:r>
      <w:r w:rsidR="007C51F8" w:rsidRPr="00E6515F">
        <w:rPr>
          <w:lang w:val="nl-BE"/>
        </w:rPr>
        <w:t>waar</w:t>
      </w:r>
      <w:r w:rsidR="007C51F8">
        <w:rPr>
          <w:lang w:val="nl-BE"/>
        </w:rPr>
        <w:t>van</w:t>
      </w:r>
      <w:r w:rsidR="007C51F8" w:rsidRPr="00E6515F">
        <w:rPr>
          <w:lang w:val="nl-BE"/>
        </w:rPr>
        <w:t xml:space="preserve"> </w:t>
      </w:r>
      <w:r w:rsidRPr="00E6515F">
        <w:rPr>
          <w:lang w:val="nl-BE"/>
        </w:rPr>
        <w:t>15 procent voor minderjarigen en 85 procent voor meerderjarigen bestemd was. De middelen voor de minderjarigen gingen deels naar extra persoonsvolgende convenanten maar vooral naar extra PAB-toekenningen. De middelen voor de meerderjarigen werden hoofdzakelijk bedoeld voor gereserveerde terbeschikkingstellingen in de bestaande automatische</w:t>
      </w:r>
      <w:r w:rsidR="007C51F8">
        <w:rPr>
          <w:lang w:val="nl-BE"/>
        </w:rPr>
        <w:t>-</w:t>
      </w:r>
      <w:r w:rsidRPr="00E6515F">
        <w:rPr>
          <w:lang w:val="nl-BE"/>
        </w:rPr>
        <w:t>toekenningsgroepen maatschappelijke noodzaak, (tijdelijke na)</w:t>
      </w:r>
      <w:r w:rsidR="007C51F8">
        <w:rPr>
          <w:lang w:val="nl-BE"/>
        </w:rPr>
        <w:t xml:space="preserve"> </w:t>
      </w:r>
      <w:r w:rsidRPr="00E6515F">
        <w:rPr>
          <w:lang w:val="nl-BE"/>
        </w:rPr>
        <w:t>noodsituaties, spoedprocedures en zorgcontinu</w:t>
      </w:r>
      <w:r w:rsidR="007C51F8">
        <w:rPr>
          <w:lang w:val="nl-BE"/>
        </w:rPr>
        <w:t>ï</w:t>
      </w:r>
      <w:r w:rsidRPr="00E6515F">
        <w:rPr>
          <w:lang w:val="nl-BE"/>
        </w:rPr>
        <w:t>teit. Daarnaast werden er extra middelen voorzien in het kader van de nieuwe procedure 7/7</w:t>
      </w:r>
      <w:r w:rsidRPr="00E6515F">
        <w:rPr>
          <w:rStyle w:val="Voetnootmarkering"/>
          <w:lang w:val="nl-BE"/>
        </w:rPr>
        <w:footnoteReference w:id="4"/>
      </w:r>
      <w:r w:rsidRPr="00E6515F">
        <w:rPr>
          <w:lang w:val="nl-BE"/>
        </w:rPr>
        <w:t xml:space="preserve">. Verder is het de bedoeling om extra budgetten rechtstreeks te financieren </w:t>
      </w:r>
      <w:r w:rsidR="007C51F8">
        <w:rPr>
          <w:lang w:val="nl-BE"/>
        </w:rPr>
        <w:t>voor</w:t>
      </w:r>
      <w:r w:rsidRPr="00E6515F">
        <w:rPr>
          <w:lang w:val="nl-BE"/>
        </w:rPr>
        <w:t xml:space="preserve"> mensen met </w:t>
      </w:r>
      <w:r w:rsidR="007C51F8">
        <w:rPr>
          <w:lang w:val="nl-BE"/>
        </w:rPr>
        <w:t>een niet-aangeboren hersenletsel (NAH)</w:t>
      </w:r>
      <w:r w:rsidR="007C51F8" w:rsidRPr="00E6515F">
        <w:rPr>
          <w:lang w:val="nl-BE"/>
        </w:rPr>
        <w:t xml:space="preserve"> </w:t>
      </w:r>
      <w:r w:rsidRPr="00E6515F">
        <w:rPr>
          <w:lang w:val="nl-BE"/>
        </w:rPr>
        <w:t xml:space="preserve">die </w:t>
      </w:r>
      <w:proofErr w:type="spellStart"/>
      <w:r w:rsidRPr="00E6515F">
        <w:rPr>
          <w:lang w:val="nl-BE"/>
        </w:rPr>
        <w:t>uitgerevalideerd</w:t>
      </w:r>
      <w:proofErr w:type="spellEnd"/>
      <w:r w:rsidRPr="00E6515F">
        <w:rPr>
          <w:lang w:val="nl-BE"/>
        </w:rPr>
        <w:t xml:space="preserve"> zijn en in </w:t>
      </w:r>
      <w:r w:rsidR="007C51F8">
        <w:rPr>
          <w:lang w:val="nl-BE"/>
        </w:rPr>
        <w:t xml:space="preserve">het </w:t>
      </w:r>
      <w:r w:rsidRPr="00E6515F">
        <w:rPr>
          <w:lang w:val="nl-BE"/>
        </w:rPr>
        <w:t xml:space="preserve">kader van geïnterneerden die uit </w:t>
      </w:r>
      <w:r w:rsidR="006677B6" w:rsidRPr="00E6515F">
        <w:rPr>
          <w:lang w:val="nl-BE"/>
        </w:rPr>
        <w:t xml:space="preserve">de </w:t>
      </w:r>
      <w:r w:rsidR="00CB6110" w:rsidRPr="00E6515F">
        <w:rPr>
          <w:lang w:val="nl-BE"/>
        </w:rPr>
        <w:t>gevangenis</w:t>
      </w:r>
      <w:r w:rsidR="006677B6" w:rsidRPr="00E6515F">
        <w:rPr>
          <w:lang w:val="nl-BE"/>
        </w:rPr>
        <w:t xml:space="preserve">, </w:t>
      </w:r>
      <w:r w:rsidR="007C51F8">
        <w:rPr>
          <w:lang w:val="nl-BE"/>
        </w:rPr>
        <w:t xml:space="preserve">een </w:t>
      </w:r>
    </w:p>
    <w:p w:rsidR="00CB6110" w:rsidRPr="00E6515F" w:rsidRDefault="007C51F8" w:rsidP="007C51F8">
      <w:pPr>
        <w:jc w:val="both"/>
        <w:rPr>
          <w:lang w:val="nl-BE"/>
        </w:rPr>
      </w:pPr>
      <w:r w:rsidRPr="007C51F8">
        <w:rPr>
          <w:lang w:val="nl-BE"/>
        </w:rPr>
        <w:t>forensisch psychiatrisch centrum</w:t>
      </w:r>
      <w:r w:rsidRPr="00E6515F">
        <w:rPr>
          <w:lang w:val="nl-BE"/>
        </w:rPr>
        <w:t xml:space="preserve"> </w:t>
      </w:r>
      <w:r w:rsidR="006677B6" w:rsidRPr="00E6515F">
        <w:rPr>
          <w:lang w:val="nl-BE"/>
        </w:rPr>
        <w:t xml:space="preserve">of </w:t>
      </w:r>
      <w:r>
        <w:rPr>
          <w:lang w:val="nl-BE"/>
        </w:rPr>
        <w:t xml:space="preserve">een </w:t>
      </w:r>
      <w:r w:rsidR="006677B6" w:rsidRPr="00E6515F">
        <w:rPr>
          <w:lang w:val="nl-BE"/>
        </w:rPr>
        <w:t>medium</w:t>
      </w:r>
      <w:r>
        <w:rPr>
          <w:lang w:val="nl-BE"/>
        </w:rPr>
        <w:t>-</w:t>
      </w:r>
      <w:r w:rsidR="006677B6" w:rsidRPr="00E6515F">
        <w:rPr>
          <w:lang w:val="nl-BE"/>
        </w:rPr>
        <w:t>security</w:t>
      </w:r>
      <w:r>
        <w:rPr>
          <w:lang w:val="nl-BE"/>
        </w:rPr>
        <w:t>-afdeling</w:t>
      </w:r>
      <w:r w:rsidR="00CB6110" w:rsidRPr="00E6515F">
        <w:rPr>
          <w:lang w:val="nl-BE"/>
        </w:rPr>
        <w:t xml:space="preserve"> kunnen doorstromen naar VAPH-organisaties. De resterende middelen zijn voor de prioriteitengroepen bestemd</w:t>
      </w:r>
      <w:r>
        <w:rPr>
          <w:lang w:val="nl-BE"/>
        </w:rPr>
        <w:t>,</w:t>
      </w:r>
      <w:r w:rsidR="00CB6110" w:rsidRPr="00E6515F">
        <w:rPr>
          <w:lang w:val="nl-BE"/>
        </w:rPr>
        <w:t xml:space="preserve"> waarbij vooral middelen dienen voorzien </w:t>
      </w:r>
      <w:r w:rsidR="006677B6" w:rsidRPr="00E6515F">
        <w:rPr>
          <w:lang w:val="nl-BE"/>
        </w:rPr>
        <w:t xml:space="preserve">te worden </w:t>
      </w:r>
      <w:r w:rsidR="00CB6110" w:rsidRPr="00E6515F">
        <w:rPr>
          <w:lang w:val="nl-BE"/>
        </w:rPr>
        <w:t>voor prioriteitengroep 1.</w:t>
      </w:r>
    </w:p>
    <w:p w:rsidR="00CB6110" w:rsidRPr="00E6515F" w:rsidRDefault="00CB6110" w:rsidP="00415E22">
      <w:pPr>
        <w:rPr>
          <w:lang w:val="nl-BE"/>
        </w:rPr>
      </w:pPr>
    </w:p>
    <w:p w:rsidR="00121F5E" w:rsidRPr="00E6515F" w:rsidRDefault="00121F5E">
      <w:pPr>
        <w:rPr>
          <w:b/>
          <w:sz w:val="30"/>
          <w:szCs w:val="30"/>
          <w:lang w:val="nl-BE"/>
        </w:rPr>
      </w:pPr>
      <w:r w:rsidRPr="00E6515F">
        <w:rPr>
          <w:sz w:val="30"/>
          <w:szCs w:val="30"/>
          <w:lang w:val="nl-BE"/>
        </w:rPr>
        <w:br w:type="page"/>
      </w:r>
    </w:p>
    <w:p w:rsidR="00CB6110" w:rsidRPr="00E6515F" w:rsidRDefault="00CB6110" w:rsidP="00EE2B0E">
      <w:pPr>
        <w:pStyle w:val="Kop1"/>
        <w:widowControl w:val="0"/>
        <w:numPr>
          <w:ilvl w:val="2"/>
          <w:numId w:val="1"/>
        </w:numPr>
        <w:pBdr>
          <w:top w:val="nil"/>
          <w:left w:val="nil"/>
          <w:bottom w:val="nil"/>
          <w:right w:val="nil"/>
          <w:between w:val="nil"/>
        </w:pBdr>
        <w:rPr>
          <w:sz w:val="30"/>
          <w:szCs w:val="30"/>
          <w:lang w:val="nl-BE"/>
        </w:rPr>
      </w:pPr>
      <w:bookmarkStart w:id="115" w:name="_Toc536797834"/>
      <w:r w:rsidRPr="00E6515F">
        <w:rPr>
          <w:sz w:val="30"/>
          <w:szCs w:val="30"/>
          <w:lang w:val="nl-BE"/>
        </w:rPr>
        <w:lastRenderedPageBreak/>
        <w:t>Uitbreidingsbeleid 2019</w:t>
      </w:r>
      <w:bookmarkEnd w:id="115"/>
    </w:p>
    <w:p w:rsidR="00415E22" w:rsidRPr="00E6515F" w:rsidRDefault="0043779B" w:rsidP="003529A1">
      <w:pPr>
        <w:jc w:val="both"/>
        <w:rPr>
          <w:lang w:val="nl-BE"/>
        </w:rPr>
      </w:pPr>
      <w:r w:rsidRPr="00E6515F">
        <w:rPr>
          <w:lang w:val="nl-BE"/>
        </w:rPr>
        <w:t>Voor 2019 z</w:t>
      </w:r>
      <w:r w:rsidR="006677B6" w:rsidRPr="00E6515F">
        <w:rPr>
          <w:lang w:val="nl-BE"/>
        </w:rPr>
        <w:t>al</w:t>
      </w:r>
      <w:r w:rsidRPr="00E6515F">
        <w:rPr>
          <w:lang w:val="nl-BE"/>
        </w:rPr>
        <w:t xml:space="preserve"> er in totaal 92,5 miljoen </w:t>
      </w:r>
      <w:r w:rsidR="006677B6" w:rsidRPr="00E6515F">
        <w:rPr>
          <w:lang w:val="nl-BE"/>
        </w:rPr>
        <w:t xml:space="preserve">euro </w:t>
      </w:r>
      <w:r w:rsidRPr="00E6515F">
        <w:rPr>
          <w:lang w:val="nl-BE"/>
        </w:rPr>
        <w:t xml:space="preserve">extra geïnvesteerd worden in kader van het uitbreidingsbeleid. </w:t>
      </w:r>
      <w:r w:rsidR="007C51F8">
        <w:rPr>
          <w:lang w:val="nl-BE"/>
        </w:rPr>
        <w:t>Daa</w:t>
      </w:r>
      <w:r w:rsidR="007C51F8" w:rsidRPr="00E6515F">
        <w:rPr>
          <w:lang w:val="nl-BE"/>
        </w:rPr>
        <w:t xml:space="preserve">rbij </w:t>
      </w:r>
      <w:r w:rsidRPr="00E6515F">
        <w:rPr>
          <w:lang w:val="nl-BE"/>
        </w:rPr>
        <w:t>was</w:t>
      </w:r>
      <w:r w:rsidR="006677B6" w:rsidRPr="00E6515F">
        <w:rPr>
          <w:lang w:val="nl-BE"/>
        </w:rPr>
        <w:t xml:space="preserve"> oorspronkelijk</w:t>
      </w:r>
      <w:r w:rsidRPr="00E6515F">
        <w:rPr>
          <w:lang w:val="nl-BE"/>
        </w:rPr>
        <w:t xml:space="preserve"> ongeveer 35,5 miljoen voorzien voor trap 1. </w:t>
      </w:r>
      <w:r w:rsidR="007C51F8">
        <w:rPr>
          <w:lang w:val="nl-BE"/>
        </w:rPr>
        <w:t xml:space="preserve">Daarvan zal </w:t>
      </w:r>
      <w:r w:rsidRPr="00E6515F">
        <w:rPr>
          <w:lang w:val="nl-BE"/>
        </w:rPr>
        <w:t xml:space="preserve">6 miljoen zal gebruikt worden in het kader van de rechtstreeks toegankelijke </w:t>
      </w:r>
      <w:r w:rsidR="007C51F8">
        <w:rPr>
          <w:lang w:val="nl-BE"/>
        </w:rPr>
        <w:t>hulp</w:t>
      </w:r>
      <w:r w:rsidR="007C51F8" w:rsidRPr="00E6515F">
        <w:rPr>
          <w:lang w:val="nl-BE"/>
        </w:rPr>
        <w:t xml:space="preserve"> </w:t>
      </w:r>
      <w:r w:rsidRPr="00E6515F">
        <w:rPr>
          <w:lang w:val="nl-BE"/>
        </w:rPr>
        <w:t>en er zullen ter waarde van 4,1 miljoen nieuwe zorgbudgetten worden uitgedeeld. De resterende 26 miljoen wordt overgedragen naar trap 2 in functie van nieuwe terbeschikkingstellinge</w:t>
      </w:r>
      <w:r w:rsidR="006677B6" w:rsidRPr="00E6515F">
        <w:rPr>
          <w:lang w:val="nl-BE"/>
        </w:rPr>
        <w:t>n</w:t>
      </w:r>
      <w:r w:rsidR="007C51F8">
        <w:rPr>
          <w:lang w:val="nl-BE"/>
        </w:rPr>
        <w:t xml:space="preserve"> van</w:t>
      </w:r>
      <w:r w:rsidRPr="00E6515F">
        <w:rPr>
          <w:lang w:val="nl-BE"/>
        </w:rPr>
        <w:t xml:space="preserve"> </w:t>
      </w:r>
      <w:r w:rsidR="00DD02E4">
        <w:rPr>
          <w:lang w:val="nl-BE"/>
        </w:rPr>
        <w:t>persoonsvolgend</w:t>
      </w:r>
      <w:r w:rsidR="007C51F8">
        <w:rPr>
          <w:lang w:val="nl-BE"/>
        </w:rPr>
        <w:t>e</w:t>
      </w:r>
      <w:r w:rsidR="00DD02E4">
        <w:rPr>
          <w:lang w:val="nl-BE"/>
        </w:rPr>
        <w:t xml:space="preserve"> budget</w:t>
      </w:r>
      <w:r w:rsidR="007C51F8">
        <w:rPr>
          <w:lang w:val="nl-BE"/>
        </w:rPr>
        <w:t>ten</w:t>
      </w:r>
      <w:r w:rsidRPr="00E6515F">
        <w:rPr>
          <w:lang w:val="nl-BE"/>
        </w:rPr>
        <w:t>.</w:t>
      </w:r>
    </w:p>
    <w:p w:rsidR="003529A1" w:rsidRPr="00E6515F" w:rsidRDefault="003529A1" w:rsidP="003529A1">
      <w:pPr>
        <w:jc w:val="both"/>
        <w:rPr>
          <w:lang w:val="nl-BE"/>
        </w:rPr>
      </w:pPr>
    </w:p>
    <w:p w:rsidR="0043779B" w:rsidRPr="00E6515F" w:rsidRDefault="0043779B" w:rsidP="003529A1">
      <w:pPr>
        <w:jc w:val="both"/>
        <w:rPr>
          <w:lang w:val="nl-BE"/>
        </w:rPr>
      </w:pPr>
      <w:r w:rsidRPr="00E6515F">
        <w:rPr>
          <w:lang w:val="nl-BE"/>
        </w:rPr>
        <w:t xml:space="preserve">Voor trap 2 zal opnieuw de verdeling van 15 procent voor de minderjarigen en 85 procent voor de meerderjarigen gehanteerd worden. Met </w:t>
      </w:r>
      <w:r w:rsidR="007C51F8" w:rsidRPr="00E6515F">
        <w:rPr>
          <w:lang w:val="nl-BE"/>
        </w:rPr>
        <w:t>d</w:t>
      </w:r>
      <w:r w:rsidR="007C51F8">
        <w:rPr>
          <w:lang w:val="nl-BE"/>
        </w:rPr>
        <w:t>ie</w:t>
      </w:r>
      <w:r w:rsidR="007C51F8" w:rsidRPr="00E6515F">
        <w:rPr>
          <w:lang w:val="nl-BE"/>
        </w:rPr>
        <w:t xml:space="preserve"> </w:t>
      </w:r>
      <w:r w:rsidRPr="00E6515F">
        <w:rPr>
          <w:lang w:val="nl-BE"/>
        </w:rPr>
        <w:t xml:space="preserve">15 procent </w:t>
      </w:r>
      <w:r w:rsidR="006677B6" w:rsidRPr="00E6515F">
        <w:rPr>
          <w:lang w:val="nl-BE"/>
        </w:rPr>
        <w:t>van de</w:t>
      </w:r>
      <w:r w:rsidRPr="00E6515F">
        <w:rPr>
          <w:lang w:val="nl-BE"/>
        </w:rPr>
        <w:t xml:space="preserve"> middelen zullen vooral nieuwe </w:t>
      </w:r>
      <w:r w:rsidR="00DD02E4" w:rsidRPr="00DD02E4">
        <w:rPr>
          <w:lang w:val="nl-BE"/>
        </w:rPr>
        <w:t>persoonlijke-assistentiebudget</w:t>
      </w:r>
      <w:r w:rsidR="00DD02E4">
        <w:rPr>
          <w:lang w:val="nl-BE"/>
        </w:rPr>
        <w:t>ten</w:t>
      </w:r>
      <w:r w:rsidRPr="00E6515F">
        <w:rPr>
          <w:lang w:val="nl-BE"/>
        </w:rPr>
        <w:t xml:space="preserve"> worden toegekend. Een resterend deel wordt gebruikt om de GES</w:t>
      </w:r>
      <w:r w:rsidR="006677B6" w:rsidRPr="00E6515F">
        <w:rPr>
          <w:lang w:val="nl-BE"/>
        </w:rPr>
        <w:t>+</w:t>
      </w:r>
      <w:r w:rsidR="007C51F8">
        <w:rPr>
          <w:lang w:val="nl-BE"/>
        </w:rPr>
        <w:t>-</w:t>
      </w:r>
      <w:r w:rsidRPr="00E6515F">
        <w:rPr>
          <w:lang w:val="nl-BE"/>
        </w:rPr>
        <w:t>plaatsen te versterken.</w:t>
      </w:r>
    </w:p>
    <w:p w:rsidR="003529A1" w:rsidRPr="00E6515F" w:rsidRDefault="003529A1" w:rsidP="003529A1">
      <w:pPr>
        <w:jc w:val="both"/>
        <w:rPr>
          <w:lang w:val="nl-BE"/>
        </w:rPr>
      </w:pPr>
    </w:p>
    <w:p w:rsidR="0043779B" w:rsidRPr="00E6515F" w:rsidRDefault="0043779B" w:rsidP="003529A1">
      <w:pPr>
        <w:jc w:val="both"/>
        <w:rPr>
          <w:lang w:val="nl-BE"/>
        </w:rPr>
      </w:pPr>
      <w:r w:rsidRPr="00E6515F">
        <w:rPr>
          <w:lang w:val="nl-BE"/>
        </w:rPr>
        <w:t>De middelen voor de meerderjarigen zijn vooral bestemd voor de toekenning van terbeschikkingstellingen aan mensen die dringend ondersteuning nodig hebben via een automatische</w:t>
      </w:r>
      <w:r w:rsidR="007C51F8">
        <w:rPr>
          <w:lang w:val="nl-BE"/>
        </w:rPr>
        <w:t>-</w:t>
      </w:r>
      <w:r w:rsidRPr="00E6515F">
        <w:rPr>
          <w:lang w:val="nl-BE"/>
        </w:rPr>
        <w:t xml:space="preserve">toekenningsgroep. </w:t>
      </w:r>
      <w:r w:rsidR="006677B6" w:rsidRPr="00E6515F">
        <w:rPr>
          <w:lang w:val="nl-BE"/>
        </w:rPr>
        <w:t>Wat betreft d</w:t>
      </w:r>
      <w:r w:rsidRPr="00E6515F">
        <w:rPr>
          <w:lang w:val="nl-BE"/>
        </w:rPr>
        <w:t>e middelen voor de prioriteitengroep</w:t>
      </w:r>
      <w:r w:rsidR="006677B6" w:rsidRPr="00E6515F">
        <w:rPr>
          <w:lang w:val="nl-BE"/>
        </w:rPr>
        <w:t>en, zal</w:t>
      </w:r>
      <w:r w:rsidRPr="00E6515F">
        <w:rPr>
          <w:lang w:val="nl-BE"/>
        </w:rPr>
        <w:t xml:space="preserve"> ook </w:t>
      </w:r>
      <w:r w:rsidR="007C51F8">
        <w:rPr>
          <w:lang w:val="nl-BE"/>
        </w:rPr>
        <w:t>in 2019</w:t>
      </w:r>
      <w:r w:rsidRPr="00E6515F">
        <w:rPr>
          <w:lang w:val="nl-BE"/>
        </w:rPr>
        <w:t xml:space="preserve"> voorrang</w:t>
      </w:r>
      <w:r w:rsidR="006677B6" w:rsidRPr="00E6515F">
        <w:rPr>
          <w:lang w:val="nl-BE"/>
        </w:rPr>
        <w:t xml:space="preserve"> gegeven worden aan</w:t>
      </w:r>
      <w:r w:rsidRPr="00E6515F">
        <w:rPr>
          <w:lang w:val="nl-BE"/>
        </w:rPr>
        <w:t xml:space="preserve"> terbeschikking</w:t>
      </w:r>
      <w:r w:rsidR="006677B6" w:rsidRPr="00E6515F">
        <w:rPr>
          <w:lang w:val="nl-BE"/>
        </w:rPr>
        <w:t>stellingen</w:t>
      </w:r>
      <w:r w:rsidR="00EE2B0E" w:rsidRPr="00E6515F">
        <w:rPr>
          <w:lang w:val="nl-BE"/>
        </w:rPr>
        <w:t xml:space="preserve"> </w:t>
      </w:r>
      <w:r w:rsidRPr="00E6515F">
        <w:rPr>
          <w:lang w:val="nl-BE"/>
        </w:rPr>
        <w:t xml:space="preserve">aan mensen uit </w:t>
      </w:r>
      <w:r w:rsidR="007C51F8">
        <w:rPr>
          <w:lang w:val="nl-BE"/>
        </w:rPr>
        <w:t>prioriteitengroep 1</w:t>
      </w:r>
      <w:r w:rsidRPr="00E6515F">
        <w:rPr>
          <w:lang w:val="nl-BE"/>
        </w:rPr>
        <w:t xml:space="preserve">. </w:t>
      </w:r>
      <w:r w:rsidR="007C51F8">
        <w:rPr>
          <w:lang w:val="nl-BE"/>
        </w:rPr>
        <w:t>Het gaat om</w:t>
      </w:r>
      <w:r w:rsidRPr="00E6515F">
        <w:rPr>
          <w:lang w:val="nl-BE"/>
        </w:rPr>
        <w:t xml:space="preserve"> 85 procent van de middelen</w:t>
      </w:r>
      <w:r w:rsidR="007C51F8">
        <w:rPr>
          <w:lang w:val="nl-BE"/>
        </w:rPr>
        <w:t xml:space="preserve">. </w:t>
      </w:r>
      <w:r w:rsidRPr="00E6515F">
        <w:rPr>
          <w:lang w:val="nl-BE"/>
        </w:rPr>
        <w:t xml:space="preserve"> </w:t>
      </w:r>
      <w:r w:rsidR="007C51F8">
        <w:rPr>
          <w:lang w:val="nl-BE"/>
        </w:rPr>
        <w:t>D</w:t>
      </w:r>
      <w:r w:rsidRPr="00E6515F">
        <w:rPr>
          <w:lang w:val="nl-BE"/>
        </w:rPr>
        <w:t xml:space="preserve">e resterende middelen worden respectievelijk voor 10 en 5 procent aan </w:t>
      </w:r>
      <w:r w:rsidR="007C51F8">
        <w:rPr>
          <w:lang w:val="nl-BE"/>
        </w:rPr>
        <w:t>prioriteitengroep 2</w:t>
      </w:r>
      <w:r w:rsidRPr="00E6515F">
        <w:rPr>
          <w:lang w:val="nl-BE"/>
        </w:rPr>
        <w:t xml:space="preserve"> en </w:t>
      </w:r>
      <w:r w:rsidR="007C51F8">
        <w:rPr>
          <w:lang w:val="nl-BE"/>
        </w:rPr>
        <w:t xml:space="preserve">prioriteitengroep </w:t>
      </w:r>
      <w:r w:rsidRPr="00E6515F">
        <w:rPr>
          <w:lang w:val="nl-BE"/>
        </w:rPr>
        <w:t xml:space="preserve">3 ter beschikking gesteld. </w:t>
      </w:r>
    </w:p>
    <w:p w:rsidR="00073427" w:rsidRPr="00E6515F" w:rsidRDefault="00073427">
      <w:pPr>
        <w:rPr>
          <w:b/>
          <w:sz w:val="38"/>
          <w:szCs w:val="38"/>
          <w:lang w:val="nl-BE"/>
        </w:rPr>
      </w:pPr>
      <w:r w:rsidRPr="00E6515F">
        <w:rPr>
          <w:lang w:val="nl-BE"/>
        </w:rPr>
        <w:br w:type="page"/>
      </w:r>
    </w:p>
    <w:p w:rsidR="0061087B" w:rsidRPr="00E6515F" w:rsidRDefault="0061087B" w:rsidP="00EE2B0E">
      <w:pPr>
        <w:pStyle w:val="Kop1"/>
        <w:widowControl w:val="0"/>
        <w:numPr>
          <w:ilvl w:val="0"/>
          <w:numId w:val="1"/>
        </w:numPr>
        <w:pBdr>
          <w:top w:val="nil"/>
          <w:left w:val="nil"/>
          <w:bottom w:val="nil"/>
          <w:right w:val="nil"/>
          <w:between w:val="nil"/>
        </w:pBdr>
        <w:spacing w:line="360" w:lineRule="auto"/>
        <w:ind w:left="544" w:hanging="570"/>
        <w:rPr>
          <w:lang w:val="nl-BE"/>
        </w:rPr>
      </w:pPr>
      <w:bookmarkStart w:id="116" w:name="_Toc536797835"/>
      <w:r w:rsidRPr="00E6515F">
        <w:rPr>
          <w:lang w:val="nl-BE"/>
        </w:rPr>
        <w:lastRenderedPageBreak/>
        <w:t>Monitoring van het budget</w:t>
      </w:r>
      <w:bookmarkEnd w:id="116"/>
    </w:p>
    <w:p w:rsidR="0061087B" w:rsidRPr="00E6515F" w:rsidRDefault="0061087B" w:rsidP="003529A1">
      <w:pPr>
        <w:jc w:val="both"/>
        <w:rPr>
          <w:lang w:val="nl-BE"/>
        </w:rPr>
      </w:pPr>
      <w:r w:rsidRPr="00E6515F">
        <w:rPr>
          <w:lang w:val="nl-BE"/>
        </w:rPr>
        <w:t xml:space="preserve">Sinds de </w:t>
      </w:r>
      <w:r w:rsidR="007C51F8">
        <w:rPr>
          <w:lang w:val="nl-BE"/>
        </w:rPr>
        <w:t xml:space="preserve">invoering van de </w:t>
      </w:r>
      <w:r w:rsidRPr="00E6515F">
        <w:rPr>
          <w:lang w:val="nl-BE"/>
        </w:rPr>
        <w:t xml:space="preserve">persoonsvolgende financiering worden doorheen het jaar persoonsvolgende budgetten ter beschikking gesteld. Er dient nauwgezet opgevolgd te worden hoeveel middelen </w:t>
      </w:r>
      <w:r w:rsidR="007C51F8">
        <w:rPr>
          <w:lang w:val="nl-BE"/>
        </w:rPr>
        <w:t>al</w:t>
      </w:r>
      <w:r w:rsidR="007C51F8" w:rsidRPr="00E6515F">
        <w:rPr>
          <w:lang w:val="nl-BE"/>
        </w:rPr>
        <w:t xml:space="preserve"> </w:t>
      </w:r>
      <w:r w:rsidRPr="00E6515F">
        <w:rPr>
          <w:lang w:val="nl-BE"/>
        </w:rPr>
        <w:t xml:space="preserve">ter beschikking gesteld zijn, en hoeveel middelen nog nodig en beschikbaar zijn om doorheen het jaar bijkomende terbeschikkingstellingen te doen.  </w:t>
      </w:r>
    </w:p>
    <w:p w:rsidR="0061087B" w:rsidRPr="00E6515F" w:rsidRDefault="0061087B" w:rsidP="003529A1">
      <w:pPr>
        <w:jc w:val="both"/>
        <w:rPr>
          <w:lang w:val="nl-BE"/>
        </w:rPr>
      </w:pPr>
    </w:p>
    <w:p w:rsidR="0061087B" w:rsidRPr="00E6515F" w:rsidRDefault="0061087B" w:rsidP="003529A1">
      <w:pPr>
        <w:jc w:val="both"/>
        <w:rPr>
          <w:lang w:val="nl-BE"/>
        </w:rPr>
      </w:pPr>
      <w:r w:rsidRPr="00E6515F">
        <w:rPr>
          <w:lang w:val="nl-BE"/>
        </w:rPr>
        <w:t xml:space="preserve">Om </w:t>
      </w:r>
      <w:r w:rsidR="007C51F8">
        <w:rPr>
          <w:lang w:val="nl-BE"/>
        </w:rPr>
        <w:t>dat</w:t>
      </w:r>
      <w:r w:rsidR="007C51F8" w:rsidRPr="00E6515F">
        <w:rPr>
          <w:lang w:val="nl-BE"/>
        </w:rPr>
        <w:t xml:space="preserve"> </w:t>
      </w:r>
      <w:r w:rsidR="00852782" w:rsidRPr="00E6515F">
        <w:rPr>
          <w:lang w:val="nl-BE"/>
        </w:rPr>
        <w:t>te weten,</w:t>
      </w:r>
      <w:r w:rsidRPr="00E6515F">
        <w:rPr>
          <w:lang w:val="nl-BE"/>
        </w:rPr>
        <w:t xml:space="preserve"> </w:t>
      </w:r>
      <w:r w:rsidR="007C51F8">
        <w:rPr>
          <w:lang w:val="nl-BE"/>
        </w:rPr>
        <w:t>moeten</w:t>
      </w:r>
      <w:r w:rsidR="007C51F8" w:rsidRPr="00E6515F">
        <w:rPr>
          <w:lang w:val="nl-BE"/>
        </w:rPr>
        <w:t xml:space="preserve"> </w:t>
      </w:r>
      <w:r w:rsidRPr="00E6515F">
        <w:rPr>
          <w:lang w:val="nl-BE"/>
        </w:rPr>
        <w:t xml:space="preserve">in de eerste plaats de beschikbare middelen in kaart gebracht  worden. De beschikbare middelen bestaan enerzijds uit uitbreidingsmiddelen die gereserveerd worden voor trap 2. Anderzijds </w:t>
      </w:r>
      <w:r w:rsidR="00457035" w:rsidRPr="00E6515F">
        <w:rPr>
          <w:lang w:val="nl-BE"/>
        </w:rPr>
        <w:t>bestaa</w:t>
      </w:r>
      <w:r w:rsidR="00457035">
        <w:rPr>
          <w:lang w:val="nl-BE"/>
        </w:rPr>
        <w:t>n ze uit middelen die vrijkomen door</w:t>
      </w:r>
      <w:r w:rsidRPr="00E6515F">
        <w:rPr>
          <w:lang w:val="nl-BE"/>
        </w:rPr>
        <w:t xml:space="preserve"> uitstroom, door overlijdens of stopzettingen (bijvoorbeeld als een persoon kiest voor een overstap van trap 2 naar trap 1). </w:t>
      </w:r>
    </w:p>
    <w:p w:rsidR="0061087B" w:rsidRPr="00E6515F" w:rsidRDefault="0061087B" w:rsidP="003529A1">
      <w:pPr>
        <w:jc w:val="both"/>
        <w:rPr>
          <w:lang w:val="nl-BE"/>
        </w:rPr>
      </w:pPr>
    </w:p>
    <w:p w:rsidR="0061087B" w:rsidRPr="00E6515F" w:rsidRDefault="0061087B" w:rsidP="003529A1">
      <w:pPr>
        <w:jc w:val="both"/>
        <w:rPr>
          <w:lang w:val="nl-BE"/>
        </w:rPr>
      </w:pPr>
      <w:r w:rsidRPr="00E6515F">
        <w:rPr>
          <w:lang w:val="nl-BE"/>
        </w:rPr>
        <w:t xml:space="preserve">Om de benodigde middelen in kaart te brengen wordt in eerste instantie nagegaan hoeveel middelen noodzakelijk zijn om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ter beschikking te stellen via de </w:t>
      </w:r>
      <w:r w:rsidR="00DD02E4" w:rsidRPr="00E6515F">
        <w:rPr>
          <w:lang w:val="nl-BE"/>
        </w:rPr>
        <w:t>automatische</w:t>
      </w:r>
      <w:r w:rsidR="00DD02E4">
        <w:rPr>
          <w:lang w:val="nl-BE"/>
        </w:rPr>
        <w:t>-</w:t>
      </w:r>
      <w:r w:rsidRPr="00E6515F">
        <w:rPr>
          <w:lang w:val="nl-BE"/>
        </w:rPr>
        <w:t>toekenningsgroepen. D</w:t>
      </w:r>
      <w:r w:rsidR="00457035">
        <w:rPr>
          <w:lang w:val="nl-BE"/>
        </w:rPr>
        <w:t>a</w:t>
      </w:r>
      <w:r w:rsidRPr="00E6515F">
        <w:rPr>
          <w:lang w:val="nl-BE"/>
        </w:rPr>
        <w:t xml:space="preserve">t zijn </w:t>
      </w:r>
      <w:r w:rsidR="00DD02E4" w:rsidRPr="00DD02E4">
        <w:rPr>
          <w:lang w:val="nl-BE"/>
        </w:rPr>
        <w:t>persoonsvolgend</w:t>
      </w:r>
      <w:r w:rsidR="00DD02E4">
        <w:rPr>
          <w:lang w:val="nl-BE"/>
        </w:rPr>
        <w:t>e</w:t>
      </w:r>
      <w:r w:rsidR="00DD02E4" w:rsidRPr="00DD02E4">
        <w:rPr>
          <w:lang w:val="nl-BE"/>
        </w:rPr>
        <w:t xml:space="preserve"> budget</w:t>
      </w:r>
      <w:r w:rsidR="00DD02E4">
        <w:rPr>
          <w:lang w:val="nl-BE"/>
        </w:rPr>
        <w:t>ten</w:t>
      </w:r>
      <w:r w:rsidRPr="00E6515F">
        <w:rPr>
          <w:lang w:val="nl-BE"/>
        </w:rPr>
        <w:t xml:space="preserve"> in </w:t>
      </w:r>
      <w:r w:rsidR="00457035">
        <w:rPr>
          <w:lang w:val="nl-BE"/>
        </w:rPr>
        <w:t xml:space="preserve">het </w:t>
      </w:r>
      <w:r w:rsidRPr="00E6515F">
        <w:rPr>
          <w:lang w:val="nl-BE"/>
        </w:rPr>
        <w:t>kader van zorggarantie voor personen met een niet</w:t>
      </w:r>
      <w:r w:rsidR="00457035">
        <w:rPr>
          <w:lang w:val="nl-BE"/>
        </w:rPr>
        <w:t>-</w:t>
      </w:r>
      <w:r w:rsidRPr="00E6515F">
        <w:rPr>
          <w:lang w:val="nl-BE"/>
        </w:rPr>
        <w:t xml:space="preserve">inplanbare vraag, bijvoorbeeld mensen van wie het netwerk plots en onverwacht wegvalt, of die te maken hebben met ernstige verwaarlozing of misbruik. </w:t>
      </w:r>
      <w:r w:rsidR="00852782" w:rsidRPr="00E6515F">
        <w:rPr>
          <w:lang w:val="nl-BE"/>
        </w:rPr>
        <w:t xml:space="preserve">De vraag van </w:t>
      </w:r>
      <w:r w:rsidR="00457035">
        <w:rPr>
          <w:lang w:val="nl-BE"/>
        </w:rPr>
        <w:t>die</w:t>
      </w:r>
      <w:r w:rsidR="00457035" w:rsidRPr="00E6515F">
        <w:rPr>
          <w:lang w:val="nl-BE"/>
        </w:rPr>
        <w:t xml:space="preserve"> </w:t>
      </w:r>
      <w:r w:rsidRPr="00E6515F">
        <w:rPr>
          <w:lang w:val="nl-BE"/>
        </w:rPr>
        <w:t xml:space="preserve">mensen </w:t>
      </w:r>
      <w:r w:rsidR="00852782" w:rsidRPr="00E6515F">
        <w:rPr>
          <w:lang w:val="nl-BE"/>
        </w:rPr>
        <w:t xml:space="preserve">moet niet geprioriteerd worden. Zij </w:t>
      </w:r>
      <w:r w:rsidRPr="00E6515F">
        <w:rPr>
          <w:lang w:val="nl-BE"/>
        </w:rPr>
        <w:t xml:space="preserve">kunnen onmiddellijk een terbeschikkingstelling krijgen, als hun aanvraag goedgekeurd wordt. Het is dus belangrijk dat er gedurende het volledige jaar voldoende middelen ter beschikking zijn voor </w:t>
      </w:r>
      <w:r w:rsidR="00457035">
        <w:rPr>
          <w:lang w:val="nl-BE"/>
        </w:rPr>
        <w:t>die</w:t>
      </w:r>
      <w:r w:rsidR="00457035" w:rsidRPr="00E6515F">
        <w:rPr>
          <w:lang w:val="nl-BE"/>
        </w:rPr>
        <w:t xml:space="preserve"> </w:t>
      </w:r>
      <w:r w:rsidRPr="00E6515F">
        <w:rPr>
          <w:lang w:val="nl-BE"/>
        </w:rPr>
        <w:t>automatische</w:t>
      </w:r>
      <w:r w:rsidR="00457035">
        <w:rPr>
          <w:lang w:val="nl-BE"/>
        </w:rPr>
        <w:t>-</w:t>
      </w:r>
      <w:r w:rsidRPr="00E6515F">
        <w:rPr>
          <w:lang w:val="nl-BE"/>
        </w:rPr>
        <w:t xml:space="preserve">toekenningsgroepen. </w:t>
      </w:r>
    </w:p>
    <w:p w:rsidR="0061087B" w:rsidRPr="00E6515F" w:rsidRDefault="0061087B" w:rsidP="0061087B">
      <w:pPr>
        <w:jc w:val="both"/>
        <w:rPr>
          <w:lang w:val="nl-BE"/>
        </w:rPr>
      </w:pPr>
    </w:p>
    <w:p w:rsidR="0061087B" w:rsidRPr="00E6515F" w:rsidRDefault="0061087B" w:rsidP="0061087B">
      <w:pPr>
        <w:jc w:val="both"/>
        <w:rPr>
          <w:lang w:val="nl-BE"/>
        </w:rPr>
      </w:pPr>
      <w:r w:rsidRPr="00E6515F">
        <w:rPr>
          <w:lang w:val="nl-BE"/>
        </w:rPr>
        <w:t>Tot slot moet</w:t>
      </w:r>
      <w:r w:rsidR="00457035">
        <w:rPr>
          <w:lang w:val="nl-BE"/>
        </w:rPr>
        <w:t>en</w:t>
      </w:r>
      <w:r w:rsidRPr="00E6515F">
        <w:rPr>
          <w:lang w:val="nl-BE"/>
        </w:rPr>
        <w:t xml:space="preserve"> de kost</w:t>
      </w:r>
      <w:r w:rsidR="00457035">
        <w:rPr>
          <w:lang w:val="nl-BE"/>
        </w:rPr>
        <w:t>en</w:t>
      </w:r>
      <w:r w:rsidRPr="00E6515F">
        <w:rPr>
          <w:lang w:val="nl-BE"/>
        </w:rPr>
        <w:t xml:space="preserve"> van de automatische</w:t>
      </w:r>
      <w:r w:rsidR="00457035">
        <w:rPr>
          <w:lang w:val="nl-BE"/>
        </w:rPr>
        <w:t>-</w:t>
      </w:r>
      <w:r w:rsidRPr="00E6515F">
        <w:rPr>
          <w:lang w:val="nl-BE"/>
        </w:rPr>
        <w:t>toekenningsgroepen afgetrokken worden van de beschikbare middelen (</w:t>
      </w:r>
      <w:r w:rsidR="00457035">
        <w:rPr>
          <w:lang w:val="nl-BE"/>
        </w:rPr>
        <w:t xml:space="preserve">uitbreidingsbeleid en </w:t>
      </w:r>
      <w:r w:rsidRPr="00E6515F">
        <w:rPr>
          <w:lang w:val="nl-BE"/>
        </w:rPr>
        <w:t xml:space="preserve">uitstroom) om te weten hoeveel resterende middelen er over zijn om ter beschikking te stellen in de prioriteitengroepen. </w:t>
      </w:r>
    </w:p>
    <w:p w:rsidR="0061087B" w:rsidRPr="00E6515F" w:rsidRDefault="0061087B" w:rsidP="0061087B">
      <w:pPr>
        <w:jc w:val="both"/>
        <w:rPr>
          <w:lang w:val="nl-BE"/>
        </w:rPr>
      </w:pPr>
    </w:p>
    <w:p w:rsidR="0061087B" w:rsidRPr="00E6515F" w:rsidRDefault="0061087B" w:rsidP="0061087B">
      <w:pPr>
        <w:jc w:val="both"/>
        <w:rPr>
          <w:lang w:val="nl-BE"/>
        </w:rPr>
      </w:pPr>
      <w:r w:rsidRPr="00E6515F">
        <w:rPr>
          <w:lang w:val="nl-BE"/>
        </w:rPr>
        <w:t xml:space="preserve">In de opstartfase van </w:t>
      </w:r>
      <w:r w:rsidR="00457035">
        <w:rPr>
          <w:lang w:val="nl-BE"/>
        </w:rPr>
        <w:t xml:space="preserve">de </w:t>
      </w:r>
      <w:r w:rsidR="009F5B77">
        <w:rPr>
          <w:lang w:val="nl-BE"/>
        </w:rPr>
        <w:t>persoonsvolgende financiering</w:t>
      </w:r>
      <w:r w:rsidRPr="00E6515F">
        <w:rPr>
          <w:lang w:val="nl-BE"/>
        </w:rPr>
        <w:t xml:space="preserve"> doet het VAPH </w:t>
      </w:r>
      <w:r w:rsidR="00457035">
        <w:rPr>
          <w:lang w:val="nl-BE"/>
        </w:rPr>
        <w:t>een</w:t>
      </w:r>
      <w:r w:rsidR="00457035" w:rsidRPr="00E6515F">
        <w:rPr>
          <w:lang w:val="nl-BE"/>
        </w:rPr>
        <w:t xml:space="preserve"> </w:t>
      </w:r>
      <w:r w:rsidRPr="00E6515F">
        <w:rPr>
          <w:lang w:val="nl-BE"/>
        </w:rPr>
        <w:t xml:space="preserve">keer per kwartaal een dergelijke monitoring van het budget. Per kwartaal wordt enerzijds naar informatie rond terbeschikkingstellingen en uitstroom van de afgelopen kwartalen gekeken, anderzijds wordt een inschatting gedaan van de kwartalen die volgen in hetzelfde jaar. Door middel van extrapolaties van gekende cijfers naar jaarbasis, en rekening </w:t>
      </w:r>
      <w:r w:rsidR="00457035">
        <w:rPr>
          <w:lang w:val="nl-BE"/>
        </w:rPr>
        <w:t xml:space="preserve">houdend </w:t>
      </w:r>
      <w:r w:rsidRPr="00E6515F">
        <w:rPr>
          <w:lang w:val="nl-BE"/>
        </w:rPr>
        <w:t>met toekomstig beleid, wordt een predictie gemaakt van de kwartalen die nog volgen binnen het betrokken jaar. Op die manier krijgen we zicht op de middelen die over zijn voor de prioriteitengroepen op jaarbasis. Zo kan na elk kwartaal geëvalueerd worden of en hoeveel bijkomende terbeschikkingstellingen op dat ogenblik gedaan kunnen worden in de prioriteitengroepen.</w:t>
      </w:r>
    </w:p>
    <w:p w:rsidR="00655F0C" w:rsidRPr="00E6515F" w:rsidRDefault="00655F0C">
      <w:pPr>
        <w:rPr>
          <w:lang w:val="nl-BE"/>
        </w:rPr>
      </w:pPr>
      <w:r w:rsidRPr="00E6515F">
        <w:rPr>
          <w:lang w:val="nl-BE"/>
        </w:rPr>
        <w:br w:type="page"/>
      </w:r>
    </w:p>
    <w:p w:rsidR="00C17340" w:rsidRPr="00E6515F" w:rsidRDefault="00C17340" w:rsidP="00C17340">
      <w:pPr>
        <w:pStyle w:val="Kop1"/>
        <w:widowControl w:val="0"/>
        <w:numPr>
          <w:ilvl w:val="0"/>
          <w:numId w:val="1"/>
        </w:numPr>
        <w:pBdr>
          <w:top w:val="nil"/>
          <w:left w:val="nil"/>
          <w:bottom w:val="nil"/>
          <w:right w:val="nil"/>
          <w:between w:val="nil"/>
        </w:pBdr>
        <w:rPr>
          <w:lang w:val="nl-BE"/>
        </w:rPr>
      </w:pPr>
      <w:bookmarkStart w:id="117" w:name="_Toc536797836"/>
      <w:r w:rsidRPr="00E6515F">
        <w:rPr>
          <w:lang w:val="nl-BE"/>
        </w:rPr>
        <w:lastRenderedPageBreak/>
        <w:t>Bijlage 1: regelgeving in de voorbije legislatuur</w:t>
      </w:r>
      <w:bookmarkEnd w:id="117"/>
    </w:p>
    <w:p w:rsidR="00C17340" w:rsidRPr="00E6515F" w:rsidRDefault="00C17340" w:rsidP="00C17340">
      <w:pPr>
        <w:rPr>
          <w:lang w:val="nl-BE"/>
        </w:rPr>
      </w:pPr>
      <w:r w:rsidRPr="00E6515F">
        <w:rPr>
          <w:lang w:val="nl-BE"/>
        </w:rPr>
        <w:t>Verkiezingen voor het Vlaams Parlement vonden plaats op 25 mei 2014.</w:t>
      </w:r>
    </w:p>
    <w:p w:rsidR="00C17340" w:rsidRPr="00E6515F" w:rsidRDefault="00C17340" w:rsidP="00C17340">
      <w:pPr>
        <w:rPr>
          <w:lang w:val="nl-BE"/>
        </w:rPr>
      </w:pPr>
    </w:p>
    <w:p w:rsidR="00C17340" w:rsidRPr="00E6515F" w:rsidRDefault="00C17340" w:rsidP="00C17340">
      <w:pPr>
        <w:rPr>
          <w:lang w:val="nl-BE"/>
        </w:rPr>
      </w:pPr>
      <w:r w:rsidRPr="00E6515F">
        <w:rPr>
          <w:lang w:val="nl-BE"/>
        </w:rPr>
        <w:t>De legislatuur ging van start na het Besluit van de Vlaamse Regering van 25 juli 2014 tot bepaling van de bevoegdheden van de leden van de Vlaamse Regering (Belgisch Staatsblad 01.08.2014).</w:t>
      </w:r>
    </w:p>
    <w:p w:rsidR="00C17340" w:rsidRPr="00E6515F" w:rsidRDefault="00C17340" w:rsidP="00C17340">
      <w:pPr>
        <w:rPr>
          <w:lang w:val="nl-BE"/>
        </w:rPr>
      </w:pPr>
    </w:p>
    <w:p w:rsidR="00C17340" w:rsidRPr="00E6515F" w:rsidRDefault="00457035" w:rsidP="00C17340">
      <w:pPr>
        <w:pStyle w:val="Kop1"/>
        <w:widowControl w:val="0"/>
        <w:numPr>
          <w:ilvl w:val="1"/>
          <w:numId w:val="1"/>
        </w:numPr>
        <w:pBdr>
          <w:top w:val="nil"/>
          <w:left w:val="nil"/>
          <w:bottom w:val="nil"/>
          <w:right w:val="nil"/>
          <w:between w:val="nil"/>
        </w:pBdr>
        <w:rPr>
          <w:lang w:val="nl-BE"/>
        </w:rPr>
      </w:pPr>
      <w:bookmarkStart w:id="118" w:name="_Toc536797837"/>
      <w:r>
        <w:rPr>
          <w:lang w:val="nl-BE"/>
        </w:rPr>
        <w:t>Besluiten van de Vlaamse Regering en ministeriële besluiten</w:t>
      </w:r>
      <w:bookmarkEnd w:id="118"/>
    </w:p>
    <w:p w:rsidR="00C17340" w:rsidRPr="00E6515F" w:rsidRDefault="00C17340" w:rsidP="00C17340">
      <w:pPr>
        <w:rPr>
          <w:lang w:val="nl-BE"/>
        </w:rPr>
      </w:pPr>
    </w:p>
    <w:p w:rsidR="00C17340" w:rsidRPr="00E6515F" w:rsidRDefault="00C17340" w:rsidP="00C17340">
      <w:pPr>
        <w:rPr>
          <w:lang w:val="nl-BE"/>
        </w:rPr>
      </w:pPr>
      <w:r w:rsidRPr="00E6515F">
        <w:rPr>
          <w:b/>
          <w:u w:val="single"/>
          <w:lang w:val="nl-BE"/>
        </w:rPr>
        <w:t>2014</w:t>
      </w:r>
    </w:p>
    <w:p w:rsidR="00C17340" w:rsidRPr="00E6515F" w:rsidRDefault="00C17340" w:rsidP="00C17340">
      <w:pPr>
        <w:rPr>
          <w:lang w:val="nl-BE"/>
        </w:rPr>
      </w:pPr>
    </w:p>
    <w:p w:rsidR="00C17340" w:rsidRPr="00E6515F" w:rsidRDefault="00C17340" w:rsidP="00C17340">
      <w:pPr>
        <w:rPr>
          <w:b/>
          <w:lang w:val="nl-BE"/>
        </w:rPr>
      </w:pPr>
      <w:r w:rsidRPr="00E6515F">
        <w:rPr>
          <w:b/>
          <w:lang w:val="nl-BE"/>
        </w:rPr>
        <w:t xml:space="preserve">September </w:t>
      </w:r>
    </w:p>
    <w:p w:rsidR="00C17340" w:rsidRPr="00E6515F" w:rsidRDefault="00C17340" w:rsidP="00C17340">
      <w:pPr>
        <w:rPr>
          <w:lang w:val="nl-BE"/>
        </w:rPr>
      </w:pPr>
      <w:r w:rsidRPr="00E6515F">
        <w:rPr>
          <w:lang w:val="nl-BE"/>
        </w:rPr>
        <w:t>Belgisch Staatsblad 04.09.2014, blz. 70511</w:t>
      </w:r>
    </w:p>
    <w:p w:rsidR="00C17340" w:rsidRPr="00E6515F" w:rsidRDefault="00C17340" w:rsidP="00C17340">
      <w:pPr>
        <w:rPr>
          <w:lang w:val="nl-BE"/>
        </w:rPr>
      </w:pPr>
      <w:r w:rsidRPr="00E6515F">
        <w:rPr>
          <w:lang w:val="nl-BE"/>
        </w:rPr>
        <w:t>Ministerieel besluit van 18 augustus 2014 houdende wijziging van de refertelijst inzake individuele materiële bijstand</w:t>
      </w:r>
    </w:p>
    <w:p w:rsidR="00C17340" w:rsidRPr="00E6515F" w:rsidRDefault="00C17340" w:rsidP="00C17340">
      <w:pPr>
        <w:rPr>
          <w:lang w:val="nl-BE"/>
        </w:rPr>
      </w:pPr>
    </w:p>
    <w:p w:rsidR="00C17340" w:rsidRPr="00E6515F" w:rsidRDefault="00C17340" w:rsidP="00C17340">
      <w:pPr>
        <w:rPr>
          <w:lang w:val="nl-BE"/>
        </w:rPr>
      </w:pPr>
      <w:r w:rsidRPr="00E6515F">
        <w:rPr>
          <w:b/>
          <w:lang w:val="nl-BE"/>
        </w:rPr>
        <w:t>November</w:t>
      </w:r>
    </w:p>
    <w:p w:rsidR="00C17340" w:rsidRPr="00E6515F" w:rsidRDefault="00C17340" w:rsidP="00C17340">
      <w:pPr>
        <w:rPr>
          <w:lang w:val="nl-BE"/>
        </w:rPr>
      </w:pPr>
      <w:r w:rsidRPr="00E6515F">
        <w:rPr>
          <w:lang w:val="nl-BE"/>
        </w:rPr>
        <w:t>Belgisch Staatsblad 03.11.2014 , blz. 83714</w:t>
      </w:r>
    </w:p>
    <w:p w:rsidR="00C17340" w:rsidRPr="00E6515F" w:rsidRDefault="00C17340" w:rsidP="00C17340">
      <w:pPr>
        <w:rPr>
          <w:lang w:val="nl-BE"/>
        </w:rPr>
      </w:pPr>
      <w:r w:rsidRPr="00E6515F">
        <w:rPr>
          <w:lang w:val="nl-BE"/>
        </w:rPr>
        <w:t>Besluit van de Vlaamse Regering van 30 juli 2014 tot wijziging van het besluit van de Vlaamse Regering van 19 oktober 2012 tot wijziging van het besluit van de Vlaamse Regering van 15 december 2000 houdende vaststelling van de voorwaarden van toekenning van een persoonlijke assistentiebudget aan personen met een handicap, wat betreft de verlenging van de overgangsperiode herziening berekeningswijze PAB-budgethoogte bij combinatie</w:t>
      </w:r>
    </w:p>
    <w:p w:rsidR="00C17340" w:rsidRPr="00E6515F" w:rsidRDefault="00C17340" w:rsidP="00C17340">
      <w:pPr>
        <w:rPr>
          <w:lang w:val="nl-BE"/>
        </w:rPr>
      </w:pPr>
    </w:p>
    <w:p w:rsidR="00C17340" w:rsidRPr="00E6515F" w:rsidRDefault="00C17340" w:rsidP="00C17340">
      <w:pPr>
        <w:rPr>
          <w:lang w:val="nl-BE"/>
        </w:rPr>
      </w:pPr>
      <w:r w:rsidRPr="00E6515F">
        <w:rPr>
          <w:b/>
          <w:lang w:val="nl-BE"/>
        </w:rPr>
        <w:t>December</w:t>
      </w:r>
    </w:p>
    <w:p w:rsidR="00C17340" w:rsidRPr="00E6515F" w:rsidRDefault="00C17340" w:rsidP="00C17340">
      <w:pPr>
        <w:rPr>
          <w:lang w:val="nl-BE"/>
        </w:rPr>
      </w:pPr>
      <w:r w:rsidRPr="00E6515F">
        <w:rPr>
          <w:lang w:val="nl-BE"/>
        </w:rPr>
        <w:t>Belgisch Staatsblad 19.12.2014 , blz. 104566</w:t>
      </w:r>
    </w:p>
    <w:p w:rsidR="00C17340" w:rsidRPr="00E6515F" w:rsidRDefault="00C17340" w:rsidP="00C17340">
      <w:pPr>
        <w:rPr>
          <w:lang w:val="nl-BE"/>
        </w:rPr>
      </w:pPr>
      <w:r w:rsidRPr="00E6515F">
        <w:rPr>
          <w:lang w:val="nl-BE"/>
        </w:rPr>
        <w:t>Ministerieel besluit van 24 november 2014 houdende de programmatie van de diensten Ondersteuningsplan</w:t>
      </w:r>
    </w:p>
    <w:p w:rsidR="00C17340" w:rsidRPr="00E6515F" w:rsidRDefault="00C17340" w:rsidP="00C17340">
      <w:pPr>
        <w:rPr>
          <w:lang w:val="nl-BE"/>
        </w:rPr>
      </w:pPr>
    </w:p>
    <w:p w:rsidR="00C17340" w:rsidRPr="00E6515F" w:rsidRDefault="00C17340" w:rsidP="00C17340">
      <w:pPr>
        <w:rPr>
          <w:lang w:val="nl-BE"/>
        </w:rPr>
      </w:pPr>
      <w:r w:rsidRPr="00E6515F">
        <w:rPr>
          <w:lang w:val="nl-BE"/>
        </w:rPr>
        <w:t>Ministerieel besluit van 24 november 2014 Instellen van een regelluw kader voor de dienst Ondersteuningsplan Limburg vzw</w:t>
      </w:r>
    </w:p>
    <w:p w:rsidR="00C17340" w:rsidRPr="00E6515F" w:rsidRDefault="00C17340" w:rsidP="00C17340">
      <w:pPr>
        <w:rPr>
          <w:lang w:val="nl-BE"/>
        </w:rPr>
      </w:pPr>
    </w:p>
    <w:p w:rsidR="00C17340" w:rsidRPr="00E6515F" w:rsidRDefault="00C17340" w:rsidP="00C17340">
      <w:pPr>
        <w:rPr>
          <w:lang w:val="nl-BE"/>
        </w:rPr>
      </w:pPr>
      <w:r w:rsidRPr="00E6515F">
        <w:rPr>
          <w:lang w:val="nl-BE"/>
        </w:rPr>
        <w:t>Ministerieel besluit van 24 november 2014 Instellen van een regelluw kader voor de dienst Ondersteuningsplan Oost-Vlaanderen vzw</w:t>
      </w:r>
    </w:p>
    <w:p w:rsidR="00C17340" w:rsidRPr="00E6515F" w:rsidRDefault="00C17340" w:rsidP="00C17340">
      <w:pPr>
        <w:rPr>
          <w:lang w:val="nl-BE"/>
        </w:rPr>
      </w:pPr>
      <w:r w:rsidRPr="00E6515F">
        <w:rPr>
          <w:lang w:val="nl-BE"/>
        </w:rPr>
        <w:t>Ministerieel besluit van 24 november 2014  Instellen van een regelluw kader voor de dienst Ondersteuningsplan Opmaat vzw</w:t>
      </w:r>
    </w:p>
    <w:p w:rsidR="00C17340" w:rsidRPr="00E6515F" w:rsidRDefault="00C17340" w:rsidP="00C17340">
      <w:pPr>
        <w:rPr>
          <w:lang w:val="nl-BE"/>
        </w:rPr>
      </w:pPr>
    </w:p>
    <w:p w:rsidR="00C17340" w:rsidRPr="00E6515F" w:rsidRDefault="00C17340" w:rsidP="00C17340">
      <w:pPr>
        <w:rPr>
          <w:lang w:val="nl-BE"/>
        </w:rPr>
      </w:pPr>
      <w:r w:rsidRPr="00E6515F">
        <w:rPr>
          <w:lang w:val="nl-BE"/>
        </w:rPr>
        <w:t>Ministerieel besluit van 24 november 2014 Instellen van een regelluw kader voor de dienst Ondersteuningsplan Traject vzw</w:t>
      </w:r>
    </w:p>
    <w:p w:rsidR="00C17340" w:rsidRPr="00E6515F" w:rsidRDefault="00C17340" w:rsidP="00C17340">
      <w:pPr>
        <w:rPr>
          <w:lang w:val="nl-BE"/>
        </w:rPr>
      </w:pPr>
    </w:p>
    <w:p w:rsidR="00C17340" w:rsidRPr="00E6515F" w:rsidRDefault="00C17340" w:rsidP="00C17340">
      <w:pPr>
        <w:rPr>
          <w:lang w:val="nl-BE"/>
        </w:rPr>
      </w:pPr>
      <w:r w:rsidRPr="00E6515F">
        <w:rPr>
          <w:lang w:val="nl-BE"/>
        </w:rPr>
        <w:t>Ministerieel besluit van 24 november 2014 Instellen van een regelluw kader voor de dienst Ondersteuningsplan West-Vlaanderen vzw</w:t>
      </w:r>
    </w:p>
    <w:p w:rsidR="00C17340" w:rsidRPr="00E6515F" w:rsidRDefault="00C17340" w:rsidP="00C17340">
      <w:pPr>
        <w:rPr>
          <w:lang w:val="nl-BE"/>
        </w:rPr>
      </w:pPr>
    </w:p>
    <w:p w:rsidR="00C17340" w:rsidRPr="00E6515F" w:rsidRDefault="00C17340" w:rsidP="00C17340">
      <w:pPr>
        <w:rPr>
          <w:lang w:val="nl-BE"/>
        </w:rPr>
      </w:pPr>
      <w:r w:rsidRPr="00E6515F">
        <w:rPr>
          <w:lang w:val="nl-BE"/>
        </w:rPr>
        <w:t>Ministerieel besluit van 24 november 2014 Instellen van een regelluw kader voor de dienst Ondersteuningsplan Vlaams-Brabant en Brussel vzw</w:t>
      </w:r>
    </w:p>
    <w:p w:rsidR="00C17340" w:rsidRPr="00E6515F" w:rsidRDefault="00C17340" w:rsidP="00C17340">
      <w:pPr>
        <w:rPr>
          <w:lang w:val="nl-BE"/>
        </w:rPr>
      </w:pPr>
    </w:p>
    <w:p w:rsidR="00C17340" w:rsidRPr="00E6515F" w:rsidRDefault="00C17340" w:rsidP="00C17340">
      <w:pPr>
        <w:rPr>
          <w:lang w:val="nl-BE"/>
        </w:rPr>
      </w:pPr>
      <w:r w:rsidRPr="00E6515F">
        <w:rPr>
          <w:b/>
          <w:u w:val="single"/>
          <w:lang w:val="nl-BE"/>
        </w:rPr>
        <w:t>2015</w:t>
      </w:r>
    </w:p>
    <w:p w:rsidR="00C17340" w:rsidRPr="00E6515F" w:rsidRDefault="00C17340" w:rsidP="00C17340">
      <w:pPr>
        <w:rPr>
          <w:lang w:val="nl-BE"/>
        </w:rPr>
      </w:pPr>
    </w:p>
    <w:p w:rsidR="00C17340" w:rsidRPr="00E6515F" w:rsidRDefault="00C17340" w:rsidP="00C17340">
      <w:pPr>
        <w:rPr>
          <w:lang w:val="nl-BE"/>
        </w:rPr>
      </w:pPr>
      <w:r w:rsidRPr="00E6515F">
        <w:rPr>
          <w:b/>
          <w:lang w:val="nl-BE"/>
        </w:rPr>
        <w:t>Januari</w:t>
      </w:r>
    </w:p>
    <w:p w:rsidR="00C17340" w:rsidRPr="00E6515F" w:rsidRDefault="00C17340" w:rsidP="00C17340">
      <w:pPr>
        <w:rPr>
          <w:lang w:val="nl-BE"/>
        </w:rPr>
      </w:pPr>
      <w:r w:rsidRPr="00E6515F">
        <w:rPr>
          <w:lang w:val="nl-BE"/>
        </w:rPr>
        <w:t>Belgisch Staatsblad 09.01.2015 , blz. 916</w:t>
      </w:r>
    </w:p>
    <w:p w:rsidR="00C17340" w:rsidRPr="00E6515F" w:rsidRDefault="00C17340" w:rsidP="00C17340">
      <w:pPr>
        <w:rPr>
          <w:lang w:val="nl-BE"/>
        </w:rPr>
      </w:pPr>
      <w:r w:rsidRPr="00E6515F">
        <w:rPr>
          <w:lang w:val="nl-BE"/>
        </w:rPr>
        <w:t>Besluit van de Vlaamse Regering van 12 december 2014 tot wijziging van het besluit van de Vlaamse Regering van 28 april 1993 tot vaststelling van de programmatie voor de voorzieningen op het vlak van de sociale integratie van personen met een handicap, wat betreft de programmatie voor voorzieningen voor personen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22.01.2015 , blz. 5327</w:t>
      </w:r>
    </w:p>
    <w:p w:rsidR="00C17340" w:rsidRPr="00E6515F" w:rsidRDefault="00C17340" w:rsidP="00C17340">
      <w:pPr>
        <w:rPr>
          <w:lang w:val="nl-BE"/>
        </w:rPr>
      </w:pPr>
      <w:r w:rsidRPr="00E6515F">
        <w:rPr>
          <w:lang w:val="nl-BE"/>
        </w:rPr>
        <w:t>Besluit van de Vlaamse Regering van 19 december 2014 tot wijziging van de Vlaamse Regering van 20 juli 1994 houdende vaststelling van de regels volgens dewelke het Vlaams Agentschap voor Personen met een Handicap de kosten van bijstand door tolken voor doven en slechthorenden ten laste nemen, wat betreft het contingent doventolkuren en de invoering van enveloppefinanciering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29.01.2015 , blz. 8036</w:t>
      </w:r>
    </w:p>
    <w:p w:rsidR="00C17340" w:rsidRPr="00E6515F" w:rsidRDefault="00C17340" w:rsidP="00C17340">
      <w:pPr>
        <w:rPr>
          <w:lang w:val="nl-BE"/>
        </w:rPr>
      </w:pPr>
      <w:r w:rsidRPr="00E6515F">
        <w:rPr>
          <w:lang w:val="nl-BE"/>
        </w:rPr>
        <w:t xml:space="preserve">Besluit van de Vlaamse Regering van 9 januari 2015 tot wijziging van het besluit van de Vlaamse </w:t>
      </w:r>
      <w:r w:rsidR="002E20D1">
        <w:rPr>
          <w:lang w:val="nl-BE"/>
        </w:rPr>
        <w:t>R</w:t>
      </w:r>
      <w:r w:rsidR="002E20D1" w:rsidRPr="00E6515F">
        <w:rPr>
          <w:lang w:val="nl-BE"/>
        </w:rPr>
        <w:t xml:space="preserve">egering </w:t>
      </w:r>
      <w:r w:rsidRPr="00E6515F">
        <w:rPr>
          <w:lang w:val="nl-BE"/>
        </w:rPr>
        <w:t>van 17 maart 2006 betreffende de regie van de zorg en bijstand tot sociale integratie van personen met een handicap en betreffende de erkenning en subsidiëring van een Vlaams Platform van verenigingen van personen met een handicap, wat betreft de invoering van de beroepsprocedure en de verankering van de toetsingscriteria</w:t>
      </w:r>
    </w:p>
    <w:p w:rsidR="00C17340" w:rsidRPr="00E6515F" w:rsidRDefault="00C17340" w:rsidP="00C17340">
      <w:pPr>
        <w:rPr>
          <w:lang w:val="nl-BE"/>
        </w:rPr>
      </w:pPr>
    </w:p>
    <w:p w:rsidR="00C17340" w:rsidRPr="00E6515F" w:rsidRDefault="00C17340" w:rsidP="00C17340">
      <w:pPr>
        <w:rPr>
          <w:b/>
          <w:lang w:val="nl-BE"/>
        </w:rPr>
      </w:pPr>
      <w:r w:rsidRPr="00E6515F">
        <w:rPr>
          <w:b/>
          <w:lang w:val="nl-BE"/>
        </w:rPr>
        <w:t>Februari</w:t>
      </w:r>
    </w:p>
    <w:p w:rsidR="00C17340" w:rsidRPr="00E6515F" w:rsidRDefault="00C17340" w:rsidP="00C17340">
      <w:pPr>
        <w:rPr>
          <w:lang w:val="nl-BE"/>
        </w:rPr>
      </w:pPr>
      <w:r w:rsidRPr="00E6515F">
        <w:rPr>
          <w:lang w:val="nl-BE"/>
        </w:rPr>
        <w:t>Belgisch Staatsblad 27.02.2015 , blz. 14665</w:t>
      </w:r>
    </w:p>
    <w:p w:rsidR="00C17340" w:rsidRPr="00E6515F" w:rsidRDefault="00C17340" w:rsidP="00C17340">
      <w:pPr>
        <w:rPr>
          <w:lang w:val="nl-BE"/>
        </w:rPr>
      </w:pPr>
      <w:r w:rsidRPr="00E6515F">
        <w:rPr>
          <w:lang w:val="nl-BE"/>
        </w:rPr>
        <w:t>Besluit van de Vlaamse Regering van 30 januari 2015 tot  wijziging van artikel 4ter van het besluit van de Vlaamse regering van 28 juli 1983 tot vaststelling van  de financiële bijdrage van de personen met een handicap, geplaatst ten laste van het Vlaams Agentschap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Maart</w:t>
      </w:r>
    </w:p>
    <w:p w:rsidR="00C17340" w:rsidRPr="00E6515F" w:rsidRDefault="00C17340" w:rsidP="00C17340">
      <w:pPr>
        <w:rPr>
          <w:lang w:val="nl-BE"/>
        </w:rPr>
      </w:pPr>
      <w:r w:rsidRPr="00E6515F">
        <w:rPr>
          <w:lang w:val="nl-BE"/>
        </w:rPr>
        <w:t>Belgisch Staatsblad 11.03.2015 , blz. 16051</w:t>
      </w:r>
    </w:p>
    <w:p w:rsidR="00C17340" w:rsidRPr="00E6515F" w:rsidRDefault="00C17340" w:rsidP="00C17340">
      <w:pPr>
        <w:rPr>
          <w:lang w:val="nl-BE"/>
        </w:rPr>
      </w:pPr>
      <w:r w:rsidRPr="00E6515F">
        <w:rPr>
          <w:lang w:val="nl-BE"/>
        </w:rPr>
        <w:t>Besluit van de Vlaamse Regering van 6 februari 2015 tot  wijziging van diverse bepalingen inzake het persoonlijke-assistentiebudget</w:t>
      </w:r>
    </w:p>
    <w:p w:rsidR="00C17340" w:rsidRPr="00E6515F" w:rsidRDefault="00C17340" w:rsidP="00C17340">
      <w:pPr>
        <w:rPr>
          <w:lang w:val="nl-BE"/>
        </w:rPr>
      </w:pPr>
    </w:p>
    <w:p w:rsidR="00C17340" w:rsidRPr="00E6515F" w:rsidRDefault="00C17340" w:rsidP="00C17340">
      <w:pPr>
        <w:rPr>
          <w:lang w:val="nl-BE"/>
        </w:rPr>
      </w:pPr>
      <w:r w:rsidRPr="00E6515F">
        <w:rPr>
          <w:b/>
          <w:lang w:val="nl-BE"/>
        </w:rPr>
        <w:t>April</w:t>
      </w:r>
    </w:p>
    <w:p w:rsidR="00C17340" w:rsidRPr="00E6515F" w:rsidRDefault="00C17340" w:rsidP="00C17340">
      <w:pPr>
        <w:rPr>
          <w:lang w:val="nl-BE"/>
        </w:rPr>
      </w:pPr>
      <w:r w:rsidRPr="00E6515F">
        <w:rPr>
          <w:lang w:val="nl-BE"/>
        </w:rPr>
        <w:t>Belgisch Staatsblad 09.04.2015 , blz. 21068</w:t>
      </w:r>
    </w:p>
    <w:p w:rsidR="00C17340" w:rsidRPr="00E6515F" w:rsidRDefault="00C17340" w:rsidP="00C17340">
      <w:pPr>
        <w:rPr>
          <w:lang w:val="nl-BE"/>
        </w:rPr>
      </w:pPr>
      <w:r w:rsidRPr="00E6515F">
        <w:rPr>
          <w:lang w:val="nl-BE"/>
        </w:rPr>
        <w:t>Decreet van 20 maart 2015 houdende wijziging van artikel 14 van het decreet van 25 april 2014 houdende de persoonsvolgende financiering voor personen met een handicap en tot hervorming van de wijze van financiering van de zorg en de ondersteuning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lastRenderedPageBreak/>
        <w:t>Belgisch Staatsblad 16.04.2015 , blz. 22214</w:t>
      </w:r>
    </w:p>
    <w:p w:rsidR="00C17340" w:rsidRPr="00E6515F" w:rsidRDefault="00C17340" w:rsidP="00C17340">
      <w:pPr>
        <w:rPr>
          <w:lang w:val="nl-BE"/>
        </w:rPr>
      </w:pPr>
      <w:r w:rsidRPr="00E6515F">
        <w:rPr>
          <w:lang w:val="nl-BE"/>
        </w:rPr>
        <w:t xml:space="preserve">Besluit van de Vlaamse Regering van 27 maart 2015 houdende wijziging van het besluit van de Vlaamse Regering van 15 december 2000 houdende vaststelling van de voorwaarden van toekenning van een persoonlijke-assistentiebudget aan personen met een handicap , wat betreft de forfaitaire subsidie voor </w:t>
      </w:r>
      <w:proofErr w:type="spellStart"/>
      <w:r w:rsidRPr="00E6515F">
        <w:rPr>
          <w:lang w:val="nl-BE"/>
        </w:rPr>
        <w:t>budgethoudersverenigingen</w:t>
      </w:r>
      <w:proofErr w:type="spellEnd"/>
    </w:p>
    <w:p w:rsidR="00C17340" w:rsidRPr="00E6515F" w:rsidRDefault="00C17340" w:rsidP="00C17340">
      <w:pPr>
        <w:rPr>
          <w:lang w:val="nl-BE"/>
        </w:rPr>
      </w:pPr>
    </w:p>
    <w:p w:rsidR="00C17340" w:rsidRPr="00E6515F" w:rsidRDefault="00C17340" w:rsidP="00C17340">
      <w:pPr>
        <w:rPr>
          <w:b/>
          <w:lang w:val="nl-BE"/>
        </w:rPr>
      </w:pPr>
      <w:r w:rsidRPr="00E6515F">
        <w:rPr>
          <w:b/>
          <w:lang w:val="nl-BE"/>
        </w:rPr>
        <w:t>Juni</w:t>
      </w:r>
    </w:p>
    <w:p w:rsidR="00C17340" w:rsidRPr="00E6515F" w:rsidRDefault="00C17340" w:rsidP="00C17340">
      <w:pPr>
        <w:rPr>
          <w:lang w:val="nl-BE"/>
        </w:rPr>
      </w:pPr>
      <w:r w:rsidRPr="00E6515F">
        <w:rPr>
          <w:lang w:val="nl-BE"/>
        </w:rPr>
        <w:t>Belgisch Staatsblad 08.06.2015 , blz. 32793</w:t>
      </w:r>
    </w:p>
    <w:p w:rsidR="00C17340" w:rsidRPr="00E6515F" w:rsidRDefault="00C17340" w:rsidP="00C17340">
      <w:pPr>
        <w:rPr>
          <w:lang w:val="nl-BE"/>
        </w:rPr>
      </w:pPr>
      <w:r w:rsidRPr="00E6515F">
        <w:rPr>
          <w:lang w:val="nl-BE"/>
        </w:rPr>
        <w:t>Besluit van de Vlaamse Regering van 8 mei 2015 tot wijziging van het besluit van de Vlaamse Regering van 17 december 1996 betreffende de erkenning en subsidiëring van thuisbegeleidingsdiensten voor personen met een handicap wat betreft de omzetting van personeelspunten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25.06.2015 , blz. 36790</w:t>
      </w:r>
    </w:p>
    <w:p w:rsidR="00C17340" w:rsidRPr="00E6515F" w:rsidRDefault="00C17340" w:rsidP="00C17340">
      <w:pPr>
        <w:rPr>
          <w:lang w:val="nl-BE"/>
        </w:rPr>
      </w:pPr>
      <w:r w:rsidRPr="00E6515F">
        <w:rPr>
          <w:lang w:val="nl-BE"/>
        </w:rPr>
        <w:t>Besluit van de Vlaamse Regering van 29 mei 2015 houdende besparingen in verschillende zorgvormen van de sector personen met een handicap</w:t>
      </w:r>
    </w:p>
    <w:p w:rsidR="00C17340" w:rsidRPr="00E6515F" w:rsidRDefault="00C17340" w:rsidP="00C17340">
      <w:pPr>
        <w:rPr>
          <w:lang w:val="nl-BE"/>
        </w:rPr>
      </w:pPr>
    </w:p>
    <w:p w:rsidR="00C17340" w:rsidRPr="00E6515F" w:rsidRDefault="00C17340" w:rsidP="00C17340">
      <w:pPr>
        <w:rPr>
          <w:b/>
          <w:lang w:val="nl-BE"/>
        </w:rPr>
      </w:pPr>
      <w:r w:rsidRPr="00E6515F">
        <w:rPr>
          <w:b/>
          <w:lang w:val="nl-BE"/>
        </w:rPr>
        <w:t>Augustus</w:t>
      </w:r>
    </w:p>
    <w:p w:rsidR="00C17340" w:rsidRPr="00E6515F" w:rsidRDefault="00C17340" w:rsidP="00C17340">
      <w:pPr>
        <w:rPr>
          <w:lang w:val="nl-BE"/>
        </w:rPr>
      </w:pPr>
      <w:r w:rsidRPr="00E6515F">
        <w:rPr>
          <w:lang w:val="nl-BE"/>
        </w:rPr>
        <w:t>Belgisch Staatsblad 17.08.2015 , blz. 52904</w:t>
      </w:r>
    </w:p>
    <w:p w:rsidR="00C17340" w:rsidRPr="00E6515F" w:rsidRDefault="00C17340" w:rsidP="00C17340">
      <w:pPr>
        <w:rPr>
          <w:lang w:val="nl-BE"/>
        </w:rPr>
      </w:pPr>
      <w:r w:rsidRPr="00E6515F">
        <w:rPr>
          <w:lang w:val="nl-BE"/>
        </w:rPr>
        <w:t>Besluit van de Vlaamse Regering van 17 juli 2015 tot wijziging van het besluit van de Vlaamse Regering van 28 april 1993 tot vaststelling van de programmatie voor de voorzieningen op het vlak van de sociale integratie van personen met een handicap, wat betreft de programmatie voor voorzieningen voor personen met een handicap</w:t>
      </w:r>
    </w:p>
    <w:p w:rsidR="00C17340" w:rsidRPr="00E6515F" w:rsidRDefault="00C17340" w:rsidP="00C17340">
      <w:pPr>
        <w:rPr>
          <w:lang w:val="nl-BE"/>
        </w:rPr>
      </w:pPr>
    </w:p>
    <w:p w:rsidR="00C17340" w:rsidRPr="00E6515F" w:rsidRDefault="00C17340" w:rsidP="00C17340">
      <w:pPr>
        <w:rPr>
          <w:b/>
          <w:lang w:val="nl-BE"/>
        </w:rPr>
      </w:pPr>
      <w:r w:rsidRPr="00E6515F">
        <w:rPr>
          <w:b/>
          <w:lang w:val="nl-BE"/>
        </w:rPr>
        <w:t>Oktober</w:t>
      </w:r>
    </w:p>
    <w:p w:rsidR="00C17340" w:rsidRPr="00E6515F" w:rsidRDefault="00C17340" w:rsidP="00C17340">
      <w:pPr>
        <w:rPr>
          <w:lang w:val="nl-BE"/>
        </w:rPr>
      </w:pPr>
      <w:r w:rsidRPr="00E6515F">
        <w:rPr>
          <w:lang w:val="nl-BE"/>
        </w:rPr>
        <w:t>Belgisch Staatsblad 12.10.2015 , blz. 63562</w:t>
      </w:r>
    </w:p>
    <w:p w:rsidR="00C17340" w:rsidRPr="00E6515F" w:rsidRDefault="00C17340" w:rsidP="00C17340">
      <w:pPr>
        <w:rPr>
          <w:lang w:val="nl-BE"/>
        </w:rPr>
      </w:pPr>
      <w:r w:rsidRPr="00E6515F">
        <w:rPr>
          <w:lang w:val="nl-BE"/>
        </w:rPr>
        <w:t xml:space="preserve">Ministerieel Besluit van 15 september 2015 tot toekenning van een subsidie voor </w:t>
      </w:r>
      <w:proofErr w:type="spellStart"/>
      <w:r w:rsidRPr="00E6515F">
        <w:rPr>
          <w:lang w:val="nl-BE"/>
        </w:rPr>
        <w:t>testing</w:t>
      </w:r>
      <w:proofErr w:type="spellEnd"/>
      <w:r w:rsidRPr="00E6515F">
        <w:rPr>
          <w:lang w:val="nl-BE"/>
        </w:rPr>
        <w:t xml:space="preserve"> van het zorgzwaarte-instrument voor minderjarigen</w:t>
      </w:r>
    </w:p>
    <w:p w:rsidR="00C17340" w:rsidRPr="00E6515F" w:rsidRDefault="00C17340" w:rsidP="00C17340">
      <w:pPr>
        <w:rPr>
          <w:lang w:val="nl-BE"/>
        </w:rPr>
      </w:pPr>
    </w:p>
    <w:p w:rsidR="00C17340" w:rsidRPr="00E6515F" w:rsidRDefault="00C17340" w:rsidP="00C17340">
      <w:pPr>
        <w:rPr>
          <w:b/>
          <w:lang w:val="nl-BE"/>
        </w:rPr>
      </w:pPr>
      <w:r w:rsidRPr="00E6515F">
        <w:rPr>
          <w:b/>
          <w:lang w:val="nl-BE"/>
        </w:rPr>
        <w:t>December</w:t>
      </w:r>
    </w:p>
    <w:p w:rsidR="00C17340" w:rsidRPr="00E6515F" w:rsidRDefault="00C17340" w:rsidP="00C17340">
      <w:pPr>
        <w:rPr>
          <w:lang w:val="nl-BE"/>
        </w:rPr>
      </w:pPr>
      <w:r w:rsidRPr="00E6515F">
        <w:rPr>
          <w:lang w:val="nl-BE"/>
        </w:rPr>
        <w:t>Belgisch Staatsblad 14.12.2015 , blz. 73665</w:t>
      </w:r>
    </w:p>
    <w:p w:rsidR="00C17340" w:rsidRPr="00E6515F" w:rsidRDefault="00C17340" w:rsidP="00C17340">
      <w:pPr>
        <w:rPr>
          <w:lang w:val="nl-BE"/>
        </w:rPr>
      </w:pPr>
      <w:r w:rsidRPr="00E6515F">
        <w:rPr>
          <w:lang w:val="nl-BE"/>
        </w:rPr>
        <w:t>Besluit van de Vlaamse Regering van 27 november 2015 houdende de wijziging van diverse bepalingen van het besluit van de Vlaamse Regering van 30 september 2011 betreffende de erkenning en subsidiëring van diensten Ondersteuningsplan en een mentororganisatie voor het voortraject van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29.12.2015 , blz. 80090</w:t>
      </w:r>
    </w:p>
    <w:p w:rsidR="00C17340" w:rsidRPr="00E6515F" w:rsidRDefault="00C17340" w:rsidP="00C17340">
      <w:pPr>
        <w:rPr>
          <w:lang w:val="nl-BE"/>
        </w:rPr>
      </w:pPr>
      <w:r w:rsidRPr="00E6515F">
        <w:rPr>
          <w:lang w:val="nl-BE"/>
        </w:rPr>
        <w:t>Besluit van de Vlaamse Regering van 27 november 2015 tot wijziging van het besluit van de Vlaamse Regering van 24 juli 1991 betreffende de indiening en afhandeling van de aanvraag tot ondersteuning bij het Vlaams Agentschap voor Personen met een Handicap, wat betreft de vergoedingen voor de multidisciplinaire teams</w:t>
      </w:r>
    </w:p>
    <w:p w:rsidR="00C17340" w:rsidRPr="00E6515F" w:rsidRDefault="00C17340" w:rsidP="00C17340">
      <w:pPr>
        <w:rPr>
          <w:lang w:val="nl-BE"/>
        </w:rPr>
      </w:pPr>
    </w:p>
    <w:p w:rsidR="00C17340" w:rsidRPr="00E6515F" w:rsidRDefault="00C17340" w:rsidP="00C17340">
      <w:pPr>
        <w:rPr>
          <w:b/>
          <w:u w:val="single"/>
          <w:lang w:val="nl-BE"/>
        </w:rPr>
      </w:pPr>
      <w:r w:rsidRPr="00E6515F">
        <w:rPr>
          <w:b/>
          <w:u w:val="single"/>
          <w:lang w:val="nl-BE"/>
        </w:rPr>
        <w:t>2016</w:t>
      </w:r>
    </w:p>
    <w:p w:rsidR="00C17340" w:rsidRPr="00E6515F" w:rsidRDefault="00C17340" w:rsidP="00C17340">
      <w:pPr>
        <w:rPr>
          <w:b/>
          <w:u w:val="single"/>
          <w:lang w:val="nl-BE"/>
        </w:rPr>
      </w:pPr>
    </w:p>
    <w:p w:rsidR="00C17340" w:rsidRPr="00E6515F" w:rsidRDefault="00C17340" w:rsidP="00C17340">
      <w:pPr>
        <w:rPr>
          <w:b/>
          <w:lang w:val="nl-BE"/>
        </w:rPr>
      </w:pPr>
      <w:r w:rsidRPr="00E6515F">
        <w:rPr>
          <w:b/>
          <w:lang w:val="nl-BE"/>
        </w:rPr>
        <w:lastRenderedPageBreak/>
        <w:t>Januari</w:t>
      </w:r>
    </w:p>
    <w:p w:rsidR="00C17340" w:rsidRPr="00E6515F" w:rsidRDefault="00C17340" w:rsidP="00C17340">
      <w:pPr>
        <w:rPr>
          <w:lang w:val="nl-BE"/>
        </w:rPr>
      </w:pPr>
      <w:r w:rsidRPr="00E6515F">
        <w:rPr>
          <w:lang w:val="nl-BE"/>
        </w:rPr>
        <w:t>Belgisch Staatsblad 14.01.2016 , blz. 1192</w:t>
      </w:r>
    </w:p>
    <w:p w:rsidR="00C17340" w:rsidRPr="00E6515F" w:rsidRDefault="00C17340" w:rsidP="00C17340">
      <w:pPr>
        <w:rPr>
          <w:lang w:val="nl-BE"/>
        </w:rPr>
      </w:pPr>
      <w:r w:rsidRPr="00E6515F">
        <w:rPr>
          <w:lang w:val="nl-BE"/>
        </w:rPr>
        <w:t>Besluit van de Vlaamse Regering van 27 november 2015 tot vaststelling van de regels voor het bepalen van een bedrag voor bewijsbare uitgaven en een bedrag voor niet-bewijsbare uitgaven in het kader van de toepassing van het cumulverbod en de verschilregel</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15.01.2016 , blz. 1427</w:t>
      </w:r>
    </w:p>
    <w:p w:rsidR="00C17340" w:rsidRPr="00E6515F" w:rsidRDefault="00C17340" w:rsidP="00C17340">
      <w:pPr>
        <w:rPr>
          <w:lang w:val="nl-BE"/>
        </w:rPr>
      </w:pPr>
      <w:r w:rsidRPr="00E6515F">
        <w:rPr>
          <w:lang w:val="nl-BE"/>
        </w:rPr>
        <w:t>Besluit van de Vlaamse Regering van 27 november 2015 over de indiening en de afhandeling van de aanvraag van een budget voor niet-rechtstreeks toegankelijke zorg en ondersteuning voor meerderjarige personen met een handicap en over de terbeschikkingstelling van dat budget</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26.01.2016 , blz. 6018</w:t>
      </w:r>
    </w:p>
    <w:p w:rsidR="00C17340" w:rsidRPr="00E6515F" w:rsidRDefault="00C17340" w:rsidP="00C17340">
      <w:pPr>
        <w:rPr>
          <w:lang w:val="nl-BE"/>
        </w:rPr>
      </w:pPr>
      <w:r w:rsidRPr="00E6515F">
        <w:rPr>
          <w:lang w:val="nl-BE"/>
        </w:rPr>
        <w:t>Ministerieel Besluit van 18 december 2015 tot vaststelling van het lidgeld dat bijstandsorganisaties aanrekenen aan budgethouders in het kader van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27.01.2016 , blz. 6131</w:t>
      </w:r>
    </w:p>
    <w:p w:rsidR="00C17340" w:rsidRPr="00E6515F" w:rsidRDefault="00C17340" w:rsidP="00C17340">
      <w:pPr>
        <w:rPr>
          <w:lang w:val="nl-BE"/>
        </w:rPr>
      </w:pPr>
      <w:r w:rsidRPr="00E6515F">
        <w:rPr>
          <w:lang w:val="nl-BE"/>
        </w:rPr>
        <w:t>Besluit van de Vlaamse Regering van 11 december 2015 houdende de vergunningsvoorwaarden en de subsidieregeling van bijstandsorganisaties om budgethouders bij te staan in het kader van persoonsvolgende financiering</w:t>
      </w:r>
    </w:p>
    <w:p w:rsidR="00C17340" w:rsidRPr="00E6515F" w:rsidRDefault="00C17340" w:rsidP="00C17340">
      <w:pPr>
        <w:rPr>
          <w:lang w:val="nl-BE"/>
        </w:rPr>
      </w:pPr>
    </w:p>
    <w:p w:rsidR="00C17340" w:rsidRPr="00E6515F" w:rsidRDefault="00C17340" w:rsidP="00C17340">
      <w:pPr>
        <w:rPr>
          <w:b/>
          <w:lang w:val="nl-BE"/>
        </w:rPr>
      </w:pPr>
      <w:r w:rsidRPr="00E6515F">
        <w:rPr>
          <w:b/>
          <w:lang w:val="nl-BE"/>
        </w:rPr>
        <w:t>Februari</w:t>
      </w:r>
    </w:p>
    <w:p w:rsidR="00C17340" w:rsidRPr="00E6515F" w:rsidRDefault="00C17340" w:rsidP="00C17340">
      <w:pPr>
        <w:rPr>
          <w:lang w:val="nl-BE"/>
        </w:rPr>
      </w:pPr>
      <w:r w:rsidRPr="00E6515F">
        <w:rPr>
          <w:lang w:val="nl-BE"/>
        </w:rPr>
        <w:t>Belgisch Staatsblad 02.02.2016 , blz. 7668</w:t>
      </w:r>
    </w:p>
    <w:p w:rsidR="00C17340" w:rsidRPr="00E6515F" w:rsidRDefault="00C17340" w:rsidP="00C17340">
      <w:pPr>
        <w:rPr>
          <w:lang w:val="nl-BE"/>
        </w:rPr>
      </w:pPr>
      <w:r w:rsidRPr="00E6515F">
        <w:rPr>
          <w:lang w:val="nl-BE"/>
        </w:rPr>
        <w:t>Ministerieel Besluit van 19 januari 2016 betreffende de bepaling van het L-urencontingent voor het beleidsdomein Welzijn, Volksgezondheid en Gezin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05.02.2016 , blz. 8354</w:t>
      </w:r>
    </w:p>
    <w:p w:rsidR="00C17340" w:rsidRPr="00E6515F" w:rsidRDefault="00C17340" w:rsidP="00C17340">
      <w:pPr>
        <w:rPr>
          <w:lang w:val="nl-BE"/>
        </w:rPr>
      </w:pPr>
      <w:r w:rsidRPr="00E6515F">
        <w:rPr>
          <w:lang w:val="nl-BE"/>
        </w:rPr>
        <w:t xml:space="preserve">Ministerieel Besluit van 21 december 2015 tot toekenning van een subsidie voor de </w:t>
      </w:r>
      <w:proofErr w:type="spellStart"/>
      <w:r w:rsidRPr="00E6515F">
        <w:rPr>
          <w:lang w:val="nl-BE"/>
        </w:rPr>
        <w:t>testing</w:t>
      </w:r>
      <w:proofErr w:type="spellEnd"/>
      <w:r w:rsidRPr="00E6515F">
        <w:rPr>
          <w:lang w:val="nl-BE"/>
        </w:rPr>
        <w:t xml:space="preserve"> van de instrumenten voor de aanvraag van niet-rechtstreeks toegankelijke zorg en ondersteuning van meerderjarige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11.02.2016 , blz. 10935</w:t>
      </w:r>
    </w:p>
    <w:p w:rsidR="00C17340" w:rsidRPr="00E6515F" w:rsidRDefault="00C17340" w:rsidP="00C17340">
      <w:pPr>
        <w:rPr>
          <w:lang w:val="nl-BE"/>
        </w:rPr>
      </w:pPr>
      <w:r w:rsidRPr="00E6515F">
        <w:rPr>
          <w:lang w:val="nl-BE"/>
        </w:rPr>
        <w:t>Besluit van de Vlaamse Regering van 15 januari 2016 houdende de vaststelling van overkoepelende regels voor het centraal tolkenbureau voor de beleidsdomeinen Onderwijs en Welzijn, Volksgezondheid en Gezin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16.02.2016 , blz. 11632</w:t>
      </w:r>
    </w:p>
    <w:p w:rsidR="00C17340" w:rsidRPr="00E6515F" w:rsidRDefault="00C17340" w:rsidP="00C17340">
      <w:pPr>
        <w:rPr>
          <w:lang w:val="nl-BE"/>
        </w:rPr>
      </w:pPr>
      <w:r w:rsidRPr="00E6515F">
        <w:rPr>
          <w:lang w:val="nl-BE"/>
        </w:rPr>
        <w:t>Ministerieel Besluit van 1 februari 2016 tot toekenning van een aanvullende delegatie van beslissingsbevoegdheid aan het hoofd van het Vlaams Agentschap voor Personen met een Handicap</w:t>
      </w:r>
    </w:p>
    <w:p w:rsidR="00C17340" w:rsidRPr="00E6515F" w:rsidRDefault="00C17340" w:rsidP="00C17340">
      <w:pPr>
        <w:rPr>
          <w:lang w:val="nl-BE"/>
        </w:rPr>
      </w:pPr>
    </w:p>
    <w:p w:rsidR="00C17340" w:rsidRPr="00E6515F" w:rsidRDefault="00C17340" w:rsidP="00C17340">
      <w:pPr>
        <w:rPr>
          <w:b/>
          <w:lang w:val="nl-BE"/>
        </w:rPr>
      </w:pPr>
      <w:r w:rsidRPr="00E6515F">
        <w:rPr>
          <w:b/>
          <w:lang w:val="nl-BE"/>
        </w:rPr>
        <w:t>Maart</w:t>
      </w:r>
    </w:p>
    <w:p w:rsidR="00C17340" w:rsidRPr="00E6515F" w:rsidRDefault="00C17340" w:rsidP="00C17340">
      <w:pPr>
        <w:rPr>
          <w:lang w:val="nl-BE"/>
        </w:rPr>
      </w:pPr>
      <w:r w:rsidRPr="00E6515F">
        <w:rPr>
          <w:lang w:val="nl-BE"/>
        </w:rPr>
        <w:t>Belgisch Staatsblad 22.03.2016 , blz. 19740</w:t>
      </w:r>
    </w:p>
    <w:p w:rsidR="00C17340" w:rsidRPr="00E6515F" w:rsidRDefault="00C17340" w:rsidP="00C17340">
      <w:pPr>
        <w:rPr>
          <w:lang w:val="nl-BE"/>
        </w:rPr>
      </w:pPr>
      <w:r w:rsidRPr="00E6515F">
        <w:rPr>
          <w:lang w:val="nl-BE"/>
        </w:rPr>
        <w:t xml:space="preserve">Besluit van de Vlaamse Regering van 19 februari 2016 tot  wijziging van het besluit van de Vlaamse Regering van 17 december 1996 betreffende de erkenning en subsidiëring van </w:t>
      </w:r>
      <w:r w:rsidRPr="00E6515F">
        <w:rPr>
          <w:lang w:val="nl-BE"/>
        </w:rPr>
        <w:lastRenderedPageBreak/>
        <w:t>thuisbegeleidingsdiensten voor personen met een handicap en van het besluit van de Vlaamse Regering van 22 februari 2013 betreffende rechtstreeks toegankelijke hulp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April</w:t>
      </w:r>
    </w:p>
    <w:p w:rsidR="00C17340" w:rsidRPr="00E6515F" w:rsidRDefault="00C17340" w:rsidP="00C17340">
      <w:pPr>
        <w:rPr>
          <w:lang w:val="nl-BE"/>
        </w:rPr>
      </w:pPr>
      <w:r w:rsidRPr="00E6515F">
        <w:rPr>
          <w:lang w:val="nl-BE"/>
        </w:rPr>
        <w:t>Belgisch Staatsblad 12.04.2016 , blz. 23592</w:t>
      </w:r>
    </w:p>
    <w:p w:rsidR="00C17340" w:rsidRPr="00E6515F" w:rsidRDefault="00C17340" w:rsidP="00C17340">
      <w:pPr>
        <w:rPr>
          <w:lang w:val="nl-BE"/>
        </w:rPr>
      </w:pPr>
      <w:r w:rsidRPr="00E6515F">
        <w:rPr>
          <w:lang w:val="nl-BE"/>
        </w:rPr>
        <w:t>Besluit van de Vlaamse Regering van 26 februari 2016 houdende erkenning en subsidiëring van multifunctionele centra voor minderjarige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12.04.2016 , blz. 23609</w:t>
      </w:r>
    </w:p>
    <w:p w:rsidR="00C17340" w:rsidRPr="00E6515F" w:rsidRDefault="00C17340" w:rsidP="00C17340">
      <w:pPr>
        <w:rPr>
          <w:lang w:val="nl-BE"/>
        </w:rPr>
      </w:pPr>
      <w:r w:rsidRPr="00E6515F">
        <w:rPr>
          <w:lang w:val="nl-BE"/>
        </w:rPr>
        <w:t>Besluit van de Vlaamse Regering van 26 februari 2016 houdende erkenning en subsidiëring van flexibele aanbodcentra voor meerderjarige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20.04.2016 , blz. 27217</w:t>
      </w:r>
    </w:p>
    <w:p w:rsidR="00C17340" w:rsidRPr="00E6515F" w:rsidRDefault="00C17340" w:rsidP="00C17340">
      <w:pPr>
        <w:rPr>
          <w:lang w:val="nl-BE"/>
        </w:rPr>
      </w:pPr>
      <w:r w:rsidRPr="00E6515F">
        <w:rPr>
          <w:lang w:val="nl-BE"/>
        </w:rPr>
        <w:t>Besluit van de Vlaamse Regering van 4 maart 2016 over de oprichting van een regionale prioriteitencommissie, de toekenning van prioriteitengroepen, de vaststelling van de maatschappelijke noodzaak , de toeleiding naar ondersteuning, de afstemming en planning in het kader van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b/>
          <w:lang w:val="nl-BE"/>
        </w:rPr>
        <w:t>Juli</w:t>
      </w:r>
    </w:p>
    <w:p w:rsidR="00C17340" w:rsidRPr="00E6515F" w:rsidRDefault="00C17340" w:rsidP="00C17340">
      <w:pPr>
        <w:rPr>
          <w:lang w:val="nl-BE"/>
        </w:rPr>
      </w:pPr>
      <w:r w:rsidRPr="00E6515F">
        <w:rPr>
          <w:lang w:val="nl-BE"/>
        </w:rPr>
        <w:t>Belgisch Staatsblad 08.07.2016 , blz. 42749</w:t>
      </w:r>
    </w:p>
    <w:p w:rsidR="00C17340" w:rsidRPr="00E6515F" w:rsidRDefault="00C17340" w:rsidP="00C17340">
      <w:pPr>
        <w:rPr>
          <w:lang w:val="nl-BE"/>
        </w:rPr>
      </w:pPr>
      <w:r w:rsidRPr="00E6515F">
        <w:rPr>
          <w:lang w:val="nl-BE"/>
        </w:rPr>
        <w:t>Besluit van de Vlaamse Regering van 27 mei 2016 over de adviescommissie bij het Vlaams Agentschap voor Personen met een Handicap die belast is met het verlenen van advies over de verzoeken tot heroverweging</w:t>
      </w:r>
    </w:p>
    <w:p w:rsidR="00C17340" w:rsidRPr="00E6515F" w:rsidRDefault="00C17340" w:rsidP="00C17340">
      <w:pPr>
        <w:rPr>
          <w:lang w:val="nl-BE"/>
        </w:rPr>
      </w:pPr>
    </w:p>
    <w:p w:rsidR="00C17340" w:rsidRPr="00E6515F" w:rsidRDefault="00C17340" w:rsidP="00C17340">
      <w:pPr>
        <w:rPr>
          <w:lang w:val="nl-BE"/>
        </w:rPr>
      </w:pPr>
      <w:r w:rsidRPr="00E6515F">
        <w:rPr>
          <w:b/>
          <w:lang w:val="nl-BE"/>
        </w:rPr>
        <w:t>Augustus</w:t>
      </w:r>
    </w:p>
    <w:p w:rsidR="00C17340" w:rsidRPr="00E6515F" w:rsidRDefault="00C17340" w:rsidP="00C17340">
      <w:pPr>
        <w:rPr>
          <w:lang w:val="nl-BE"/>
        </w:rPr>
      </w:pPr>
      <w:r w:rsidRPr="00E6515F">
        <w:rPr>
          <w:lang w:val="nl-BE"/>
        </w:rPr>
        <w:t>Belgisch Staatsblad 12.08.2016 , blz. 52068</w:t>
      </w:r>
    </w:p>
    <w:p w:rsidR="00C17340" w:rsidRPr="00E6515F" w:rsidRDefault="00C17340" w:rsidP="00C17340">
      <w:pPr>
        <w:rPr>
          <w:lang w:val="nl-BE"/>
        </w:rPr>
      </w:pPr>
      <w:r w:rsidRPr="00E6515F">
        <w:rPr>
          <w:lang w:val="nl-BE"/>
        </w:rPr>
        <w:t>Besluit van de Vlaamse Regering van 24 juni 2016 houdende het vergunnen van aanbieders van niet-rechtstreeks toegankelijke zorg en ondersteuning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16.08.2016 , blz. 52208</w:t>
      </w:r>
    </w:p>
    <w:p w:rsidR="00C17340" w:rsidRPr="00E6515F" w:rsidRDefault="00C17340" w:rsidP="00C17340">
      <w:pPr>
        <w:rPr>
          <w:lang w:val="nl-BE"/>
        </w:rPr>
      </w:pPr>
      <w:r w:rsidRPr="00E6515F">
        <w:rPr>
          <w:lang w:val="nl-BE"/>
        </w:rPr>
        <w:t xml:space="preserve">Besluit van de Vlaamse Regering van 24 juni 2016 over de besteding van het budget voor niet-rechtstreeks toegankelijke zorg en ondersteuning voor meerderjarige personen met een handicap en over </w:t>
      </w:r>
      <w:proofErr w:type="spellStart"/>
      <w:r w:rsidRPr="00E6515F">
        <w:rPr>
          <w:lang w:val="nl-BE"/>
        </w:rPr>
        <w:t>organisatiegebonden</w:t>
      </w:r>
      <w:proofErr w:type="spellEnd"/>
      <w:r w:rsidRPr="00E6515F">
        <w:rPr>
          <w:lang w:val="nl-BE"/>
        </w:rPr>
        <w:t xml:space="preserve"> kosten voor vergunde zorgaanbieders</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22.08.2016 , blz. 52770</w:t>
      </w:r>
    </w:p>
    <w:p w:rsidR="00C17340" w:rsidRPr="00E6515F" w:rsidRDefault="00C17340" w:rsidP="00C17340">
      <w:pPr>
        <w:rPr>
          <w:lang w:val="nl-BE"/>
        </w:rPr>
      </w:pPr>
      <w:r w:rsidRPr="00E6515F">
        <w:rPr>
          <w:lang w:val="nl-BE"/>
        </w:rPr>
        <w:t>Ministerieel Besluit van 1 juli 2016 tot vaststelling van het lidgeld dat bijstandsorganisaties aanrekenen aan budgethouders in het kader van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26.08.2016 , blz. 58431</w:t>
      </w:r>
    </w:p>
    <w:p w:rsidR="00C17340" w:rsidRPr="00E6515F" w:rsidRDefault="00C17340" w:rsidP="00C17340">
      <w:pPr>
        <w:rPr>
          <w:lang w:val="nl-BE"/>
        </w:rPr>
      </w:pPr>
      <w:r w:rsidRPr="00E6515F">
        <w:rPr>
          <w:lang w:val="nl-BE"/>
        </w:rPr>
        <w:t>Besluit van de Vlaamse Regering van 24 juni 2016 betreffende de besteding van persoonsvolgende budgetten die in het kader van een noodsituatie en spoedprocedure ter beschikking worden gesteld in de periode van 1 april 2016 tot en met 31 augustus 2016</w:t>
      </w:r>
    </w:p>
    <w:p w:rsidR="00C17340" w:rsidRPr="00E6515F" w:rsidRDefault="00C17340" w:rsidP="00C17340">
      <w:pPr>
        <w:rPr>
          <w:lang w:val="nl-BE"/>
        </w:rPr>
      </w:pPr>
    </w:p>
    <w:p w:rsidR="00C17340" w:rsidRPr="00E6515F" w:rsidRDefault="00C17340" w:rsidP="00C17340">
      <w:pPr>
        <w:rPr>
          <w:lang w:val="nl-BE"/>
        </w:rPr>
      </w:pPr>
      <w:r w:rsidRPr="00E6515F">
        <w:rPr>
          <w:b/>
          <w:lang w:val="nl-BE"/>
        </w:rPr>
        <w:lastRenderedPageBreak/>
        <w:t>September</w:t>
      </w:r>
      <w:r w:rsidRPr="00E6515F">
        <w:rPr>
          <w:lang w:val="nl-BE"/>
        </w:rPr>
        <w:t xml:space="preserve"> </w:t>
      </w:r>
    </w:p>
    <w:p w:rsidR="00C17340" w:rsidRPr="00E6515F" w:rsidRDefault="00C17340" w:rsidP="00C17340">
      <w:pPr>
        <w:rPr>
          <w:lang w:val="nl-BE"/>
        </w:rPr>
      </w:pPr>
      <w:r w:rsidRPr="00E6515F">
        <w:rPr>
          <w:lang w:val="nl-BE"/>
        </w:rPr>
        <w:t>Belgisch Staatsblad 01.09.2016 , blz. 59159</w:t>
      </w:r>
    </w:p>
    <w:p w:rsidR="00C17340" w:rsidRPr="00E6515F" w:rsidRDefault="00C17340" w:rsidP="00C17340">
      <w:pPr>
        <w:rPr>
          <w:lang w:val="nl-BE"/>
        </w:rPr>
      </w:pPr>
      <w:r w:rsidRPr="00E6515F">
        <w:rPr>
          <w:lang w:val="nl-BE"/>
        </w:rPr>
        <w:t>Besluit van de Vlaamse Regering van 10 juni 2016 houdende de transitie van personen met een handicap met een actieve zorgvraag naar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07.09.2016 , blz. 60256</w:t>
      </w:r>
    </w:p>
    <w:p w:rsidR="00C17340" w:rsidRPr="00E6515F" w:rsidRDefault="00C17340" w:rsidP="00C17340">
      <w:pPr>
        <w:rPr>
          <w:lang w:val="nl-BE"/>
        </w:rPr>
      </w:pPr>
      <w:r w:rsidRPr="00E6515F">
        <w:rPr>
          <w:lang w:val="nl-BE"/>
        </w:rPr>
        <w:t>Besluit van de Vlaamse Regering van 24 juni 2016 houdende de transitie van personen met een handicap die gebruikmaken van een persoonlijke-assistentiebudget of een persoonsgebonden budget of die ondersteund worden door een flexibel aanbodcentrum voor meerderjarigen of een thuisbegeleidingsdienst, naar  persoonsvolgende financiering en houdende de transitie van de flexibele aanbodcentra voor meerderjarigen en de thuisbegeleidingsdiensten</w:t>
      </w:r>
    </w:p>
    <w:p w:rsidR="00C17340" w:rsidRPr="00E6515F" w:rsidRDefault="00C17340" w:rsidP="00C17340">
      <w:pPr>
        <w:rPr>
          <w:lang w:val="nl-BE"/>
        </w:rPr>
      </w:pPr>
    </w:p>
    <w:p w:rsidR="00C17340" w:rsidRPr="00E6515F" w:rsidRDefault="00C17340" w:rsidP="00C17340">
      <w:pPr>
        <w:rPr>
          <w:lang w:val="nl-BE"/>
        </w:rPr>
      </w:pPr>
      <w:r w:rsidRPr="00E6515F">
        <w:rPr>
          <w:b/>
          <w:lang w:val="nl-BE"/>
        </w:rPr>
        <w:t>Oktober</w:t>
      </w:r>
    </w:p>
    <w:p w:rsidR="00C17340" w:rsidRPr="00E6515F" w:rsidRDefault="00C17340" w:rsidP="00C17340">
      <w:pPr>
        <w:rPr>
          <w:lang w:val="nl-BE"/>
        </w:rPr>
      </w:pPr>
      <w:r w:rsidRPr="00E6515F">
        <w:rPr>
          <w:lang w:val="nl-BE"/>
        </w:rPr>
        <w:t>Belgisch Staatsblad 25.10.2016 , blz. 71737</w:t>
      </w:r>
    </w:p>
    <w:p w:rsidR="00C17340" w:rsidRPr="00E6515F" w:rsidRDefault="00C17340" w:rsidP="00C17340">
      <w:pPr>
        <w:rPr>
          <w:lang w:val="nl-BE"/>
        </w:rPr>
      </w:pPr>
      <w:r w:rsidRPr="00E6515F">
        <w:rPr>
          <w:lang w:val="nl-BE"/>
        </w:rPr>
        <w:t>Ministerieel Besluit van 10 oktober 2016 tot inwerkingstelling van de automatische terbeschikkingstelling van persoonsvolgende budgetten na een noodsituatie</w:t>
      </w:r>
    </w:p>
    <w:p w:rsidR="00C17340" w:rsidRPr="00E6515F" w:rsidRDefault="00C17340" w:rsidP="00C17340">
      <w:pPr>
        <w:rPr>
          <w:lang w:val="nl-BE"/>
        </w:rPr>
      </w:pPr>
    </w:p>
    <w:p w:rsidR="00C17340" w:rsidRPr="00E6515F" w:rsidRDefault="00C17340" w:rsidP="00C17340">
      <w:pPr>
        <w:rPr>
          <w:lang w:val="nl-BE"/>
        </w:rPr>
      </w:pPr>
      <w:r w:rsidRPr="00E6515F">
        <w:rPr>
          <w:b/>
          <w:lang w:val="nl-BE"/>
        </w:rPr>
        <w:t>November</w:t>
      </w:r>
    </w:p>
    <w:p w:rsidR="00C17340" w:rsidRPr="00E6515F" w:rsidRDefault="00C17340" w:rsidP="00C17340">
      <w:pPr>
        <w:rPr>
          <w:lang w:val="nl-BE"/>
        </w:rPr>
      </w:pPr>
      <w:r w:rsidRPr="00E6515F">
        <w:rPr>
          <w:lang w:val="nl-BE"/>
        </w:rPr>
        <w:t>Belgisch Staatsblad 10.11.2016 , blz. 74552</w:t>
      </w:r>
    </w:p>
    <w:p w:rsidR="00C17340" w:rsidRPr="00E6515F" w:rsidRDefault="00C17340" w:rsidP="00C17340">
      <w:pPr>
        <w:rPr>
          <w:lang w:val="nl-BE"/>
        </w:rPr>
      </w:pPr>
      <w:r w:rsidRPr="00E6515F">
        <w:rPr>
          <w:lang w:val="nl-BE"/>
        </w:rPr>
        <w:t>Ministerieel Besluit van 14 oktober 2016 houdende vervanging van de refertelijst inzake individuele materiële bijstand</w:t>
      </w:r>
    </w:p>
    <w:p w:rsidR="00C17340" w:rsidRPr="00E6515F" w:rsidRDefault="00C17340" w:rsidP="00C17340">
      <w:pPr>
        <w:rPr>
          <w:lang w:val="nl-BE"/>
        </w:rPr>
      </w:pPr>
    </w:p>
    <w:p w:rsidR="00C17340" w:rsidRPr="00E6515F" w:rsidRDefault="00C17340" w:rsidP="00C17340">
      <w:pPr>
        <w:rPr>
          <w:lang w:val="nl-BE"/>
        </w:rPr>
      </w:pPr>
      <w:r w:rsidRPr="00E6515F">
        <w:rPr>
          <w:b/>
          <w:lang w:val="nl-BE"/>
        </w:rPr>
        <w:t>December</w:t>
      </w:r>
    </w:p>
    <w:p w:rsidR="00C17340" w:rsidRPr="00E6515F" w:rsidRDefault="00C17340" w:rsidP="00C17340">
      <w:pPr>
        <w:rPr>
          <w:lang w:val="nl-BE"/>
        </w:rPr>
      </w:pPr>
      <w:r w:rsidRPr="00E6515F">
        <w:rPr>
          <w:lang w:val="nl-BE"/>
        </w:rPr>
        <w:t>Belgisch Staatsblad 07.12.2016 , blz. 80369</w:t>
      </w:r>
    </w:p>
    <w:p w:rsidR="00C17340" w:rsidRPr="00E6515F" w:rsidRDefault="00C17340" w:rsidP="00C17340">
      <w:pPr>
        <w:rPr>
          <w:lang w:val="nl-BE"/>
        </w:rPr>
      </w:pPr>
      <w:r w:rsidRPr="00E6515F">
        <w:rPr>
          <w:lang w:val="nl-BE"/>
        </w:rPr>
        <w:t>Ministerieel Besluit van 21 oktober 2016 over de objectivering van de nood aan ondersteuning in het kader van een aanvraag van een persoonsvolgend budget</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30.12.2016 , blz. 92106</w:t>
      </w:r>
    </w:p>
    <w:p w:rsidR="00C17340" w:rsidRPr="00E6515F" w:rsidRDefault="00C17340" w:rsidP="00C17340">
      <w:pPr>
        <w:rPr>
          <w:lang w:val="nl-BE"/>
        </w:rPr>
      </w:pPr>
      <w:r w:rsidRPr="00E6515F">
        <w:rPr>
          <w:lang w:val="nl-BE"/>
        </w:rPr>
        <w:t>Besluit van de Vlaamse Regering van 23 december 2016 tot wijziging van het besluit van de Vlaamse Regering van 24 juni 2016 houdende de transitie van personen met een handicap die gebruikmaken van een persoonlijke-assistentiebudget of een persoonsgebonden budget of die ondersteund worden door een flexibel aanbodcentrum voor meerderjarigen of een thuisbegeleidingsdienst, naar  persoonsvolgende financiering en houdende de transitie van de flexibele aanbodcentra voor meerderjarigen en de thuisbegeleidingsdiensten</w:t>
      </w:r>
    </w:p>
    <w:p w:rsidR="00C17340" w:rsidRPr="00E6515F" w:rsidRDefault="00C17340" w:rsidP="00C17340">
      <w:pPr>
        <w:rPr>
          <w:lang w:val="nl-BE"/>
        </w:rPr>
      </w:pPr>
    </w:p>
    <w:p w:rsidR="00C17340" w:rsidRPr="00E6515F" w:rsidRDefault="00C17340" w:rsidP="00C17340">
      <w:pPr>
        <w:rPr>
          <w:b/>
          <w:u w:val="single"/>
          <w:lang w:val="nl-BE"/>
        </w:rPr>
      </w:pPr>
      <w:r w:rsidRPr="00E6515F">
        <w:rPr>
          <w:b/>
          <w:u w:val="single"/>
          <w:lang w:val="nl-BE"/>
        </w:rPr>
        <w:t>2017</w:t>
      </w:r>
    </w:p>
    <w:p w:rsidR="00C17340" w:rsidRPr="00E6515F" w:rsidRDefault="00C17340" w:rsidP="00C17340">
      <w:pPr>
        <w:rPr>
          <w:lang w:val="nl-BE"/>
        </w:rPr>
      </w:pPr>
    </w:p>
    <w:p w:rsidR="00C17340" w:rsidRPr="00E6515F" w:rsidRDefault="00C17340" w:rsidP="00C17340">
      <w:pPr>
        <w:rPr>
          <w:lang w:val="nl-BE"/>
        </w:rPr>
      </w:pPr>
      <w:r w:rsidRPr="00E6515F">
        <w:rPr>
          <w:b/>
          <w:lang w:val="nl-BE"/>
        </w:rPr>
        <w:t>Januari</w:t>
      </w:r>
    </w:p>
    <w:p w:rsidR="00C17340" w:rsidRPr="00E6515F" w:rsidRDefault="00C17340" w:rsidP="00C17340">
      <w:pPr>
        <w:rPr>
          <w:lang w:val="nl-BE"/>
        </w:rPr>
      </w:pPr>
      <w:r w:rsidRPr="00E6515F">
        <w:rPr>
          <w:lang w:val="nl-BE"/>
        </w:rPr>
        <w:t>Belgisch Staatsblad 23.01.2017 , blz. 12550</w:t>
      </w:r>
    </w:p>
    <w:p w:rsidR="00C17340" w:rsidRPr="00E6515F" w:rsidRDefault="00C17340" w:rsidP="00C17340">
      <w:pPr>
        <w:rPr>
          <w:lang w:val="nl-BE"/>
        </w:rPr>
      </w:pPr>
      <w:r w:rsidRPr="00E6515F">
        <w:rPr>
          <w:lang w:val="nl-BE"/>
        </w:rPr>
        <w:t>Besluit van de Vlaamse Regering van 2 december 2016 over de toekenning van subsidies aan multidisciplinaire teams voor controleafnames van het zorgzwaarte-instrument</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26.01.2017 , blz. 13461</w:t>
      </w:r>
    </w:p>
    <w:p w:rsidR="00C17340" w:rsidRPr="00E6515F" w:rsidRDefault="00C17340" w:rsidP="00C17340">
      <w:pPr>
        <w:rPr>
          <w:lang w:val="nl-BE"/>
        </w:rPr>
      </w:pPr>
      <w:r w:rsidRPr="00E6515F">
        <w:rPr>
          <w:lang w:val="nl-BE"/>
        </w:rPr>
        <w:lastRenderedPageBreak/>
        <w:t>Besluit van de Vlaamse Regering van 16 december 2016 houdende de vaststelling van de procedure en de voorwaarden volgens welke het Vlaams Agentschap voor Personen met een Handicap bijzondere subsidies kan verlenen</w:t>
      </w:r>
    </w:p>
    <w:p w:rsidR="00C17340" w:rsidRPr="00E6515F" w:rsidRDefault="00C17340" w:rsidP="00C17340">
      <w:pPr>
        <w:rPr>
          <w:lang w:val="nl-BE"/>
        </w:rPr>
      </w:pPr>
    </w:p>
    <w:p w:rsidR="00C17340" w:rsidRPr="00E6515F" w:rsidRDefault="00C17340" w:rsidP="00C17340">
      <w:pPr>
        <w:rPr>
          <w:lang w:val="nl-BE"/>
        </w:rPr>
      </w:pPr>
      <w:r w:rsidRPr="00E6515F">
        <w:rPr>
          <w:b/>
          <w:lang w:val="nl-BE"/>
        </w:rPr>
        <w:t>Maart</w:t>
      </w:r>
    </w:p>
    <w:p w:rsidR="00C17340" w:rsidRPr="00E6515F" w:rsidRDefault="00C17340" w:rsidP="00C17340">
      <w:pPr>
        <w:rPr>
          <w:lang w:val="nl-BE"/>
        </w:rPr>
      </w:pPr>
      <w:r w:rsidRPr="00E6515F">
        <w:rPr>
          <w:lang w:val="nl-BE"/>
        </w:rPr>
        <w:t>Belgisch Staatsblad 10.03.2017 , blz. 35146</w:t>
      </w:r>
    </w:p>
    <w:p w:rsidR="00C17340" w:rsidRPr="00E6515F" w:rsidRDefault="00C17340" w:rsidP="00C17340">
      <w:pPr>
        <w:rPr>
          <w:lang w:val="nl-BE"/>
        </w:rPr>
      </w:pPr>
      <w:r w:rsidRPr="00E6515F">
        <w:rPr>
          <w:lang w:val="nl-BE"/>
        </w:rPr>
        <w:t>Besluit van de Vlaamse Regering van 10 februari 2017 over de regels betreffende de toekenning van een eenmalige subsidie aan verenigingen voor personen met een handicap om personen met een handicap te informeren over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20.03.2017 , blz. 37862</w:t>
      </w:r>
    </w:p>
    <w:p w:rsidR="00C17340" w:rsidRPr="00E6515F" w:rsidRDefault="00C17340" w:rsidP="00C17340">
      <w:pPr>
        <w:rPr>
          <w:lang w:val="nl-BE"/>
        </w:rPr>
      </w:pPr>
      <w:r w:rsidRPr="00E6515F">
        <w:rPr>
          <w:lang w:val="nl-BE"/>
        </w:rPr>
        <w:t>Ministerieel Besluit van 13 februari 2017 over de verdeling van de middelen voor de terbeschikkingstelling van budgetten voor niet rechtstreeks toegankelijke zorg en ondersteuning</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28.03.2017 , blz. 40209</w:t>
      </w:r>
    </w:p>
    <w:p w:rsidR="00C17340" w:rsidRPr="00E6515F" w:rsidRDefault="00C17340" w:rsidP="00C17340">
      <w:pPr>
        <w:rPr>
          <w:lang w:val="nl-BE"/>
        </w:rPr>
      </w:pPr>
      <w:r w:rsidRPr="00E6515F">
        <w:rPr>
          <w:lang w:val="nl-BE"/>
        </w:rPr>
        <w:t xml:space="preserve">Ministerieel Besluit van 20 februari 2017 tot regeling van de </w:t>
      </w:r>
      <w:proofErr w:type="spellStart"/>
      <w:r w:rsidRPr="00E6515F">
        <w:rPr>
          <w:lang w:val="nl-BE"/>
        </w:rPr>
        <w:t>dagondersteuning</w:t>
      </w:r>
      <w:proofErr w:type="spellEnd"/>
      <w:r w:rsidRPr="00E6515F">
        <w:rPr>
          <w:lang w:val="nl-BE"/>
        </w:rPr>
        <w:t xml:space="preserve"> die wordt geboden door </w:t>
      </w:r>
      <w:proofErr w:type="spellStart"/>
      <w:r w:rsidRPr="00E6515F">
        <w:rPr>
          <w:lang w:val="nl-BE"/>
        </w:rPr>
        <w:t>groenezorginitiatieven</w:t>
      </w:r>
      <w:proofErr w:type="spellEnd"/>
    </w:p>
    <w:p w:rsidR="00C17340" w:rsidRPr="00E6515F" w:rsidRDefault="00C17340" w:rsidP="00C17340">
      <w:pPr>
        <w:rPr>
          <w:lang w:val="nl-BE"/>
        </w:rPr>
      </w:pPr>
    </w:p>
    <w:p w:rsidR="00C17340" w:rsidRPr="00E6515F" w:rsidRDefault="00C17340" w:rsidP="00C17340">
      <w:pPr>
        <w:rPr>
          <w:lang w:val="nl-BE"/>
        </w:rPr>
      </w:pPr>
      <w:r w:rsidRPr="00E6515F">
        <w:rPr>
          <w:b/>
          <w:lang w:val="nl-BE"/>
        </w:rPr>
        <w:t>April</w:t>
      </w:r>
    </w:p>
    <w:p w:rsidR="00C17340" w:rsidRPr="00E6515F" w:rsidRDefault="00C17340" w:rsidP="00C17340">
      <w:pPr>
        <w:rPr>
          <w:lang w:val="nl-BE"/>
        </w:rPr>
      </w:pPr>
      <w:r w:rsidRPr="00E6515F">
        <w:rPr>
          <w:lang w:val="nl-BE"/>
        </w:rPr>
        <w:t>Belgisch Staatsblad 06.04.2017 , blz. 48749</w:t>
      </w:r>
    </w:p>
    <w:p w:rsidR="00C17340" w:rsidRPr="00E6515F" w:rsidRDefault="00C17340" w:rsidP="00C17340">
      <w:pPr>
        <w:rPr>
          <w:lang w:val="nl-BE"/>
        </w:rPr>
      </w:pPr>
      <w:r w:rsidRPr="00E6515F">
        <w:rPr>
          <w:lang w:val="nl-BE"/>
        </w:rPr>
        <w:t>Besluit van de Vlaamse Regering van 10 maart 2017 over persoonsvolgende middelen voor minderjarige personen met een handicap met dringende noden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06.04.2017 , blz. 48756</w:t>
      </w:r>
    </w:p>
    <w:p w:rsidR="00C17340" w:rsidRPr="00E6515F" w:rsidRDefault="00C17340" w:rsidP="00C17340">
      <w:pPr>
        <w:rPr>
          <w:lang w:val="nl-BE"/>
        </w:rPr>
      </w:pPr>
      <w:r w:rsidRPr="00E6515F">
        <w:rPr>
          <w:lang w:val="nl-BE"/>
        </w:rPr>
        <w:t>Besluit van de Vlaamse Regering van 17 maart 2017 houdende wijziging van het besluit van de Vlaamse Regering van 26 februari 2016 houdende de erkenning en subsidiëring van multifunctionele centra voor minderjarige personen met een handicap wat betreft de invoering van de persoonsvolgende financiering zoals ingevoerd bij het decreet van 25 april 2014 en tot opheffing van het besluit van de Vlaamse Regering van 7 september 2012 houdende vaststelling van maatregelen ter ondersteuning van kwetsbare jongvolwassen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21.04.2017 , blz. 52677</w:t>
      </w:r>
    </w:p>
    <w:p w:rsidR="00C17340" w:rsidRPr="00E6515F" w:rsidRDefault="00C17340" w:rsidP="00C17340">
      <w:pPr>
        <w:rPr>
          <w:lang w:val="nl-BE"/>
        </w:rPr>
      </w:pPr>
      <w:r w:rsidRPr="00E6515F">
        <w:rPr>
          <w:lang w:val="nl-BE"/>
        </w:rPr>
        <w:t>Besluit van de Vlaamse Regering van 17 maart 2017 houdende wijzigingen van het besluit van de Vlaamse Regering van 4 februari 2011 betreffende de algemene erkenningsvoorwaarden en kwaliteitszorg van voorzieningen voor opvang, behandeling en begeleiding van personen met een handicap wat betreft de nieuwe beschermingsstatus ingevoerd bij de wet van 17 maart 2013 tot hervorming van de regelingen inzake onbekwaamheid en tot instelling van een nieuwe beschermingsstatus die strookt met de menselijke waardigheid, en wat betreft de invoering van de persoonsvolgende financiering, ingevoerd bij het decreet van 25 april 2014</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25.04.2017 , blz. 53326</w:t>
      </w:r>
    </w:p>
    <w:p w:rsidR="00C17340" w:rsidRPr="00E6515F" w:rsidRDefault="00C17340" w:rsidP="00C17340">
      <w:pPr>
        <w:rPr>
          <w:lang w:val="nl-BE"/>
        </w:rPr>
      </w:pPr>
      <w:r w:rsidRPr="00E6515F">
        <w:rPr>
          <w:lang w:val="nl-BE"/>
        </w:rPr>
        <w:t xml:space="preserve">Besluit van de Vlaamse Regering van 24 maart 2017 houdende wijziging van het besluit van de Vlaamse Regering van 15 juni 1994 betreffende het beheer van gelden of goederen van personen met een handicap door beheerders of personeelsleden van voorzieningen bedoeld in het decreet </w:t>
      </w:r>
      <w:r w:rsidRPr="00E6515F">
        <w:rPr>
          <w:lang w:val="nl-BE"/>
        </w:rPr>
        <w:lastRenderedPageBreak/>
        <w:t>van 27 juni 1990 houdende oprichting van een Vlaams Fonds voor de Sociale Integratie van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Mei</w:t>
      </w:r>
    </w:p>
    <w:p w:rsidR="00C17340" w:rsidRPr="00E6515F" w:rsidRDefault="00C17340" w:rsidP="00C17340">
      <w:pPr>
        <w:rPr>
          <w:lang w:val="nl-BE"/>
        </w:rPr>
      </w:pPr>
      <w:r w:rsidRPr="00E6515F">
        <w:rPr>
          <w:lang w:val="nl-BE"/>
        </w:rPr>
        <w:t>Belgisch Staatsblad 31.05.2017 , blz. 60398</w:t>
      </w:r>
    </w:p>
    <w:p w:rsidR="00C17340" w:rsidRPr="00E6515F" w:rsidRDefault="00C17340" w:rsidP="00C17340">
      <w:pPr>
        <w:rPr>
          <w:lang w:val="nl-BE"/>
        </w:rPr>
      </w:pPr>
      <w:r w:rsidRPr="00E6515F">
        <w:rPr>
          <w:lang w:val="nl-BE"/>
        </w:rPr>
        <w:t>Ministerieel besluit van 11 april 2017 houdende de wijziging van het ministerieel besluit van 21 december 2011 houdende vaststelling van de subsidies voor contactorganisaties die optreden in het kader van zorgregie</w:t>
      </w:r>
    </w:p>
    <w:p w:rsidR="00C17340" w:rsidRPr="00E6515F" w:rsidRDefault="00C17340" w:rsidP="00C17340">
      <w:pPr>
        <w:rPr>
          <w:lang w:val="nl-BE"/>
        </w:rPr>
      </w:pPr>
    </w:p>
    <w:p w:rsidR="00C17340" w:rsidRPr="00E6515F" w:rsidRDefault="00C17340" w:rsidP="00C17340">
      <w:pPr>
        <w:rPr>
          <w:lang w:val="nl-BE"/>
        </w:rPr>
      </w:pPr>
      <w:r w:rsidRPr="00E6515F">
        <w:rPr>
          <w:b/>
          <w:lang w:val="nl-BE"/>
        </w:rPr>
        <w:t>Juni</w:t>
      </w:r>
    </w:p>
    <w:p w:rsidR="00C17340" w:rsidRPr="00E6515F" w:rsidRDefault="00C17340" w:rsidP="00C17340">
      <w:pPr>
        <w:rPr>
          <w:lang w:val="nl-BE"/>
        </w:rPr>
      </w:pPr>
      <w:r w:rsidRPr="00E6515F">
        <w:rPr>
          <w:lang w:val="nl-BE"/>
        </w:rPr>
        <w:t>Belgisch Staatsblad 20.06.2017 , blz. 66351</w:t>
      </w:r>
    </w:p>
    <w:p w:rsidR="00C17340" w:rsidRPr="00E6515F" w:rsidRDefault="00C17340" w:rsidP="00C17340">
      <w:pPr>
        <w:rPr>
          <w:lang w:val="nl-BE"/>
        </w:rPr>
      </w:pPr>
      <w:r w:rsidRPr="00E6515F">
        <w:rPr>
          <w:lang w:val="nl-BE"/>
        </w:rPr>
        <w:t>Besluit van de Vlaamse Regering van 12 mei 2017 tot wijziging van het besluit van de Vlaamse Regering van 30 september 2011 betreffende de erkenning en subsidiëring van diensten Ondersteuningsplan en een mentororganisatie voor het voortraject van personen met een handicap en het besluit van de Vlaamse Regering van 22 februari 2013 betreffende rechtstreeks toegankelijke hulp voor personen met een handicap en tot opheffing van het besluit van de Vlaamse Regering van 17 december 1996 betreffende de erkenning en subsidiëring van thuisbegeleidingsdiensten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27.06.2017 , blz. 68407</w:t>
      </w:r>
    </w:p>
    <w:p w:rsidR="00C17340" w:rsidRPr="00E6515F" w:rsidRDefault="00C17340" w:rsidP="00C17340">
      <w:pPr>
        <w:rPr>
          <w:lang w:val="nl-BE"/>
        </w:rPr>
      </w:pPr>
      <w:r w:rsidRPr="00E6515F">
        <w:rPr>
          <w:lang w:val="nl-BE"/>
        </w:rPr>
        <w:t>Besluit van de Vlaamse Regering van 24 februari 2017 houdende de wijziging van een aantal besluiten van de Vlaamse Regering over de invoering van persoonsvolgende financiering</w:t>
      </w:r>
    </w:p>
    <w:p w:rsidR="00C17340" w:rsidRPr="00E6515F" w:rsidRDefault="00C17340" w:rsidP="00C17340">
      <w:pPr>
        <w:rPr>
          <w:lang w:val="nl-BE"/>
        </w:rPr>
      </w:pPr>
    </w:p>
    <w:p w:rsidR="00C17340" w:rsidRPr="00E6515F" w:rsidRDefault="00C17340" w:rsidP="00C17340">
      <w:pPr>
        <w:rPr>
          <w:lang w:val="nl-BE"/>
        </w:rPr>
      </w:pPr>
      <w:r w:rsidRPr="00E6515F">
        <w:rPr>
          <w:b/>
          <w:lang w:val="nl-BE"/>
        </w:rPr>
        <w:t>Juli</w:t>
      </w:r>
    </w:p>
    <w:p w:rsidR="00C17340" w:rsidRPr="00E6515F" w:rsidRDefault="00C17340" w:rsidP="00C17340">
      <w:pPr>
        <w:rPr>
          <w:lang w:val="nl-BE"/>
        </w:rPr>
      </w:pPr>
      <w:r w:rsidRPr="00E6515F">
        <w:rPr>
          <w:lang w:val="nl-BE"/>
        </w:rPr>
        <w:t>Belgisch Staatsblad 03.07.2017 , blz. 69964</w:t>
      </w:r>
    </w:p>
    <w:p w:rsidR="00C17340" w:rsidRPr="00E6515F" w:rsidRDefault="00C17340" w:rsidP="00C17340">
      <w:pPr>
        <w:rPr>
          <w:lang w:val="nl-BE"/>
        </w:rPr>
      </w:pPr>
      <w:r w:rsidRPr="00E6515F">
        <w:rPr>
          <w:lang w:val="nl-BE"/>
        </w:rPr>
        <w:t>Ministerieel Besluit van 21 april 2017 houdende ontslag en benoeming van leden, een plaatsvervangend lid, een voorzitter en een plaatsvervangend voorzitter van de provinciale evaluatiecommissies bij het Vlaams Agentschap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Augustus</w:t>
      </w:r>
    </w:p>
    <w:p w:rsidR="00C17340" w:rsidRPr="00E6515F" w:rsidRDefault="00C17340" w:rsidP="00C17340">
      <w:pPr>
        <w:rPr>
          <w:lang w:val="nl-BE"/>
        </w:rPr>
      </w:pPr>
      <w:r w:rsidRPr="00E6515F">
        <w:rPr>
          <w:lang w:val="nl-BE"/>
        </w:rPr>
        <w:t>Belgisch Staatsblad 11.08.2017 , blz. 79494</w:t>
      </w:r>
    </w:p>
    <w:p w:rsidR="00C17340" w:rsidRPr="00E6515F" w:rsidRDefault="00C17340" w:rsidP="00C17340">
      <w:pPr>
        <w:rPr>
          <w:lang w:val="nl-BE"/>
        </w:rPr>
      </w:pPr>
      <w:r w:rsidRPr="00E6515F">
        <w:rPr>
          <w:lang w:val="nl-BE"/>
        </w:rPr>
        <w:t>Besluit van de Vlaamse Regering van 14 juli 2017 tot vrijstelling van kwalificatie- en registratieverplichtingen voor zorg- en bijstandsverleners die persoonlijke assistentie verlenen aan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16.08.2017 , blz. 80019</w:t>
      </w:r>
    </w:p>
    <w:p w:rsidR="00C17340" w:rsidRPr="00E6515F" w:rsidRDefault="00C17340" w:rsidP="00C17340">
      <w:pPr>
        <w:rPr>
          <w:lang w:val="nl-BE"/>
        </w:rPr>
      </w:pPr>
      <w:r w:rsidRPr="00E6515F">
        <w:rPr>
          <w:lang w:val="nl-BE"/>
        </w:rPr>
        <w:t>Besluit van de Vlaamse Regering van 12 mei 2017 houdende de methodiek voor de berekening van de subsidies voor personeelskosten</w:t>
      </w:r>
    </w:p>
    <w:p w:rsidR="00C17340" w:rsidRPr="00E6515F" w:rsidRDefault="00C17340" w:rsidP="00C17340">
      <w:pPr>
        <w:rPr>
          <w:lang w:val="nl-BE"/>
        </w:rPr>
      </w:pPr>
    </w:p>
    <w:p w:rsidR="00C17340" w:rsidRPr="00E6515F" w:rsidRDefault="00C17340" w:rsidP="00C17340">
      <w:pPr>
        <w:rPr>
          <w:b/>
          <w:lang w:val="nl-BE"/>
        </w:rPr>
      </w:pPr>
      <w:r w:rsidRPr="00E6515F">
        <w:rPr>
          <w:b/>
          <w:lang w:val="nl-BE"/>
        </w:rPr>
        <w:t>Oktober</w:t>
      </w:r>
    </w:p>
    <w:p w:rsidR="00C17340" w:rsidRPr="00E6515F" w:rsidRDefault="00C17340" w:rsidP="00C17340">
      <w:pPr>
        <w:rPr>
          <w:lang w:val="nl-BE"/>
        </w:rPr>
      </w:pPr>
      <w:r w:rsidRPr="00E6515F">
        <w:rPr>
          <w:lang w:val="nl-BE"/>
        </w:rPr>
        <w:t>Belgisch Staatsblad 10.10.2017 , blz. 91847</w:t>
      </w:r>
    </w:p>
    <w:p w:rsidR="00C17340" w:rsidRPr="00E6515F" w:rsidRDefault="00C17340" w:rsidP="00C17340">
      <w:pPr>
        <w:rPr>
          <w:lang w:val="nl-BE"/>
        </w:rPr>
      </w:pPr>
      <w:r w:rsidRPr="00E6515F">
        <w:rPr>
          <w:lang w:val="nl-BE"/>
        </w:rPr>
        <w:t xml:space="preserve">Ministerieel Besluit van 15 september 2017 tot wijziging van het ministerieel besluit van 29 april 2016 houdende de benoeming van de leden, de voorzitters en de plaatsvervangende voorzitters van de regionale prioriteitencommissies bij het Vlaams Agentschap voor Personen met een </w:t>
      </w:r>
      <w:r w:rsidRPr="00E6515F">
        <w:rPr>
          <w:lang w:val="nl-BE"/>
        </w:rPr>
        <w:lastRenderedPageBreak/>
        <w:t>Handicap en houdende het ontslag en de benoeming van leden en plaatsvervangende voorzitters van deze commissies</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13.10.2017 , blz. 93672</w:t>
      </w:r>
    </w:p>
    <w:p w:rsidR="00C17340" w:rsidRPr="00E6515F" w:rsidRDefault="00C17340" w:rsidP="00C17340">
      <w:pPr>
        <w:rPr>
          <w:lang w:val="nl-BE"/>
        </w:rPr>
      </w:pPr>
      <w:r w:rsidRPr="00E6515F">
        <w:rPr>
          <w:lang w:val="nl-BE"/>
        </w:rPr>
        <w:t xml:space="preserve">Besluit van de Vlaamse Regering van 8 september 2017 houdende wijziging van het besluit van de Vlaamse Regering van 4 februari 2011 betreffende de algemene erkenningsvoorwaarden en kwaliteitszorg van voorzieningen voor opvang, behandeling en begeleiding van personen met een handicap, wat betreft </w:t>
      </w:r>
      <w:proofErr w:type="spellStart"/>
      <w:r w:rsidRPr="00E6515F">
        <w:rPr>
          <w:lang w:val="nl-BE"/>
        </w:rPr>
        <w:t>dagondersteuning</w:t>
      </w:r>
      <w:proofErr w:type="spellEnd"/>
      <w:r w:rsidRPr="00E6515F">
        <w:rPr>
          <w:lang w:val="nl-BE"/>
        </w:rPr>
        <w:t xml:space="preserve"> in de vorm van begeleid werken</w:t>
      </w:r>
    </w:p>
    <w:p w:rsidR="00C17340" w:rsidRPr="00E6515F" w:rsidRDefault="00C17340" w:rsidP="00C17340">
      <w:pPr>
        <w:rPr>
          <w:lang w:val="nl-BE"/>
        </w:rPr>
      </w:pPr>
    </w:p>
    <w:p w:rsidR="00C17340" w:rsidRPr="00E6515F" w:rsidRDefault="00C17340" w:rsidP="00C17340">
      <w:pPr>
        <w:rPr>
          <w:b/>
          <w:lang w:val="nl-BE"/>
        </w:rPr>
      </w:pPr>
      <w:r w:rsidRPr="00E6515F">
        <w:rPr>
          <w:b/>
          <w:lang w:val="nl-BE"/>
        </w:rPr>
        <w:t>November</w:t>
      </w:r>
    </w:p>
    <w:p w:rsidR="00C17340" w:rsidRPr="00E6515F" w:rsidRDefault="00C17340" w:rsidP="00C17340">
      <w:pPr>
        <w:rPr>
          <w:lang w:val="nl-BE"/>
        </w:rPr>
      </w:pPr>
      <w:r w:rsidRPr="00E6515F">
        <w:rPr>
          <w:lang w:val="nl-BE"/>
        </w:rPr>
        <w:t>Belgisch Staatsblad 30.11.2017 , blz. 104564</w:t>
      </w:r>
    </w:p>
    <w:p w:rsidR="00C17340" w:rsidRPr="00E6515F" w:rsidRDefault="00C17340" w:rsidP="00C17340">
      <w:pPr>
        <w:rPr>
          <w:lang w:val="nl-BE"/>
        </w:rPr>
      </w:pPr>
      <w:r w:rsidRPr="00E6515F">
        <w:rPr>
          <w:lang w:val="nl-BE"/>
        </w:rPr>
        <w:t>Ministerieel Besluit van 6 oktober 2017 houdende vervanging van de refertelijst inzake individuele materiële bijstand</w:t>
      </w:r>
    </w:p>
    <w:p w:rsidR="00C17340" w:rsidRPr="00E6515F" w:rsidRDefault="00C17340" w:rsidP="00C17340">
      <w:pPr>
        <w:rPr>
          <w:lang w:val="nl-BE"/>
        </w:rPr>
      </w:pPr>
    </w:p>
    <w:p w:rsidR="00C17340" w:rsidRDefault="00C17340" w:rsidP="00C17340">
      <w:pPr>
        <w:rPr>
          <w:b/>
          <w:u w:val="single"/>
          <w:lang w:val="nl-BE"/>
        </w:rPr>
      </w:pPr>
      <w:r w:rsidRPr="00E6515F">
        <w:rPr>
          <w:b/>
          <w:u w:val="single"/>
          <w:lang w:val="nl-BE"/>
        </w:rPr>
        <w:t>2018</w:t>
      </w:r>
    </w:p>
    <w:p w:rsidR="006A011F" w:rsidRPr="00E6515F" w:rsidRDefault="006A011F" w:rsidP="00C17340">
      <w:pPr>
        <w:rPr>
          <w:lang w:val="nl-BE"/>
        </w:rPr>
      </w:pPr>
    </w:p>
    <w:p w:rsidR="00C17340" w:rsidRPr="00E6515F" w:rsidRDefault="00C17340" w:rsidP="00C17340">
      <w:pPr>
        <w:rPr>
          <w:lang w:val="nl-BE"/>
        </w:rPr>
      </w:pPr>
      <w:r w:rsidRPr="00E6515F">
        <w:rPr>
          <w:b/>
          <w:lang w:val="nl-BE"/>
        </w:rPr>
        <w:t>Januari</w:t>
      </w:r>
    </w:p>
    <w:p w:rsidR="00C17340" w:rsidRPr="00E6515F" w:rsidRDefault="00C17340" w:rsidP="00C17340">
      <w:pPr>
        <w:rPr>
          <w:lang w:val="nl-BE"/>
        </w:rPr>
      </w:pPr>
      <w:r w:rsidRPr="00E6515F">
        <w:rPr>
          <w:lang w:val="nl-BE"/>
        </w:rPr>
        <w:t>Belgisch Staatsblad 12.01.2018 , blz. 1546</w:t>
      </w:r>
    </w:p>
    <w:p w:rsidR="00C17340" w:rsidRPr="00E6515F" w:rsidRDefault="00C17340" w:rsidP="00C17340">
      <w:pPr>
        <w:rPr>
          <w:lang w:val="nl-BE"/>
        </w:rPr>
      </w:pPr>
      <w:r w:rsidRPr="00E6515F">
        <w:rPr>
          <w:lang w:val="nl-BE"/>
        </w:rPr>
        <w:t>Besluit van de Vlaamse Regering van 24 november 2017 over de erkenning en subsidiëring van voorzieningen die ondersteuning bieden aan personen met een handicap in de gevangenis, en van units voor geïnterneerden</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31.01.2018 , blz. 7231</w:t>
      </w:r>
    </w:p>
    <w:p w:rsidR="00C17340" w:rsidRPr="00E6515F" w:rsidRDefault="00C17340" w:rsidP="00C17340">
      <w:pPr>
        <w:rPr>
          <w:lang w:val="nl-BE"/>
        </w:rPr>
      </w:pPr>
      <w:r w:rsidRPr="00E6515F">
        <w:rPr>
          <w:lang w:val="nl-BE"/>
        </w:rPr>
        <w:t>Besluit van de Vlaamse Regering van 8 december 2017 over de erkenning en subsidiëring van observatie-, diagnose- en behandelingsunits</w:t>
      </w:r>
    </w:p>
    <w:p w:rsidR="00C17340" w:rsidRPr="00E6515F" w:rsidRDefault="00C17340" w:rsidP="00C17340">
      <w:pPr>
        <w:rPr>
          <w:lang w:val="nl-BE"/>
        </w:rPr>
      </w:pPr>
    </w:p>
    <w:p w:rsidR="00C17340" w:rsidRPr="00E6515F" w:rsidRDefault="00C17340" w:rsidP="00C17340">
      <w:pPr>
        <w:rPr>
          <w:lang w:val="nl-BE"/>
        </w:rPr>
      </w:pPr>
      <w:r w:rsidRPr="00E6515F">
        <w:rPr>
          <w:b/>
          <w:lang w:val="nl-BE"/>
        </w:rPr>
        <w:t>Februari</w:t>
      </w:r>
    </w:p>
    <w:p w:rsidR="00C17340" w:rsidRPr="00E6515F" w:rsidRDefault="00C17340" w:rsidP="00C17340">
      <w:pPr>
        <w:rPr>
          <w:lang w:val="nl-BE"/>
        </w:rPr>
      </w:pPr>
      <w:r w:rsidRPr="00E6515F">
        <w:rPr>
          <w:lang w:val="nl-BE"/>
        </w:rPr>
        <w:t>Belgisch Staatsblad 07.02.2018 , blz. 9213</w:t>
      </w:r>
    </w:p>
    <w:p w:rsidR="00C17340" w:rsidRPr="00E6515F" w:rsidRDefault="00C17340" w:rsidP="00C17340">
      <w:pPr>
        <w:rPr>
          <w:lang w:val="nl-BE"/>
        </w:rPr>
      </w:pPr>
      <w:r w:rsidRPr="00E6515F">
        <w:rPr>
          <w:lang w:val="nl-BE"/>
        </w:rPr>
        <w:t>Besluit van de Vlaamse Regering van 22 december 2017 houdende maatregelen ter beheersing van de uitgaven voor werkingssubsidies in de sector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20.02.2018 , blz. 14282</w:t>
      </w:r>
    </w:p>
    <w:p w:rsidR="00C17340" w:rsidRPr="00E6515F" w:rsidRDefault="00C17340" w:rsidP="00C17340">
      <w:pPr>
        <w:rPr>
          <w:lang w:val="nl-BE"/>
        </w:rPr>
      </w:pPr>
      <w:r w:rsidRPr="00E6515F">
        <w:rPr>
          <w:lang w:val="nl-BE"/>
        </w:rPr>
        <w:t>Ministerieel Besluit van 19 januari 2018 tot aanwijzing van de voorzitter en de ondervoorzitters van het Raadgevend Comité bij het intern verzelfstandigd agentschap Vlaams Agentschap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Maart</w:t>
      </w:r>
    </w:p>
    <w:p w:rsidR="00C17340" w:rsidRPr="00E6515F" w:rsidRDefault="00C17340" w:rsidP="00C17340">
      <w:pPr>
        <w:rPr>
          <w:lang w:val="nl-BE"/>
        </w:rPr>
      </w:pPr>
      <w:r w:rsidRPr="00E6515F">
        <w:rPr>
          <w:lang w:val="nl-BE"/>
        </w:rPr>
        <w:t>Belgisch Staatsblad 09.03.2018 , blz. 19554</w:t>
      </w:r>
    </w:p>
    <w:p w:rsidR="00C17340" w:rsidRPr="00E6515F" w:rsidRDefault="00C17340" w:rsidP="00C17340">
      <w:pPr>
        <w:rPr>
          <w:lang w:val="nl-BE"/>
        </w:rPr>
      </w:pPr>
      <w:r w:rsidRPr="00E6515F">
        <w:rPr>
          <w:lang w:val="nl-BE"/>
        </w:rPr>
        <w:t>Besluit van de Vlaamse Regering van 12 januari 2018 houdende de toepassing van het cumulverbod en de verschilregel voor het Vlaams Agentschap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Mei</w:t>
      </w:r>
    </w:p>
    <w:p w:rsidR="00C17340" w:rsidRPr="00E6515F" w:rsidRDefault="00C17340" w:rsidP="00C17340">
      <w:pPr>
        <w:rPr>
          <w:lang w:val="nl-BE"/>
        </w:rPr>
      </w:pPr>
      <w:r w:rsidRPr="00E6515F">
        <w:rPr>
          <w:lang w:val="nl-BE"/>
        </w:rPr>
        <w:t>Belgisch Staatsblad 09.05.2018 , blz. 38941</w:t>
      </w:r>
    </w:p>
    <w:p w:rsidR="00C17340" w:rsidRPr="00E6515F" w:rsidRDefault="00C17340" w:rsidP="00C17340">
      <w:pPr>
        <w:rPr>
          <w:lang w:val="nl-BE"/>
        </w:rPr>
      </w:pPr>
      <w:r w:rsidRPr="00E6515F">
        <w:rPr>
          <w:lang w:val="nl-BE"/>
        </w:rPr>
        <w:lastRenderedPageBreak/>
        <w:t>Besluit van de Vlaamse Regering van 20 april 2018 houdende maatregelen voor de uitwerking van de persoonsvolgende budgetten die in het kader van de transitie naar persoonsvolgende financiering ter beschikking zijn gesteld</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28.05.2018 , blz. 44151</w:t>
      </w:r>
    </w:p>
    <w:p w:rsidR="00C17340" w:rsidRPr="00E6515F" w:rsidRDefault="00C17340" w:rsidP="00C17340">
      <w:pPr>
        <w:rPr>
          <w:lang w:val="nl-BE"/>
        </w:rPr>
      </w:pPr>
      <w:r w:rsidRPr="00E6515F">
        <w:rPr>
          <w:lang w:val="nl-BE"/>
        </w:rPr>
        <w:t>Besluit van de Vlaamse Regering van 23 februari 2018 tot wijziging van het besluit van de Vlaamse Regering van 16 juni 1998 tot regeling van de erkenning en de subsidiëring van de centra voor ontwikkelingsstoornissen, wat betreft de verhoging van de programmatie en de vergoeding per onderzoek</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28.05.2018 , blz. 44153</w:t>
      </w:r>
    </w:p>
    <w:p w:rsidR="00C17340" w:rsidRPr="00E6515F" w:rsidRDefault="00C17340" w:rsidP="00C17340">
      <w:pPr>
        <w:rPr>
          <w:lang w:val="nl-BE"/>
        </w:rPr>
      </w:pPr>
      <w:r w:rsidRPr="00E6515F">
        <w:rPr>
          <w:lang w:val="nl-BE"/>
        </w:rPr>
        <w:t>Ministerieel Besluit van 4 mei 2018 houdende bepaling van de programmatie voor units voor geïnterneerden</w:t>
      </w:r>
    </w:p>
    <w:p w:rsidR="00C17340" w:rsidRPr="00E6515F" w:rsidRDefault="00C17340" w:rsidP="00C17340">
      <w:pPr>
        <w:rPr>
          <w:lang w:val="nl-BE"/>
        </w:rPr>
      </w:pPr>
    </w:p>
    <w:p w:rsidR="00C17340" w:rsidRPr="00E6515F" w:rsidRDefault="00C17340" w:rsidP="00C17340">
      <w:pPr>
        <w:rPr>
          <w:lang w:val="nl-BE"/>
        </w:rPr>
      </w:pPr>
      <w:r w:rsidRPr="00E6515F">
        <w:rPr>
          <w:b/>
          <w:lang w:val="nl-BE"/>
        </w:rPr>
        <w:t>Juni</w:t>
      </w:r>
    </w:p>
    <w:p w:rsidR="00C17340" w:rsidRPr="00E6515F" w:rsidRDefault="00C17340" w:rsidP="00C17340">
      <w:pPr>
        <w:rPr>
          <w:lang w:val="nl-BE"/>
        </w:rPr>
      </w:pPr>
      <w:r w:rsidRPr="00E6515F">
        <w:rPr>
          <w:lang w:val="nl-BE"/>
        </w:rPr>
        <w:t xml:space="preserve">Belgisch Staatsblad 15.06.2018 , </w:t>
      </w:r>
      <w:proofErr w:type="spellStart"/>
      <w:r w:rsidRPr="00E6515F">
        <w:rPr>
          <w:lang w:val="nl-BE"/>
        </w:rPr>
        <w:t>blz</w:t>
      </w:r>
      <w:proofErr w:type="spellEnd"/>
      <w:r w:rsidRPr="00E6515F">
        <w:rPr>
          <w:lang w:val="nl-BE"/>
        </w:rPr>
        <w:t xml:space="preserve"> 49642</w:t>
      </w:r>
    </w:p>
    <w:p w:rsidR="00C17340" w:rsidRPr="00E6515F" w:rsidRDefault="00C17340" w:rsidP="00C17340">
      <w:pPr>
        <w:rPr>
          <w:lang w:val="nl-BE"/>
        </w:rPr>
      </w:pPr>
      <w:r w:rsidRPr="00E6515F">
        <w:rPr>
          <w:lang w:val="nl-BE"/>
        </w:rPr>
        <w:t>Besluit van de Vlaamse Regering van 20 april 2018 over de verdeling van de middelen van het Vlaams Agentschap voor Personen met een Handicap voor niet rechtstreeks toegankelijke zorg en ondersteuning voor het jaar 2018</w:t>
      </w:r>
    </w:p>
    <w:p w:rsidR="00C17340" w:rsidRPr="00E6515F" w:rsidRDefault="00C17340" w:rsidP="00C17340">
      <w:pPr>
        <w:rPr>
          <w:lang w:val="nl-BE"/>
        </w:rPr>
      </w:pPr>
    </w:p>
    <w:p w:rsidR="00C17340" w:rsidRPr="00E6515F" w:rsidRDefault="00C17340" w:rsidP="00C17340">
      <w:pPr>
        <w:rPr>
          <w:lang w:val="nl-BE"/>
        </w:rPr>
      </w:pPr>
      <w:r w:rsidRPr="00E6515F">
        <w:rPr>
          <w:lang w:val="nl-BE"/>
        </w:rPr>
        <w:t xml:space="preserve">Belgisch Staatsblad 21.06.2018 , </w:t>
      </w:r>
      <w:proofErr w:type="spellStart"/>
      <w:r w:rsidRPr="00E6515F">
        <w:rPr>
          <w:lang w:val="nl-BE"/>
        </w:rPr>
        <w:t>blz</w:t>
      </w:r>
      <w:proofErr w:type="spellEnd"/>
      <w:r w:rsidRPr="00E6515F">
        <w:rPr>
          <w:lang w:val="nl-BE"/>
        </w:rPr>
        <w:t xml:space="preserve"> 51022</w:t>
      </w:r>
    </w:p>
    <w:p w:rsidR="00C17340" w:rsidRPr="00E6515F" w:rsidRDefault="00C17340" w:rsidP="00C17340">
      <w:pPr>
        <w:rPr>
          <w:lang w:val="nl-BE"/>
        </w:rPr>
      </w:pPr>
      <w:r w:rsidRPr="00E6515F">
        <w:rPr>
          <w:lang w:val="nl-BE"/>
        </w:rPr>
        <w:t>Besluit van de Vlaamse Regering van 25 mei 2018 tot wijziging van het besluit van de Vlaamse Regering van 22 februari 2013 betreffende rechtstreeks toegankelijke hulp voor personen met een handicap wat betreft de combinatie van rechtstreeks toegankelijke hulp en niet-rechtstreeks toegankelijke ondersteuning</w:t>
      </w:r>
    </w:p>
    <w:p w:rsidR="00C17340" w:rsidRPr="00E6515F" w:rsidRDefault="00C17340" w:rsidP="00C17340">
      <w:pPr>
        <w:rPr>
          <w:lang w:val="nl-BE"/>
        </w:rPr>
      </w:pPr>
    </w:p>
    <w:p w:rsidR="00C17340" w:rsidRPr="00E6515F" w:rsidRDefault="00C17340" w:rsidP="00C17340">
      <w:pPr>
        <w:rPr>
          <w:lang w:val="nl-BE"/>
        </w:rPr>
      </w:pPr>
      <w:r w:rsidRPr="00E6515F">
        <w:rPr>
          <w:b/>
          <w:lang w:val="nl-BE"/>
        </w:rPr>
        <w:t>Juli</w:t>
      </w:r>
    </w:p>
    <w:p w:rsidR="00C17340" w:rsidRPr="00E6515F" w:rsidRDefault="00C17340" w:rsidP="00C17340">
      <w:pPr>
        <w:rPr>
          <w:lang w:val="nl-BE"/>
        </w:rPr>
      </w:pPr>
      <w:r w:rsidRPr="00E6515F">
        <w:rPr>
          <w:lang w:val="nl-BE"/>
        </w:rPr>
        <w:t>Belgisch Staatsblad 03.07.2018 , blz. 53803</w:t>
      </w:r>
    </w:p>
    <w:p w:rsidR="00C17340" w:rsidRPr="00E6515F" w:rsidRDefault="00C17340" w:rsidP="00C17340">
      <w:pPr>
        <w:rPr>
          <w:lang w:val="nl-BE"/>
        </w:rPr>
      </w:pPr>
      <w:r w:rsidRPr="00E6515F">
        <w:rPr>
          <w:lang w:val="nl-BE"/>
        </w:rPr>
        <w:t>Ministerieel Besluit van 19 juni 2018 houdende vaststelling van kwaliteitseisen voor bijstandsorganisaties</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31.07.2018 , blz. 60334</w:t>
      </w:r>
    </w:p>
    <w:p w:rsidR="00C17340" w:rsidRPr="00E6515F" w:rsidRDefault="00C17340" w:rsidP="00C17340">
      <w:pPr>
        <w:rPr>
          <w:lang w:val="nl-BE"/>
        </w:rPr>
      </w:pPr>
      <w:r w:rsidRPr="00E6515F">
        <w:rPr>
          <w:lang w:val="nl-BE"/>
        </w:rPr>
        <w:t>Ministerieel besluit van 21 juni 2018 houdende vaststelling van de verdeelsleutel met betrekking tot de subsidies voor bijstand door bijstandsorganisaties aan zorggebruikers</w:t>
      </w:r>
    </w:p>
    <w:p w:rsidR="00C17340" w:rsidRPr="00E6515F" w:rsidRDefault="00C17340" w:rsidP="00C17340">
      <w:pPr>
        <w:rPr>
          <w:lang w:val="nl-BE"/>
        </w:rPr>
      </w:pPr>
      <w:r w:rsidRPr="00E6515F">
        <w:rPr>
          <w:lang w:val="nl-BE"/>
        </w:rPr>
        <w:t>[eerste semester 2018]</w:t>
      </w:r>
    </w:p>
    <w:p w:rsidR="00C17340" w:rsidRPr="00E6515F" w:rsidRDefault="00C17340" w:rsidP="00C17340">
      <w:pPr>
        <w:rPr>
          <w:lang w:val="nl-BE"/>
        </w:rPr>
      </w:pPr>
    </w:p>
    <w:p w:rsidR="00C17340" w:rsidRPr="00E6515F" w:rsidRDefault="00C17340" w:rsidP="00C17340">
      <w:pPr>
        <w:rPr>
          <w:lang w:val="nl-BE"/>
        </w:rPr>
      </w:pPr>
      <w:r w:rsidRPr="00E6515F">
        <w:rPr>
          <w:b/>
          <w:lang w:val="nl-BE"/>
        </w:rPr>
        <w:t>Augustus</w:t>
      </w:r>
    </w:p>
    <w:p w:rsidR="00C17340" w:rsidRPr="00E6515F" w:rsidRDefault="00C17340" w:rsidP="00C17340">
      <w:pPr>
        <w:rPr>
          <w:lang w:val="nl-BE"/>
        </w:rPr>
      </w:pPr>
      <w:r w:rsidRPr="00E6515F">
        <w:rPr>
          <w:lang w:val="nl-BE"/>
        </w:rPr>
        <w:t>Belgisch Staatsblad 06.08.2018 , blz. 61753</w:t>
      </w:r>
    </w:p>
    <w:p w:rsidR="00C17340" w:rsidRPr="00E6515F" w:rsidRDefault="00C17340" w:rsidP="00C17340">
      <w:pPr>
        <w:rPr>
          <w:lang w:val="nl-BE"/>
        </w:rPr>
      </w:pPr>
      <w:r w:rsidRPr="00E6515F">
        <w:rPr>
          <w:lang w:val="nl-BE"/>
        </w:rPr>
        <w:t>Ministerieel besluit van 3 juli 2018 houdende vaststelling van de verdeelsleutel met betrekking tot de subsidies voor bijstand door bijstandsorganisaties aan zorggebruikers</w:t>
      </w:r>
    </w:p>
    <w:p w:rsidR="00C17340" w:rsidRPr="00E6515F" w:rsidRDefault="00C17340" w:rsidP="00C17340">
      <w:pPr>
        <w:rPr>
          <w:lang w:val="nl-BE"/>
        </w:rPr>
      </w:pPr>
      <w:r w:rsidRPr="00E6515F">
        <w:rPr>
          <w:lang w:val="nl-BE"/>
        </w:rPr>
        <w:t>[tweede semester 2018]</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17.08.2018 , blz. 65163</w:t>
      </w:r>
    </w:p>
    <w:p w:rsidR="00C17340" w:rsidRPr="00E6515F" w:rsidRDefault="00C17340" w:rsidP="00C17340">
      <w:pPr>
        <w:rPr>
          <w:lang w:val="nl-BE"/>
        </w:rPr>
      </w:pPr>
      <w:r w:rsidRPr="00E6515F">
        <w:rPr>
          <w:lang w:val="nl-BE"/>
        </w:rPr>
        <w:lastRenderedPageBreak/>
        <w:t>Besluit van de Vlaamse Regering van 8 juni 2018 houdende de wijziging van diverse besluiten van de Vlaamse Regering die verband houden met de ondersteuning van personen met een handicap</w:t>
      </w:r>
    </w:p>
    <w:p w:rsidR="00C17340" w:rsidRPr="00E6515F" w:rsidRDefault="00C17340" w:rsidP="00C17340">
      <w:pPr>
        <w:rPr>
          <w:lang w:val="nl-BE"/>
        </w:rPr>
      </w:pPr>
    </w:p>
    <w:p w:rsidR="00C17340" w:rsidRPr="00E6515F" w:rsidRDefault="00C17340" w:rsidP="00C17340">
      <w:pPr>
        <w:rPr>
          <w:lang w:val="nl-BE"/>
        </w:rPr>
      </w:pPr>
      <w:r w:rsidRPr="00E6515F">
        <w:rPr>
          <w:b/>
          <w:lang w:val="nl-BE"/>
        </w:rPr>
        <w:t>September</w:t>
      </w:r>
      <w:r w:rsidRPr="00E6515F">
        <w:rPr>
          <w:lang w:val="nl-BE"/>
        </w:rPr>
        <w:t xml:space="preserve"> </w:t>
      </w:r>
    </w:p>
    <w:p w:rsidR="00C17340" w:rsidRPr="00E6515F" w:rsidRDefault="00C17340" w:rsidP="00C17340">
      <w:pPr>
        <w:rPr>
          <w:lang w:val="nl-BE"/>
        </w:rPr>
      </w:pPr>
      <w:r w:rsidRPr="00E6515F">
        <w:rPr>
          <w:lang w:val="nl-BE"/>
        </w:rPr>
        <w:t>Belgisch Staatsblad 07.09.2018 , blz. 69236</w:t>
      </w:r>
    </w:p>
    <w:p w:rsidR="00C17340" w:rsidRPr="00E6515F" w:rsidRDefault="00C17340" w:rsidP="00C17340">
      <w:pPr>
        <w:rPr>
          <w:lang w:val="nl-BE"/>
        </w:rPr>
      </w:pPr>
      <w:r w:rsidRPr="00E6515F">
        <w:rPr>
          <w:lang w:val="nl-BE"/>
        </w:rPr>
        <w:t>Besluit van de Vlaamse Regering van 20 juli 2018 houdende de wijziging van het besluit van de Vlaamse Regering van 12 mei 2017 houdende de methodiek voor de berekening van de subsidies voor personeelskosten, wat betreft het MFC Wagenschot</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10.09.2018 , blz. 69390</w:t>
      </w:r>
    </w:p>
    <w:p w:rsidR="00C17340" w:rsidRPr="00E6515F" w:rsidRDefault="00C17340" w:rsidP="00C17340">
      <w:pPr>
        <w:rPr>
          <w:lang w:val="nl-BE"/>
        </w:rPr>
      </w:pPr>
      <w:r w:rsidRPr="00E6515F">
        <w:rPr>
          <w:lang w:val="nl-BE"/>
        </w:rPr>
        <w:t>Besluit van de Vlaamse Regering van 8 juni 2018 houdende de wijziging van het besluit van de Vlaamse Regering van 24 juni 2016 houdende het vergunnen van aanbieders van niet-rechtstreeks toegankelijke zorg en ondersteuning voor personen met een handicap wat betreft het beleidsplan voor vergunde zorgaanbieders die zorg en ondersteuning verstrekken aan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Belgisch Staatsblad 12.09.2018 , blz. 70545</w:t>
      </w:r>
    </w:p>
    <w:p w:rsidR="00C17340" w:rsidRPr="00E6515F" w:rsidRDefault="00C17340" w:rsidP="00C17340">
      <w:pPr>
        <w:rPr>
          <w:lang w:val="nl-BE"/>
        </w:rPr>
      </w:pPr>
      <w:r w:rsidRPr="00E6515F">
        <w:rPr>
          <w:lang w:val="nl-BE"/>
        </w:rPr>
        <w:t>Besluit van de Vlaamse Regering van 20 juli 2018 houdende erkenning en subsidiëring van opdrachthouders Consulentenwerking</w:t>
      </w:r>
    </w:p>
    <w:p w:rsidR="00C17340" w:rsidRPr="00E6515F" w:rsidRDefault="00C17340" w:rsidP="00C17340">
      <w:pPr>
        <w:rPr>
          <w:lang w:val="nl-BE"/>
        </w:rPr>
      </w:pPr>
    </w:p>
    <w:p w:rsidR="00C17340" w:rsidRPr="00E6515F" w:rsidRDefault="00C17340" w:rsidP="00C17340">
      <w:pPr>
        <w:pStyle w:val="Kop1"/>
        <w:widowControl w:val="0"/>
        <w:numPr>
          <w:ilvl w:val="1"/>
          <w:numId w:val="1"/>
        </w:numPr>
        <w:pBdr>
          <w:top w:val="nil"/>
          <w:left w:val="nil"/>
          <w:bottom w:val="nil"/>
          <w:right w:val="nil"/>
          <w:between w:val="nil"/>
        </w:pBdr>
        <w:rPr>
          <w:lang w:val="nl-BE"/>
        </w:rPr>
      </w:pPr>
      <w:bookmarkStart w:id="119" w:name="_Toc536797838"/>
      <w:r w:rsidRPr="00E6515F">
        <w:rPr>
          <w:lang w:val="nl-BE"/>
        </w:rPr>
        <w:t>Decreten</w:t>
      </w:r>
      <w:bookmarkEnd w:id="119"/>
    </w:p>
    <w:p w:rsidR="00C17340" w:rsidRPr="00E6515F" w:rsidRDefault="00C17340" w:rsidP="00C17340">
      <w:pPr>
        <w:rPr>
          <w:lang w:val="nl-BE"/>
        </w:rPr>
      </w:pPr>
    </w:p>
    <w:p w:rsidR="00C17340" w:rsidRPr="00E6515F" w:rsidRDefault="00C17340" w:rsidP="00C17340">
      <w:pPr>
        <w:rPr>
          <w:lang w:val="nl-BE"/>
        </w:rPr>
      </w:pPr>
      <w:r w:rsidRPr="00E6515F">
        <w:rPr>
          <w:lang w:val="nl-BE"/>
        </w:rPr>
        <w:t>DECREET VAN 7 MEI 2004 TOT OPRICHTING VAN HET INTERN VERZELFSTANDIGD AGENTSCHAP MET RECHTSPERSOONLIJKHEID VLAAMS AGENTSCHAP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 xml:space="preserve">Gewijzigd in deze legislatuurperiode door: </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15 juli 2016 houdende diverse bepalingen betreffende het beleidsdomein Welzijn, Volksgezondheid en Gezin – Belgisch Staatsblad 19.08.2016 </w:t>
      </w:r>
      <w:proofErr w:type="spellStart"/>
      <w:r w:rsidRPr="002E20D1">
        <w:rPr>
          <w:lang w:val="nl-BE"/>
        </w:rPr>
        <w:t>blz</w:t>
      </w:r>
      <w:proofErr w:type="spellEnd"/>
      <w:r w:rsidRPr="002E20D1">
        <w:rPr>
          <w:lang w:val="nl-BE"/>
        </w:rPr>
        <w:t xml:space="preserve"> 52604</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24 juni 2016 houdende de Vlaamse sociale bescherming – Belgisch Staatsblad 06.09.2016 </w:t>
      </w:r>
      <w:proofErr w:type="spellStart"/>
      <w:r w:rsidRPr="002E20D1">
        <w:rPr>
          <w:lang w:val="nl-BE"/>
        </w:rPr>
        <w:t>blz</w:t>
      </w:r>
      <w:proofErr w:type="spellEnd"/>
      <w:r w:rsidRPr="002E20D1">
        <w:rPr>
          <w:lang w:val="nl-BE"/>
        </w:rPr>
        <w:t xml:space="preserve"> 59670</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19 januari 2018 houdende overheidstoezicht in het kader van het gezondheids- en welzijnsbeleid – Belgisch Staatsblad 21.02.2018 </w:t>
      </w:r>
      <w:proofErr w:type="spellStart"/>
      <w:r w:rsidRPr="002E20D1">
        <w:rPr>
          <w:lang w:val="nl-BE"/>
        </w:rPr>
        <w:t>blz</w:t>
      </w:r>
      <w:proofErr w:type="spellEnd"/>
      <w:r w:rsidRPr="002E20D1">
        <w:rPr>
          <w:lang w:val="nl-BE"/>
        </w:rPr>
        <w:t xml:space="preserve"> 14471</w:t>
      </w:r>
    </w:p>
    <w:p w:rsidR="00C17340" w:rsidRPr="00E6515F" w:rsidRDefault="00C17340" w:rsidP="00C17340">
      <w:pPr>
        <w:rPr>
          <w:lang w:val="nl-BE"/>
        </w:rPr>
      </w:pPr>
    </w:p>
    <w:p w:rsidR="00C17340" w:rsidRPr="002E20D1" w:rsidRDefault="00C17340" w:rsidP="00E95A2E">
      <w:pPr>
        <w:pStyle w:val="Lijstalinea"/>
        <w:numPr>
          <w:ilvl w:val="0"/>
          <w:numId w:val="11"/>
        </w:numPr>
        <w:rPr>
          <w:lang w:val="nl-BE"/>
        </w:rPr>
      </w:pPr>
      <w:r w:rsidRPr="002E20D1">
        <w:rPr>
          <w:lang w:val="nl-BE"/>
        </w:rPr>
        <w:t>Decreet van 8 juni 2018 houdende de aanpassing van de decreten aan de verordening (EU) 2016/679 van het Europees Parlement en de Raad van 27 april 20</w:t>
      </w:r>
      <w:r w:rsidRPr="004254F6">
        <w:rPr>
          <w:lang w:val="nl-BE"/>
        </w:rPr>
        <w:t xml:space="preserve">16 betreffende de bescherming van natuurlijke personen in verband met de verwerking van persoonsgegevens en betreffende het vrije verkeer van die gegevens en tot intrekking van richtlijn 95/46/EG (algemene verordening gegevensbescherming) – Belgisch Staatsblad 26.06.2018 </w:t>
      </w:r>
      <w:proofErr w:type="spellStart"/>
      <w:r w:rsidRPr="004254F6">
        <w:rPr>
          <w:lang w:val="nl-BE"/>
        </w:rPr>
        <w:t>blz</w:t>
      </w:r>
      <w:proofErr w:type="spellEnd"/>
      <w:r w:rsidRPr="004254F6">
        <w:rPr>
          <w:lang w:val="nl-BE"/>
        </w:rPr>
        <w:t xml:space="preserve"> 51728</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lastRenderedPageBreak/>
        <w:t xml:space="preserve">Decreet van 18 mei 2018 houdende de Vlaamse sociale bescherming – Belgisch Staatsblad 17.08.2018 </w:t>
      </w:r>
      <w:proofErr w:type="spellStart"/>
      <w:r w:rsidRPr="002E20D1">
        <w:rPr>
          <w:lang w:val="nl-BE"/>
        </w:rPr>
        <w:t>blz</w:t>
      </w:r>
      <w:proofErr w:type="spellEnd"/>
      <w:r w:rsidRPr="002E20D1">
        <w:rPr>
          <w:lang w:val="nl-BE"/>
        </w:rPr>
        <w:t xml:space="preserve"> 65011</w:t>
      </w:r>
    </w:p>
    <w:p w:rsidR="00C17340" w:rsidRPr="00E6515F" w:rsidRDefault="00C17340" w:rsidP="00C17340">
      <w:pPr>
        <w:rPr>
          <w:lang w:val="nl-BE"/>
        </w:rPr>
      </w:pPr>
    </w:p>
    <w:p w:rsidR="00C17340" w:rsidRPr="00E6515F" w:rsidRDefault="00C17340" w:rsidP="00C17340">
      <w:pPr>
        <w:rPr>
          <w:lang w:val="nl-BE"/>
        </w:rPr>
      </w:pPr>
      <w:r w:rsidRPr="00E6515F">
        <w:rPr>
          <w:lang w:val="nl-BE"/>
        </w:rPr>
        <w:t>DECREET VAN 25 APRIL 2014 HOUDENDE DE PERSOONSVOLGENDE FINANCIERING VOOR PERSONEN MET EEN HANDICAP EN TOT HERVORMING VAN DE WIJZE VAN FINANCIERING VAN DE ZORG EN DE ONDERSTEUNING VOOR PERSONEN MET EEN HANDICAP</w:t>
      </w:r>
    </w:p>
    <w:p w:rsidR="00C17340" w:rsidRPr="00E6515F" w:rsidRDefault="00C17340" w:rsidP="00C17340">
      <w:pPr>
        <w:rPr>
          <w:lang w:val="nl-BE"/>
        </w:rPr>
      </w:pPr>
    </w:p>
    <w:p w:rsidR="00C17340" w:rsidRPr="00E6515F" w:rsidRDefault="00C17340" w:rsidP="00C17340">
      <w:pPr>
        <w:rPr>
          <w:lang w:val="nl-BE"/>
        </w:rPr>
      </w:pPr>
      <w:r w:rsidRPr="00E6515F">
        <w:rPr>
          <w:lang w:val="nl-BE"/>
        </w:rPr>
        <w:t xml:space="preserve">Gewijzigd in deze legislatuurperiode door: </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Decreet van 20 maart 2015 houdende wijziging van artikel 14 van het decreet van 25 april 2014 houdende de persoonsvolge</w:t>
      </w:r>
      <w:r w:rsidRPr="004254F6">
        <w:rPr>
          <w:lang w:val="nl-BE"/>
        </w:rPr>
        <w:t xml:space="preserve">nde financiering voor personen met een handicap en tot hervorming van de wijze van financiering van de zorg en de ondersteuning voor personen met een handicap – Belgisch Staatsblad 09.04.2015 </w:t>
      </w:r>
      <w:proofErr w:type="spellStart"/>
      <w:r w:rsidRPr="004254F6">
        <w:rPr>
          <w:lang w:val="nl-BE"/>
        </w:rPr>
        <w:t>blz</w:t>
      </w:r>
      <w:proofErr w:type="spellEnd"/>
      <w:r w:rsidRPr="004254F6">
        <w:rPr>
          <w:lang w:val="nl-BE"/>
        </w:rPr>
        <w:t xml:space="preserve"> 21068</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24 juni 2016 houdende de Vlaamse sociale bescherming – Belgisch Staatsblad 06.09.2016 </w:t>
      </w:r>
      <w:proofErr w:type="spellStart"/>
      <w:r w:rsidRPr="002E20D1">
        <w:rPr>
          <w:lang w:val="nl-BE"/>
        </w:rPr>
        <w:t>blz</w:t>
      </w:r>
      <w:proofErr w:type="spellEnd"/>
      <w:r w:rsidRPr="002E20D1">
        <w:rPr>
          <w:lang w:val="nl-BE"/>
        </w:rPr>
        <w:t xml:space="preserve"> 59670</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19 januari 2018 houdende overheidstoezicht in het kader van het gezondheids- en welzijnsbeleid – Belgisch Staatsblad 21.02.2018 </w:t>
      </w:r>
      <w:proofErr w:type="spellStart"/>
      <w:r w:rsidRPr="002E20D1">
        <w:rPr>
          <w:lang w:val="nl-BE"/>
        </w:rPr>
        <w:t>blz</w:t>
      </w:r>
      <w:proofErr w:type="spellEnd"/>
      <w:r w:rsidRPr="002E20D1">
        <w:rPr>
          <w:lang w:val="nl-BE"/>
        </w:rPr>
        <w:t xml:space="preserve"> 14471</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Decreet van 8 juni 2018 houdende de aanpassing van de decreten aan de verordening (EU) 2016/679 van het Europees Parlement en de Raad van 27 april 2016 betreffende de bescherming van natuurlijke personen in verband met de verwerking van persoonsgegevens en betreffende het vrije verkeer van die gegeve</w:t>
      </w:r>
      <w:r w:rsidRPr="004254F6">
        <w:rPr>
          <w:lang w:val="nl-BE"/>
        </w:rPr>
        <w:t xml:space="preserve">ns en tot intrekking van richtlijn 95/46/EG (algemene verordening gegevensbescherming) – Belgisch Staatsblad 26.06.2018 </w:t>
      </w:r>
      <w:proofErr w:type="spellStart"/>
      <w:r w:rsidRPr="004254F6">
        <w:rPr>
          <w:lang w:val="nl-BE"/>
        </w:rPr>
        <w:t>blz</w:t>
      </w:r>
      <w:proofErr w:type="spellEnd"/>
      <w:r w:rsidRPr="004254F6">
        <w:rPr>
          <w:lang w:val="nl-BE"/>
        </w:rPr>
        <w:t xml:space="preserve"> 51728</w:t>
      </w:r>
    </w:p>
    <w:p w:rsidR="00C17340" w:rsidRPr="00E6515F" w:rsidRDefault="00C17340" w:rsidP="00C17340">
      <w:pPr>
        <w:rPr>
          <w:lang w:val="nl-BE"/>
        </w:rPr>
      </w:pPr>
    </w:p>
    <w:p w:rsidR="00C17340" w:rsidRPr="004254F6" w:rsidRDefault="00C17340" w:rsidP="00E95A2E">
      <w:pPr>
        <w:pStyle w:val="Lijstalinea"/>
        <w:numPr>
          <w:ilvl w:val="0"/>
          <w:numId w:val="11"/>
        </w:numPr>
        <w:rPr>
          <w:lang w:val="nl-BE"/>
        </w:rPr>
      </w:pPr>
      <w:r w:rsidRPr="002E20D1">
        <w:rPr>
          <w:lang w:val="nl-BE"/>
        </w:rPr>
        <w:t xml:space="preserve">Decreet van 18 mei 2018 houdende de Vlaamse sociale bescherming – Belgisch Staatsblad 17.08.2018 </w:t>
      </w:r>
      <w:proofErr w:type="spellStart"/>
      <w:r w:rsidRPr="002E20D1">
        <w:rPr>
          <w:lang w:val="nl-BE"/>
        </w:rPr>
        <w:t>blz</w:t>
      </w:r>
      <w:proofErr w:type="spellEnd"/>
      <w:r w:rsidRPr="002E20D1">
        <w:rPr>
          <w:lang w:val="nl-BE"/>
        </w:rPr>
        <w:t xml:space="preserve"> 65011</w:t>
      </w:r>
    </w:p>
    <w:p w:rsidR="0061087B" w:rsidRPr="00E6515F" w:rsidRDefault="0061087B" w:rsidP="00EE2B0E">
      <w:pPr>
        <w:rPr>
          <w:lang w:val="nl-BE"/>
        </w:rPr>
      </w:pPr>
    </w:p>
    <w:p w:rsidR="00C17340" w:rsidRPr="00E6515F" w:rsidRDefault="00C17340">
      <w:pPr>
        <w:rPr>
          <w:b/>
          <w:sz w:val="38"/>
          <w:szCs w:val="38"/>
          <w:lang w:val="nl-BE"/>
        </w:rPr>
      </w:pPr>
      <w:r w:rsidRPr="00E6515F">
        <w:rPr>
          <w:lang w:val="nl-BE"/>
        </w:rPr>
        <w:br w:type="page"/>
      </w:r>
    </w:p>
    <w:p w:rsidR="00BB57EF" w:rsidRPr="00E6515F" w:rsidRDefault="00BB57EF" w:rsidP="00BB57EF">
      <w:pPr>
        <w:pStyle w:val="Kop1"/>
        <w:widowControl w:val="0"/>
        <w:numPr>
          <w:ilvl w:val="0"/>
          <w:numId w:val="1"/>
        </w:numPr>
        <w:pBdr>
          <w:top w:val="nil"/>
          <w:left w:val="nil"/>
          <w:bottom w:val="nil"/>
          <w:right w:val="nil"/>
          <w:between w:val="nil"/>
        </w:pBdr>
        <w:spacing w:line="360" w:lineRule="auto"/>
        <w:ind w:left="544" w:hanging="570"/>
        <w:rPr>
          <w:lang w:val="nl-BE"/>
        </w:rPr>
      </w:pPr>
      <w:bookmarkStart w:id="120" w:name="_Toc536797839"/>
      <w:r w:rsidRPr="00E6515F">
        <w:rPr>
          <w:lang w:val="nl-BE"/>
        </w:rPr>
        <w:lastRenderedPageBreak/>
        <w:t>Bijlage</w:t>
      </w:r>
      <w:r w:rsidR="00E6515F" w:rsidRPr="00E6515F">
        <w:rPr>
          <w:lang w:val="nl-BE"/>
        </w:rPr>
        <w:t xml:space="preserve"> 2</w:t>
      </w:r>
      <w:r w:rsidRPr="00E6515F">
        <w:rPr>
          <w:lang w:val="nl-BE"/>
        </w:rPr>
        <w:t>: lijst met afkortingen</w:t>
      </w:r>
      <w:bookmarkEnd w:id="120"/>
    </w:p>
    <w:p w:rsidR="00BB57EF" w:rsidRPr="00E6515F" w:rsidRDefault="00BB57EF" w:rsidP="00BB57EF">
      <w:pPr>
        <w:rPr>
          <w:lang w:val="nl-BE"/>
        </w:rPr>
      </w:pPr>
    </w:p>
    <w:tbl>
      <w:tblPr>
        <w:tblStyle w:val="a0"/>
        <w:tblW w:w="63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4890"/>
      </w:tblGrid>
      <w:tr w:rsidR="00045313"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045313" w:rsidP="00C16AAC">
            <w:pPr>
              <w:widowControl w:val="0"/>
              <w:rPr>
                <w:lang w:val="nl-BE"/>
              </w:rPr>
            </w:pPr>
            <w:r>
              <w:rPr>
                <w:lang w:val="nl-BE"/>
              </w:rPr>
              <w:t>ADL</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C55BCA" w:rsidP="00C16AAC">
            <w:pPr>
              <w:widowControl w:val="0"/>
              <w:rPr>
                <w:lang w:val="nl-BE"/>
              </w:rPr>
            </w:pPr>
            <w:r>
              <w:rPr>
                <w:lang w:val="nl-BE"/>
              </w:rPr>
              <w:t xml:space="preserve">activiteiten van het dagelijks leven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BC</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C55BCA" w:rsidP="00C16AAC">
            <w:pPr>
              <w:widowControl w:val="0"/>
              <w:rPr>
                <w:rFonts w:ascii="Arial" w:eastAsia="Arial" w:hAnsi="Arial" w:cs="Arial"/>
                <w:sz w:val="20"/>
                <w:szCs w:val="20"/>
                <w:lang w:val="nl-BE"/>
              </w:rPr>
            </w:pPr>
            <w:r w:rsidRPr="00E6515F">
              <w:rPr>
                <w:lang w:val="nl-BE"/>
              </w:rPr>
              <w:t>budgetcategorie</w:t>
            </w:r>
          </w:p>
        </w:tc>
      </w:tr>
      <w:tr w:rsidR="00BB57EF"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BOB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6A011F">
            <w:pPr>
              <w:widowControl w:val="0"/>
              <w:rPr>
                <w:rFonts w:ascii="Arial" w:eastAsia="Arial" w:hAnsi="Arial" w:cs="Arial"/>
                <w:sz w:val="20"/>
                <w:szCs w:val="20"/>
                <w:lang w:val="nl-BE"/>
              </w:rPr>
            </w:pPr>
            <w:proofErr w:type="spellStart"/>
            <w:r w:rsidRPr="00E6515F">
              <w:rPr>
                <w:lang w:val="nl-BE"/>
              </w:rPr>
              <w:t>basisondersteuningsbudget</w:t>
            </w:r>
            <w:proofErr w:type="spellEnd"/>
            <w:r w:rsidRPr="00E6515F">
              <w:rPr>
                <w:lang w:val="nl-BE"/>
              </w:rPr>
              <w:t>, zorgbudget</w:t>
            </w:r>
            <w:r w:rsidR="00834F36" w:rsidRPr="00E6515F">
              <w:rPr>
                <w:lang w:val="nl-BE"/>
              </w:rPr>
              <w:t xml:space="preserve"> voor </w:t>
            </w:r>
            <w:r w:rsidR="00E95A2E">
              <w:rPr>
                <w:lang w:val="nl-BE"/>
              </w:rPr>
              <w:t>mensen</w:t>
            </w:r>
            <w:r w:rsidR="00E95A2E" w:rsidRPr="00E6515F">
              <w:rPr>
                <w:lang w:val="nl-BE"/>
              </w:rPr>
              <w:t xml:space="preserve"> </w:t>
            </w:r>
            <w:r w:rsidR="00834F36" w:rsidRPr="00E6515F">
              <w:rPr>
                <w:lang w:val="nl-BE"/>
              </w:rPr>
              <w:t>met een handicap</w:t>
            </w:r>
          </w:p>
        </w:tc>
      </w:tr>
      <w:tr w:rsidR="001927C3"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1927C3" w:rsidP="00C16AAC">
            <w:pPr>
              <w:widowControl w:val="0"/>
              <w:rPr>
                <w:lang w:val="nl-BE"/>
              </w:rPr>
            </w:pPr>
            <w:r>
              <w:rPr>
                <w:lang w:val="nl-BE"/>
              </w:rPr>
              <w:t>BVR</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C55BCA" w:rsidP="00834F36">
            <w:pPr>
              <w:widowControl w:val="0"/>
              <w:rPr>
                <w:lang w:val="nl-BE"/>
              </w:rPr>
            </w:pPr>
            <w:r>
              <w:rPr>
                <w:lang w:val="nl-BE"/>
              </w:rPr>
              <w:t xml:space="preserve">besluit </w:t>
            </w:r>
            <w:r w:rsidR="001927C3">
              <w:rPr>
                <w:lang w:val="nl-BE"/>
              </w:rPr>
              <w:t xml:space="preserve">van de Vlaamse Regering </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16AAC">
            <w:pPr>
              <w:widowControl w:val="0"/>
              <w:rPr>
                <w:lang w:val="nl-BE"/>
              </w:rPr>
            </w:pPr>
            <w:r>
              <w:rPr>
                <w:lang w:val="nl-BE"/>
              </w:rPr>
              <w:t>CAW</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C55BCA" w:rsidP="00834F36">
            <w:pPr>
              <w:widowControl w:val="0"/>
              <w:rPr>
                <w:lang w:val="nl-BE"/>
              </w:rPr>
            </w:pPr>
            <w:r>
              <w:rPr>
                <w:lang w:val="nl-BE"/>
              </w:rPr>
              <w:t>centr</w:t>
            </w:r>
            <w:r w:rsidR="00E95A2E">
              <w:rPr>
                <w:lang w:val="nl-BE"/>
              </w:rPr>
              <w:t>um</w:t>
            </w:r>
            <w:r>
              <w:rPr>
                <w:lang w:val="nl-BE"/>
              </w:rPr>
              <w:t xml:space="preserve"> </w:t>
            </w:r>
            <w:r w:rsidR="0025292B">
              <w:rPr>
                <w:lang w:val="nl-BE"/>
              </w:rPr>
              <w:t xml:space="preserve">algemeen welzijnswerk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COS</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centrum voor ontwikkelingsstoornissen</w:t>
            </w:r>
          </w:p>
        </w:tc>
      </w:tr>
      <w:tr w:rsidR="00FA0664"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A0664" w:rsidRPr="00E6515F" w:rsidRDefault="00FA0664" w:rsidP="00C16AAC">
            <w:pPr>
              <w:widowControl w:val="0"/>
              <w:rPr>
                <w:lang w:val="nl-BE"/>
              </w:rPr>
            </w:pPr>
            <w:r w:rsidRPr="00E6515F">
              <w:rPr>
                <w:lang w:val="nl-BE"/>
              </w:rPr>
              <w:t>CR</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A0664" w:rsidRPr="00E6515F" w:rsidRDefault="00C55BCA" w:rsidP="00E6515F">
            <w:pPr>
              <w:widowControl w:val="0"/>
              <w:rPr>
                <w:lang w:val="nl-BE"/>
              </w:rPr>
            </w:pPr>
            <w:r>
              <w:rPr>
                <w:lang w:val="nl-BE"/>
              </w:rPr>
              <w:t>c</w:t>
            </w:r>
            <w:r w:rsidRPr="00E6515F">
              <w:rPr>
                <w:lang w:val="nl-BE"/>
              </w:rPr>
              <w:t>liëntregistratie</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CRZ</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834F36">
            <w:pPr>
              <w:widowControl w:val="0"/>
              <w:rPr>
                <w:rFonts w:ascii="Arial" w:eastAsia="Arial" w:hAnsi="Arial" w:cs="Arial"/>
                <w:sz w:val="20"/>
                <w:szCs w:val="20"/>
                <w:lang w:val="nl-BE"/>
              </w:rPr>
            </w:pPr>
            <w:r w:rsidRPr="00E6515F">
              <w:rPr>
                <w:lang w:val="nl-BE"/>
              </w:rPr>
              <w:t>centrale registratie v</w:t>
            </w:r>
            <w:r w:rsidR="00834F36" w:rsidRPr="00E6515F">
              <w:rPr>
                <w:lang w:val="nl-BE"/>
              </w:rPr>
              <w:t xml:space="preserve">an </w:t>
            </w:r>
            <w:r w:rsidRPr="00E6515F">
              <w:rPr>
                <w:lang w:val="nl-BE"/>
              </w:rPr>
              <w:t>zorgvragen</w:t>
            </w:r>
          </w:p>
        </w:tc>
      </w:tr>
      <w:tr w:rsidR="001927C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1927C3" w:rsidP="00C16AAC">
            <w:pPr>
              <w:widowControl w:val="0"/>
              <w:rPr>
                <w:lang w:val="nl-BE"/>
              </w:rPr>
            </w:pPr>
            <w:r>
              <w:rPr>
                <w:lang w:val="nl-BE"/>
              </w:rPr>
              <w:t>DMW</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C55BCA" w:rsidP="00834F36">
            <w:pPr>
              <w:widowControl w:val="0"/>
              <w:rPr>
                <w:lang w:val="nl-BE"/>
              </w:rPr>
            </w:pPr>
            <w:r>
              <w:rPr>
                <w:lang w:val="nl-BE"/>
              </w:rPr>
              <w:t xml:space="preserve">dienst </w:t>
            </w:r>
            <w:r w:rsidR="001927C3">
              <w:rPr>
                <w:lang w:val="nl-BE"/>
              </w:rPr>
              <w:t xml:space="preserve">maatschappelijk werk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DOP</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dienst ondersteuningsplan</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FAM</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flexibel aanbod meerderjarigen</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16AAC">
            <w:pPr>
              <w:widowControl w:val="0"/>
              <w:rPr>
                <w:lang w:val="nl-BE"/>
              </w:rPr>
            </w:pPr>
            <w:r>
              <w:rPr>
                <w:lang w:val="nl-BE"/>
              </w:rPr>
              <w:t>FOD</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C55BCA" w:rsidP="00C16AAC">
            <w:pPr>
              <w:widowControl w:val="0"/>
              <w:rPr>
                <w:lang w:val="nl-BE"/>
              </w:rPr>
            </w:pPr>
            <w:r>
              <w:rPr>
                <w:lang w:val="nl-BE"/>
              </w:rPr>
              <w:t xml:space="preserve">federale </w:t>
            </w:r>
            <w:r w:rsidR="0025292B">
              <w:rPr>
                <w:lang w:val="nl-BE"/>
              </w:rPr>
              <w:t xml:space="preserve">overheidsdienst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IMB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individuele materiële bijstand</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ITP</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intersectorale toegangspoort</w:t>
            </w:r>
          </w:p>
        </w:tc>
      </w:tr>
      <w:tr w:rsidR="001927C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1927C3" w:rsidP="00C16AAC">
            <w:pPr>
              <w:widowControl w:val="0"/>
              <w:rPr>
                <w:lang w:val="nl-BE"/>
              </w:rPr>
            </w:pPr>
            <w:r>
              <w:rPr>
                <w:lang w:val="nl-BE"/>
              </w:rPr>
              <w:t xml:space="preserve">MB </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Pr="00E6515F" w:rsidRDefault="00C55BCA" w:rsidP="00C16AAC">
            <w:pPr>
              <w:widowControl w:val="0"/>
              <w:rPr>
                <w:lang w:val="nl-BE"/>
              </w:rPr>
            </w:pPr>
            <w:r>
              <w:rPr>
                <w:lang w:val="nl-BE"/>
              </w:rPr>
              <w:t xml:space="preserve">ministerieel </w:t>
            </w:r>
            <w:r w:rsidR="001927C3">
              <w:rPr>
                <w:lang w:val="nl-BE"/>
              </w:rPr>
              <w:t xml:space="preserve">besluit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MDT</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multidisciplinair team</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MFC</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multifunctioneel centrum</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16AAC">
            <w:pPr>
              <w:widowControl w:val="0"/>
              <w:rPr>
                <w:lang w:val="nl-BE"/>
              </w:rPr>
            </w:pPr>
            <w:r>
              <w:rPr>
                <w:lang w:val="nl-BE"/>
              </w:rPr>
              <w:t>NGT</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C55BCA" w:rsidP="00C55BCA">
            <w:pPr>
              <w:widowControl w:val="0"/>
              <w:rPr>
                <w:lang w:val="nl-BE"/>
              </w:rPr>
            </w:pPr>
            <w:r>
              <w:rPr>
                <w:lang w:val="nl-BE"/>
              </w:rPr>
              <w:t>niet-</w:t>
            </w:r>
            <w:r w:rsidR="0025292B">
              <w:rPr>
                <w:lang w:val="nl-BE"/>
              </w:rPr>
              <w:t xml:space="preserve">gereglementeerde toelage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proofErr w:type="spellStart"/>
            <w:r w:rsidRPr="00E6515F">
              <w:rPr>
                <w:lang w:val="nl-BE"/>
              </w:rPr>
              <w:t>nRTH</w:t>
            </w:r>
            <w:proofErr w:type="spellEnd"/>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E95A2E" w:rsidP="00C16AAC">
            <w:pPr>
              <w:widowControl w:val="0"/>
              <w:rPr>
                <w:rFonts w:ascii="Arial" w:eastAsia="Arial" w:hAnsi="Arial" w:cs="Arial"/>
                <w:sz w:val="20"/>
                <w:szCs w:val="20"/>
                <w:lang w:val="nl-BE"/>
              </w:rPr>
            </w:pPr>
            <w:r>
              <w:rPr>
                <w:lang w:val="nl-BE"/>
              </w:rPr>
              <w:t>n</w:t>
            </w:r>
            <w:r w:rsidR="00BB57EF" w:rsidRPr="00E6515F">
              <w:rPr>
                <w:lang w:val="nl-BE"/>
              </w:rPr>
              <w:t>iet</w:t>
            </w:r>
            <w:r w:rsidR="00C55BCA">
              <w:rPr>
                <w:lang w:val="nl-BE"/>
              </w:rPr>
              <w:t>-</w:t>
            </w:r>
            <w:r w:rsidR="00BB57EF" w:rsidRPr="00E6515F">
              <w:rPr>
                <w:lang w:val="nl-BE"/>
              </w:rPr>
              <w:t>rechtstreeks toegankelijke hulp</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OBC</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observatie- en behandelingscentrum</w:t>
            </w:r>
          </w:p>
        </w:tc>
      </w:tr>
      <w:tr w:rsidR="0025292B"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25292B">
            <w:pPr>
              <w:widowControl w:val="0"/>
              <w:rPr>
                <w:lang w:val="nl-BE"/>
              </w:rPr>
            </w:pPr>
            <w:r>
              <w:rPr>
                <w:lang w:val="nl-BE"/>
              </w:rPr>
              <w:t>OCMW</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55BCA">
            <w:pPr>
              <w:widowControl w:val="0"/>
              <w:rPr>
                <w:lang w:val="nl-BE"/>
              </w:rPr>
            </w:pPr>
            <w:r>
              <w:rPr>
                <w:lang w:val="nl-BE"/>
              </w:rPr>
              <w:t xml:space="preserve">Openbaar </w:t>
            </w:r>
            <w:r w:rsidR="00C55BCA">
              <w:rPr>
                <w:lang w:val="nl-BE"/>
              </w:rPr>
              <w:t>C</w:t>
            </w:r>
            <w:r>
              <w:rPr>
                <w:lang w:val="nl-BE"/>
              </w:rPr>
              <w:t xml:space="preserve">entrum voor </w:t>
            </w:r>
            <w:r w:rsidR="00C55BCA">
              <w:rPr>
                <w:lang w:val="nl-BE"/>
              </w:rPr>
              <w:t xml:space="preserve">Maatschappelijk Welzijn </w:t>
            </w:r>
          </w:p>
        </w:tc>
      </w:tr>
      <w:tr w:rsidR="0004531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Default="00045313" w:rsidP="0025292B">
            <w:pPr>
              <w:widowControl w:val="0"/>
              <w:rPr>
                <w:lang w:val="nl-BE"/>
              </w:rPr>
            </w:pPr>
            <w:r>
              <w:rPr>
                <w:lang w:val="nl-BE"/>
              </w:rPr>
              <w:t>OD</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Default="00C55BCA" w:rsidP="0025292B">
            <w:pPr>
              <w:widowControl w:val="0"/>
              <w:rPr>
                <w:lang w:val="nl-BE"/>
              </w:rPr>
            </w:pPr>
            <w:r>
              <w:rPr>
                <w:lang w:val="nl-BE"/>
              </w:rPr>
              <w:t xml:space="preserve">operationele </w:t>
            </w:r>
            <w:r w:rsidR="00045313">
              <w:rPr>
                <w:lang w:val="nl-BE"/>
              </w:rPr>
              <w:t xml:space="preserve">doelstelling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ODB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observatie-, diagnose- en behandelingsunits</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OP</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C55BCA" w:rsidP="00C16AAC">
            <w:pPr>
              <w:widowControl w:val="0"/>
              <w:rPr>
                <w:rFonts w:ascii="Arial" w:eastAsia="Arial" w:hAnsi="Arial" w:cs="Arial"/>
                <w:sz w:val="20"/>
                <w:szCs w:val="20"/>
                <w:lang w:val="nl-BE"/>
              </w:rPr>
            </w:pPr>
            <w:r>
              <w:rPr>
                <w:lang w:val="nl-BE"/>
              </w:rPr>
              <w:t>o</w:t>
            </w:r>
            <w:r w:rsidRPr="00E6515F">
              <w:rPr>
                <w:lang w:val="nl-BE"/>
              </w:rPr>
              <w:t>ndersteuningsplan</w:t>
            </w:r>
          </w:p>
        </w:tc>
      </w:tr>
      <w:tr w:rsidR="0004531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045313" w:rsidP="00C16AAC">
            <w:pPr>
              <w:widowControl w:val="0"/>
              <w:rPr>
                <w:lang w:val="nl-BE"/>
              </w:rPr>
            </w:pPr>
            <w:r>
              <w:rPr>
                <w:lang w:val="nl-BE"/>
              </w:rPr>
              <w:t>OOD</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C55BCA" w:rsidP="00C16AAC">
            <w:pPr>
              <w:widowControl w:val="0"/>
              <w:rPr>
                <w:lang w:val="nl-BE"/>
              </w:rPr>
            </w:pPr>
            <w:r>
              <w:rPr>
                <w:lang w:val="nl-BE"/>
              </w:rPr>
              <w:t>o</w:t>
            </w:r>
            <w:r w:rsidR="00045313">
              <w:rPr>
                <w:lang w:val="nl-BE"/>
              </w:rPr>
              <w:t xml:space="preserve">perationele organisatiedoelstelling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PAB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E95A2E" w:rsidP="00C16AAC">
            <w:pPr>
              <w:widowControl w:val="0"/>
              <w:rPr>
                <w:rFonts w:ascii="Arial" w:eastAsia="Arial" w:hAnsi="Arial" w:cs="Arial"/>
                <w:sz w:val="20"/>
                <w:szCs w:val="20"/>
                <w:lang w:val="nl-BE"/>
              </w:rPr>
            </w:pPr>
            <w:r>
              <w:rPr>
                <w:lang w:val="nl-BE"/>
              </w:rPr>
              <w:t>p</w:t>
            </w:r>
            <w:r w:rsidRPr="00E6515F">
              <w:rPr>
                <w:lang w:val="nl-BE"/>
              </w:rPr>
              <w:t>ersoonlijke</w:t>
            </w:r>
            <w:r w:rsidR="00C55BCA">
              <w:rPr>
                <w:lang w:val="nl-BE"/>
              </w:rPr>
              <w:t>-</w:t>
            </w:r>
            <w:r w:rsidR="00BB57EF" w:rsidRPr="00E6515F">
              <w:rPr>
                <w:lang w:val="nl-BE"/>
              </w:rPr>
              <w:t>assistentiebudget</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PG</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C55BCA" w:rsidP="00C16AAC">
            <w:pPr>
              <w:widowControl w:val="0"/>
              <w:rPr>
                <w:rFonts w:ascii="Arial" w:eastAsia="Arial" w:hAnsi="Arial" w:cs="Arial"/>
                <w:sz w:val="20"/>
                <w:szCs w:val="20"/>
                <w:lang w:val="nl-BE"/>
              </w:rPr>
            </w:pPr>
            <w:r>
              <w:rPr>
                <w:lang w:val="nl-BE"/>
              </w:rPr>
              <w:t>p</w:t>
            </w:r>
            <w:r w:rsidR="00BB57EF" w:rsidRPr="00E6515F">
              <w:rPr>
                <w:lang w:val="nl-BE"/>
              </w:rPr>
              <w:t>rioriteitengroep</w:t>
            </w:r>
          </w:p>
        </w:tc>
      </w:tr>
      <w:tr w:rsidR="00E6515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6515F" w:rsidRPr="00E6515F" w:rsidRDefault="00E6515F" w:rsidP="00C16AAC">
            <w:pPr>
              <w:widowControl w:val="0"/>
              <w:rPr>
                <w:lang w:val="nl-BE"/>
              </w:rPr>
            </w:pPr>
            <w:proofErr w:type="spellStart"/>
            <w:r>
              <w:rPr>
                <w:lang w:val="nl-BE"/>
              </w:rPr>
              <w:t>PmH</w:t>
            </w:r>
            <w:proofErr w:type="spellEnd"/>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6515F" w:rsidRPr="00E6515F" w:rsidRDefault="00C55BCA" w:rsidP="00C16AAC">
            <w:pPr>
              <w:widowControl w:val="0"/>
              <w:rPr>
                <w:lang w:val="nl-BE"/>
              </w:rPr>
            </w:pPr>
            <w:r>
              <w:rPr>
                <w:lang w:val="nl-BE"/>
              </w:rPr>
              <w:t>p</w:t>
            </w:r>
            <w:r w:rsidR="00E6515F">
              <w:rPr>
                <w:lang w:val="nl-BE"/>
              </w:rPr>
              <w:t>ersonen met een handicap</w:t>
            </w:r>
          </w:p>
        </w:tc>
      </w:tr>
      <w:tr w:rsidR="001927C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C16AAC">
            <w:pPr>
              <w:widowControl w:val="0"/>
              <w:rPr>
                <w:lang w:val="nl-BE"/>
              </w:rPr>
            </w:pPr>
            <w:r>
              <w:rPr>
                <w:lang w:val="nl-BE"/>
              </w:rPr>
              <w:t>POP</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C16AAC">
            <w:pPr>
              <w:widowControl w:val="0"/>
              <w:rPr>
                <w:lang w:val="nl-BE"/>
              </w:rPr>
            </w:pPr>
            <w:r>
              <w:rPr>
                <w:lang w:val="nl-BE"/>
              </w:rPr>
              <w:t xml:space="preserve">Platform Ouderprojecten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PTB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prioritair te bemiddelen</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lastRenderedPageBreak/>
              <w:t>PVB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persoonsvolgend budget</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PVF</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persoonsvolgende financiering</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RTH</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912587">
            <w:pPr>
              <w:widowControl w:val="0"/>
              <w:rPr>
                <w:rFonts w:ascii="Arial" w:eastAsia="Arial" w:hAnsi="Arial" w:cs="Arial"/>
                <w:sz w:val="20"/>
                <w:szCs w:val="20"/>
                <w:lang w:val="nl-BE"/>
              </w:rPr>
            </w:pPr>
            <w:r w:rsidRPr="00E6515F">
              <w:rPr>
                <w:lang w:val="nl-BE"/>
              </w:rPr>
              <w:t>rechtstreeks toegankelijke hulp</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TBS</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912587" w:rsidP="00C16AAC">
            <w:pPr>
              <w:widowControl w:val="0"/>
              <w:rPr>
                <w:rFonts w:ascii="Arial" w:eastAsia="Arial" w:hAnsi="Arial" w:cs="Arial"/>
                <w:sz w:val="20"/>
                <w:szCs w:val="20"/>
                <w:lang w:val="nl-BE"/>
              </w:rPr>
            </w:pPr>
            <w:r>
              <w:rPr>
                <w:lang w:val="nl-BE"/>
              </w:rPr>
              <w:t>t</w:t>
            </w:r>
            <w:r w:rsidRPr="00E6515F">
              <w:rPr>
                <w:lang w:val="nl-BE"/>
              </w:rPr>
              <w:t>erbeschikkingstelling</w:t>
            </w:r>
          </w:p>
        </w:tc>
      </w:tr>
      <w:tr w:rsidR="0004531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045313" w:rsidP="00C16AAC">
            <w:pPr>
              <w:widowControl w:val="0"/>
              <w:rPr>
                <w:lang w:val="nl-BE"/>
              </w:rPr>
            </w:pPr>
            <w:r>
              <w:rPr>
                <w:lang w:val="nl-BE"/>
              </w:rPr>
              <w:t>SD</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045313" w:rsidRPr="00E6515F" w:rsidRDefault="00912587" w:rsidP="00C16AAC">
            <w:pPr>
              <w:widowControl w:val="0"/>
              <w:rPr>
                <w:lang w:val="nl-BE"/>
              </w:rPr>
            </w:pPr>
            <w:r>
              <w:rPr>
                <w:lang w:val="nl-BE"/>
              </w:rPr>
              <w:t xml:space="preserve">strategische </w:t>
            </w:r>
            <w:r w:rsidR="00045313">
              <w:rPr>
                <w:lang w:val="nl-BE"/>
              </w:rPr>
              <w:t xml:space="preserve">doelstelling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SE</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subsidie-eenheid</w:t>
            </w:r>
          </w:p>
        </w:tc>
      </w:tr>
      <w:tr w:rsidR="00E65BCA"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65BCA" w:rsidRPr="00E6515F" w:rsidRDefault="00E65BCA" w:rsidP="00C16AAC">
            <w:pPr>
              <w:widowControl w:val="0"/>
              <w:rPr>
                <w:lang w:val="nl-BE"/>
              </w:rPr>
            </w:pPr>
            <w:r>
              <w:rPr>
                <w:lang w:val="nl-BE"/>
              </w:rPr>
              <w:t>SZ</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65BCA" w:rsidRPr="00E6515F" w:rsidRDefault="00E65BCA" w:rsidP="00C16AAC">
            <w:pPr>
              <w:widowControl w:val="0"/>
              <w:rPr>
                <w:lang w:val="nl-BE"/>
              </w:rPr>
            </w:pPr>
            <w:r>
              <w:rPr>
                <w:lang w:val="nl-BE"/>
              </w:rPr>
              <w:t>Sociale Zaken</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lang w:val="nl-BE"/>
              </w:rPr>
            </w:pPr>
            <w:r w:rsidRPr="00E6515F">
              <w:rPr>
                <w:lang w:val="nl-BE"/>
              </w:rPr>
              <w:t>UC</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912587" w:rsidP="00C16AAC">
            <w:pPr>
              <w:widowControl w:val="0"/>
              <w:rPr>
                <w:lang w:val="nl-BE"/>
              </w:rPr>
            </w:pPr>
            <w:r>
              <w:rPr>
                <w:lang w:val="nl-BE"/>
              </w:rPr>
              <w:t>u</w:t>
            </w:r>
            <w:r w:rsidRPr="00E6515F">
              <w:rPr>
                <w:lang w:val="nl-BE"/>
              </w:rPr>
              <w:t>rgentiecode</w:t>
            </w:r>
          </w:p>
        </w:tc>
      </w:tr>
      <w:tr w:rsidR="00F3144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3144F" w:rsidRPr="00E6515F" w:rsidRDefault="00F3144F" w:rsidP="00C16AAC">
            <w:pPr>
              <w:widowControl w:val="0"/>
              <w:rPr>
                <w:lang w:val="nl-BE"/>
              </w:rPr>
            </w:pPr>
            <w:r w:rsidRPr="00E6515F">
              <w:rPr>
                <w:lang w:val="nl-BE"/>
              </w:rPr>
              <w:t>UB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3144F" w:rsidRPr="00E6515F" w:rsidRDefault="00912587" w:rsidP="00C16AAC">
            <w:pPr>
              <w:widowControl w:val="0"/>
              <w:rPr>
                <w:lang w:val="nl-BE"/>
              </w:rPr>
            </w:pPr>
            <w:r>
              <w:rPr>
                <w:lang w:val="nl-BE"/>
              </w:rPr>
              <w:t>u</w:t>
            </w:r>
            <w:r w:rsidRPr="00E6515F">
              <w:rPr>
                <w:lang w:val="nl-BE"/>
              </w:rPr>
              <w:t>itbreidingsbeleid</w:t>
            </w:r>
          </w:p>
        </w:tc>
      </w:tr>
      <w:tr w:rsidR="00BB57EF"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VAPH</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912587">
            <w:pPr>
              <w:widowControl w:val="0"/>
              <w:rPr>
                <w:rFonts w:ascii="Arial" w:eastAsia="Arial" w:hAnsi="Arial" w:cs="Arial"/>
                <w:sz w:val="20"/>
                <w:szCs w:val="20"/>
                <w:lang w:val="nl-BE"/>
              </w:rPr>
            </w:pPr>
            <w:r w:rsidRPr="00E6515F">
              <w:rPr>
                <w:lang w:val="nl-BE"/>
              </w:rPr>
              <w:t xml:space="preserve">Vlaams </w:t>
            </w:r>
            <w:r w:rsidR="00912587">
              <w:rPr>
                <w:lang w:val="nl-BE"/>
              </w:rPr>
              <w:t>A</w:t>
            </w:r>
            <w:r w:rsidR="00912587" w:rsidRPr="00E6515F">
              <w:rPr>
                <w:lang w:val="nl-BE"/>
              </w:rPr>
              <w:t xml:space="preserve">gentschap </w:t>
            </w:r>
            <w:r w:rsidRPr="00E6515F">
              <w:rPr>
                <w:lang w:val="nl-BE"/>
              </w:rPr>
              <w:t xml:space="preserve">voor </w:t>
            </w:r>
            <w:r w:rsidR="00912587">
              <w:rPr>
                <w:lang w:val="nl-BE"/>
              </w:rPr>
              <w:t>P</w:t>
            </w:r>
            <w:r w:rsidR="00912587" w:rsidRPr="00E6515F">
              <w:rPr>
                <w:lang w:val="nl-BE"/>
              </w:rPr>
              <w:t xml:space="preserve">ersonen </w:t>
            </w:r>
            <w:r w:rsidRPr="00E6515F">
              <w:rPr>
                <w:lang w:val="nl-BE"/>
              </w:rPr>
              <w:t xml:space="preserve">met een </w:t>
            </w:r>
            <w:r w:rsidR="00912587">
              <w:rPr>
                <w:lang w:val="nl-BE"/>
              </w:rPr>
              <w:t>H</w:t>
            </w:r>
            <w:r w:rsidR="00912587" w:rsidRPr="00E6515F">
              <w:rPr>
                <w:lang w:val="nl-BE"/>
              </w:rPr>
              <w:t>andicap</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16AAC">
            <w:pPr>
              <w:widowControl w:val="0"/>
              <w:rPr>
                <w:lang w:val="nl-BE"/>
              </w:rPr>
            </w:pPr>
            <w:r>
              <w:rPr>
                <w:lang w:val="nl-BE"/>
              </w:rPr>
              <w:t>VDAB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25292B" w:rsidP="00C16AAC">
            <w:pPr>
              <w:widowControl w:val="0"/>
              <w:rPr>
                <w:lang w:val="nl-BE"/>
              </w:rPr>
            </w:pPr>
            <w:r>
              <w:rPr>
                <w:lang w:val="nl-BE"/>
              </w:rPr>
              <w:t xml:space="preserve">Vlaamse Dienst voor Arbeidsbemiddeling </w:t>
            </w:r>
          </w:p>
        </w:tc>
      </w:tr>
      <w:tr w:rsidR="001927C3"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C16AAC">
            <w:pPr>
              <w:widowControl w:val="0"/>
              <w:rPr>
                <w:lang w:val="nl-BE"/>
              </w:rPr>
            </w:pPr>
            <w:r>
              <w:rPr>
                <w:lang w:val="nl-BE"/>
              </w:rPr>
              <w:t>VIPA</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912587">
            <w:pPr>
              <w:widowControl w:val="0"/>
              <w:rPr>
                <w:lang w:val="nl-BE"/>
              </w:rPr>
            </w:pPr>
            <w:r>
              <w:rPr>
                <w:lang w:val="nl-BE"/>
              </w:rPr>
              <w:t xml:space="preserve">Vlaams </w:t>
            </w:r>
            <w:r w:rsidR="00912587">
              <w:rPr>
                <w:lang w:val="nl-BE"/>
              </w:rPr>
              <w:t xml:space="preserve">Infrastructuurfonds </w:t>
            </w:r>
            <w:r>
              <w:rPr>
                <w:lang w:val="nl-BE"/>
              </w:rPr>
              <w:t xml:space="preserve">voor </w:t>
            </w:r>
            <w:r w:rsidR="00912587">
              <w:rPr>
                <w:lang w:val="nl-BE"/>
              </w:rPr>
              <w:t>Persoonsgebonden Aangelegenheden</w:t>
            </w:r>
          </w:p>
        </w:tc>
      </w:tr>
      <w:tr w:rsidR="001927C3"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C16AAC">
            <w:pPr>
              <w:widowControl w:val="0"/>
              <w:rPr>
                <w:lang w:val="nl-BE"/>
              </w:rPr>
            </w:pPr>
            <w:r>
              <w:rPr>
                <w:lang w:val="nl-BE"/>
              </w:rPr>
              <w:t>VSB</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1927C3" w:rsidRDefault="001927C3" w:rsidP="00C16AAC">
            <w:pPr>
              <w:widowControl w:val="0"/>
              <w:rPr>
                <w:lang w:val="nl-BE"/>
              </w:rPr>
            </w:pPr>
            <w:r>
              <w:rPr>
                <w:lang w:val="nl-BE"/>
              </w:rPr>
              <w:t xml:space="preserve">Vlaamse sociale bescherming </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VTE</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912587" w:rsidP="00C16AAC">
            <w:pPr>
              <w:widowControl w:val="0"/>
              <w:rPr>
                <w:rFonts w:ascii="Arial" w:eastAsia="Arial" w:hAnsi="Arial" w:cs="Arial"/>
                <w:sz w:val="20"/>
                <w:szCs w:val="20"/>
                <w:lang w:val="nl-BE"/>
              </w:rPr>
            </w:pPr>
            <w:r>
              <w:rPr>
                <w:lang w:val="nl-BE"/>
              </w:rPr>
              <w:t>v</w:t>
            </w:r>
            <w:r w:rsidRPr="00E6515F">
              <w:rPr>
                <w:lang w:val="nl-BE"/>
              </w:rPr>
              <w:t>oltijdsequivalent</w:t>
            </w:r>
          </w:p>
        </w:tc>
      </w:tr>
      <w:tr w:rsidR="00BB57EF"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VZA</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vergunde zorgaanbieder</w:t>
            </w:r>
          </w:p>
        </w:tc>
      </w:tr>
      <w:tr w:rsidR="00BB57EF" w:rsidRPr="00490F75"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WOP</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B57EF" w:rsidRPr="00E6515F" w:rsidRDefault="00BB57EF" w:rsidP="00C16AAC">
            <w:pPr>
              <w:widowControl w:val="0"/>
              <w:rPr>
                <w:rFonts w:ascii="Arial" w:eastAsia="Arial" w:hAnsi="Arial" w:cs="Arial"/>
                <w:sz w:val="20"/>
                <w:szCs w:val="20"/>
                <w:lang w:val="nl-BE"/>
              </w:rPr>
            </w:pPr>
            <w:r w:rsidRPr="00E6515F">
              <w:rPr>
                <w:lang w:val="nl-BE"/>
              </w:rPr>
              <w:t>wonen onder begeleiding van een particulier</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E95A2E" w:rsidP="00C16AAC">
            <w:pPr>
              <w:widowControl w:val="0"/>
              <w:rPr>
                <w:lang w:val="nl-BE"/>
              </w:rPr>
            </w:pPr>
            <w:r>
              <w:rPr>
                <w:lang w:val="nl-BE"/>
              </w:rPr>
              <w:t>WZC</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Pr="00E6515F" w:rsidRDefault="00912587" w:rsidP="00912587">
            <w:pPr>
              <w:widowControl w:val="0"/>
              <w:rPr>
                <w:lang w:val="nl-BE"/>
              </w:rPr>
            </w:pPr>
            <w:r>
              <w:rPr>
                <w:lang w:val="nl-BE"/>
              </w:rPr>
              <w:t>woon</w:t>
            </w:r>
            <w:r w:rsidR="0025292B">
              <w:rPr>
                <w:lang w:val="nl-BE"/>
              </w:rPr>
              <w:t xml:space="preserve">zorgcentrum </w:t>
            </w:r>
          </w:p>
        </w:tc>
      </w:tr>
      <w:tr w:rsidR="0025292B"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Default="0025292B" w:rsidP="00C16AAC">
            <w:pPr>
              <w:widowControl w:val="0"/>
              <w:rPr>
                <w:lang w:val="nl-BE"/>
              </w:rPr>
            </w:pPr>
            <w:r>
              <w:rPr>
                <w:lang w:val="nl-BE"/>
              </w:rPr>
              <w:t>WVG</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5292B" w:rsidRDefault="0025292B" w:rsidP="00C16AAC">
            <w:pPr>
              <w:widowControl w:val="0"/>
              <w:rPr>
                <w:lang w:val="nl-BE"/>
              </w:rPr>
            </w:pPr>
            <w:r>
              <w:rPr>
                <w:lang w:val="nl-BE"/>
              </w:rPr>
              <w:t xml:space="preserve">Welzijn, Volksgezondheid en Gezin </w:t>
            </w:r>
          </w:p>
        </w:tc>
      </w:tr>
      <w:tr w:rsidR="004C7A05" w:rsidRPr="00E6515F" w:rsidTr="00C16AAC">
        <w:trPr>
          <w:trHeight w:val="3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C7A05" w:rsidRPr="00E6515F" w:rsidRDefault="004C7A05" w:rsidP="00C16AAC">
            <w:pPr>
              <w:widowControl w:val="0"/>
              <w:rPr>
                <w:lang w:val="nl-BE"/>
              </w:rPr>
            </w:pPr>
            <w:r w:rsidRPr="00E6515F">
              <w:rPr>
                <w:lang w:val="nl-BE"/>
              </w:rPr>
              <w:t>ZIN</w:t>
            </w:r>
          </w:p>
        </w:tc>
        <w:tc>
          <w:tcPr>
            <w:tcW w:w="48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C7A05" w:rsidRPr="00E6515F" w:rsidRDefault="00912587" w:rsidP="00C16AAC">
            <w:pPr>
              <w:widowControl w:val="0"/>
              <w:rPr>
                <w:lang w:val="nl-BE"/>
              </w:rPr>
            </w:pPr>
            <w:r>
              <w:rPr>
                <w:lang w:val="nl-BE"/>
              </w:rPr>
              <w:t>z</w:t>
            </w:r>
            <w:r w:rsidRPr="00E6515F">
              <w:rPr>
                <w:lang w:val="nl-BE"/>
              </w:rPr>
              <w:t xml:space="preserve">org </w:t>
            </w:r>
            <w:r w:rsidR="004C7A05" w:rsidRPr="00E6515F">
              <w:rPr>
                <w:lang w:val="nl-BE"/>
              </w:rPr>
              <w:t>in natura</w:t>
            </w:r>
          </w:p>
        </w:tc>
      </w:tr>
    </w:tbl>
    <w:p w:rsidR="00BB57EF" w:rsidRPr="00E6515F" w:rsidRDefault="00BB57EF">
      <w:pPr>
        <w:widowControl w:val="0"/>
        <w:pBdr>
          <w:top w:val="nil"/>
          <w:left w:val="nil"/>
          <w:bottom w:val="nil"/>
          <w:right w:val="nil"/>
          <w:between w:val="nil"/>
        </w:pBdr>
        <w:rPr>
          <w:lang w:val="nl-BE"/>
        </w:rPr>
      </w:pPr>
    </w:p>
    <w:sectPr w:rsidR="00BB57EF" w:rsidRPr="00E6515F" w:rsidSect="008A35EC">
      <w:headerReference w:type="default" r:id="rId12"/>
      <w:footerReference w:type="default" r:id="rId13"/>
      <w:headerReference w:type="first" r:id="rId14"/>
      <w:footerReference w:type="first" r:id="rId15"/>
      <w:pgSz w:w="11906" w:h="16838"/>
      <w:pgMar w:top="1133" w:right="1133" w:bottom="1870" w:left="1870" w:header="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0C" w:rsidRDefault="00943B0C">
      <w:pPr>
        <w:spacing w:line="240" w:lineRule="auto"/>
      </w:pPr>
      <w:r>
        <w:separator/>
      </w:r>
    </w:p>
  </w:endnote>
  <w:endnote w:type="continuationSeparator" w:id="0">
    <w:p w:rsidR="00943B0C" w:rsidRDefault="0094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24721"/>
      <w:docPartObj>
        <w:docPartGallery w:val="Page Numbers (Bottom of Page)"/>
        <w:docPartUnique/>
      </w:docPartObj>
    </w:sdtPr>
    <w:sdtEndPr/>
    <w:sdtContent>
      <w:p w:rsidR="00490F75" w:rsidRDefault="00490F75">
        <w:pPr>
          <w:pStyle w:val="Voettekst"/>
          <w:jc w:val="right"/>
        </w:pPr>
        <w:r>
          <w:fldChar w:fldCharType="begin"/>
        </w:r>
        <w:r>
          <w:instrText>PAGE   \* MERGEFORMAT</w:instrText>
        </w:r>
        <w:r>
          <w:fldChar w:fldCharType="separate"/>
        </w:r>
        <w:r w:rsidR="0062760A" w:rsidRPr="0062760A">
          <w:rPr>
            <w:noProof/>
            <w:lang w:val="nl-NL"/>
          </w:rPr>
          <w:t>24</w:t>
        </w:r>
        <w:r>
          <w:fldChar w:fldCharType="end"/>
        </w:r>
      </w:p>
    </w:sdtContent>
  </w:sdt>
  <w:p w:rsidR="00490F75" w:rsidRDefault="00490F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75" w:rsidRDefault="00490F75">
    <w:pPr>
      <w:pBdr>
        <w:top w:val="nil"/>
        <w:left w:val="nil"/>
        <w:bottom w:val="nil"/>
        <w:right w:val="nil"/>
        <w:between w:val="nil"/>
      </w:pBdr>
    </w:pPr>
  </w:p>
  <w:p w:rsidR="00490F75" w:rsidRDefault="00490F75">
    <w:pPr>
      <w:pBdr>
        <w:top w:val="nil"/>
        <w:left w:val="nil"/>
        <w:bottom w:val="nil"/>
        <w:right w:val="nil"/>
        <w:between w:val="nil"/>
      </w:pBdr>
    </w:pPr>
    <w:r>
      <w:rPr>
        <w:noProof/>
        <w:lang w:val="nl-BE"/>
      </w:rPr>
      <w:drawing>
        <wp:inline distT="114300" distB="114300" distL="114300" distR="114300" wp14:anchorId="2A02A7BC" wp14:editId="42E98E98">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0C" w:rsidRDefault="00943B0C">
      <w:pPr>
        <w:spacing w:line="240" w:lineRule="auto"/>
      </w:pPr>
      <w:r>
        <w:separator/>
      </w:r>
    </w:p>
  </w:footnote>
  <w:footnote w:type="continuationSeparator" w:id="0">
    <w:p w:rsidR="00943B0C" w:rsidRDefault="00943B0C">
      <w:pPr>
        <w:spacing w:line="240" w:lineRule="auto"/>
      </w:pPr>
      <w:r>
        <w:continuationSeparator/>
      </w:r>
    </w:p>
  </w:footnote>
  <w:footnote w:id="1">
    <w:p w:rsidR="00490F75" w:rsidRPr="002956EF" w:rsidRDefault="00490F75">
      <w:pPr>
        <w:pStyle w:val="Voetnoottekst"/>
        <w:rPr>
          <w:lang w:val="nl-BE"/>
        </w:rPr>
      </w:pPr>
      <w:r>
        <w:rPr>
          <w:rStyle w:val="Voetnootmarkering"/>
        </w:rPr>
        <w:footnoteRef/>
      </w:r>
      <w:r w:rsidRPr="002956EF">
        <w:rPr>
          <w:lang w:val="nl-BE"/>
        </w:rPr>
        <w:t xml:space="preserve"> </w:t>
      </w:r>
      <w:r>
        <w:rPr>
          <w:lang w:val="nl-BE"/>
        </w:rPr>
        <w:t xml:space="preserve">Bron: </w:t>
      </w:r>
      <w:r w:rsidRPr="002956EF">
        <w:rPr>
          <w:i/>
          <w:lang w:val="nl-BE"/>
        </w:rPr>
        <w:t>Perspectief 2020</w:t>
      </w:r>
      <w:r>
        <w:rPr>
          <w:i/>
          <w:lang w:val="nl-BE"/>
        </w:rPr>
        <w:t>:</w:t>
      </w:r>
      <w:r w:rsidRPr="002956EF">
        <w:rPr>
          <w:i/>
          <w:lang w:val="nl-BE"/>
        </w:rPr>
        <w:t xml:space="preserve"> nieuw ondersteuningsbeleid voor personen met een handicap</w:t>
      </w:r>
      <w:r>
        <w:rPr>
          <w:lang w:val="nl-BE"/>
        </w:rPr>
        <w:t xml:space="preserve">. (2010). Kabinet van Vlaams minister van Welzijn, Volksgezondheid en Gezin, Jo </w:t>
      </w:r>
      <w:proofErr w:type="spellStart"/>
      <w:r>
        <w:rPr>
          <w:lang w:val="nl-BE"/>
        </w:rPr>
        <w:t>Vandeurzen</w:t>
      </w:r>
      <w:proofErr w:type="spellEnd"/>
      <w:r>
        <w:rPr>
          <w:lang w:val="nl-BE"/>
        </w:rPr>
        <w:t>.</w:t>
      </w:r>
    </w:p>
  </w:footnote>
  <w:footnote w:id="2">
    <w:p w:rsidR="00490F75" w:rsidRPr="00670105" w:rsidRDefault="00490F75">
      <w:pPr>
        <w:pStyle w:val="Voetnoottekst"/>
        <w:rPr>
          <w:lang w:val="nl-BE"/>
        </w:rPr>
      </w:pPr>
      <w:r>
        <w:rPr>
          <w:rStyle w:val="Voetnootmarkering"/>
        </w:rPr>
        <w:footnoteRef/>
      </w:r>
      <w:r w:rsidRPr="004C2D9F">
        <w:rPr>
          <w:lang w:val="nl-BE"/>
        </w:rPr>
        <w:t xml:space="preserve"> </w:t>
      </w:r>
      <w:r>
        <w:rPr>
          <w:lang w:val="nl-BE"/>
        </w:rPr>
        <w:t xml:space="preserve">P-waarden geven weer </w:t>
      </w:r>
      <w:r w:rsidRPr="00670105">
        <w:rPr>
          <w:lang w:val="nl-BE"/>
        </w:rPr>
        <w:t xml:space="preserve">hoeveel permanentie of toezicht </w:t>
      </w:r>
      <w:r>
        <w:rPr>
          <w:lang w:val="nl-BE"/>
        </w:rPr>
        <w:t>iemand</w:t>
      </w:r>
      <w:r w:rsidRPr="00670105">
        <w:rPr>
          <w:lang w:val="nl-BE"/>
        </w:rPr>
        <w:t xml:space="preserve"> overdag nodig he</w:t>
      </w:r>
      <w:r>
        <w:rPr>
          <w:lang w:val="nl-BE"/>
        </w:rPr>
        <w:t>eft</w:t>
      </w:r>
      <w:r w:rsidRPr="00670105">
        <w:rPr>
          <w:lang w:val="nl-BE"/>
        </w:rPr>
        <w:t xml:space="preserve">, B-waarden hoeveel begeleiding </w:t>
      </w:r>
      <w:r>
        <w:rPr>
          <w:lang w:val="nl-BE"/>
        </w:rPr>
        <w:t>iemand</w:t>
      </w:r>
      <w:r w:rsidRPr="00670105">
        <w:rPr>
          <w:lang w:val="nl-BE"/>
        </w:rPr>
        <w:t xml:space="preserve"> nodig </w:t>
      </w:r>
      <w:r>
        <w:rPr>
          <w:lang w:val="nl-BE"/>
        </w:rPr>
        <w:t>heeft</w:t>
      </w:r>
      <w:r w:rsidRPr="00670105">
        <w:rPr>
          <w:lang w:val="nl-BE"/>
        </w:rPr>
        <w:t>.</w:t>
      </w:r>
    </w:p>
  </w:footnote>
  <w:footnote w:id="3">
    <w:p w:rsidR="00490F75" w:rsidRPr="00594A0B" w:rsidRDefault="00490F75">
      <w:pPr>
        <w:pStyle w:val="Voetnoottekst"/>
        <w:rPr>
          <w:lang w:val="nl-BE"/>
        </w:rPr>
      </w:pPr>
      <w:r>
        <w:rPr>
          <w:rStyle w:val="Voetnootmarkering"/>
        </w:rPr>
        <w:footnoteRef/>
      </w:r>
      <w:r w:rsidRPr="00594A0B">
        <w:rPr>
          <w:lang w:val="nl-BE"/>
        </w:rPr>
        <w:t xml:space="preserve"> </w:t>
      </w:r>
      <w:r>
        <w:rPr>
          <w:lang w:val="nl-BE"/>
        </w:rPr>
        <w:t xml:space="preserve">Zie: </w:t>
      </w:r>
      <w:r w:rsidRPr="00594A0B">
        <w:rPr>
          <w:lang w:val="nl-BE"/>
        </w:rPr>
        <w:t>https://www.vaph.be/documenten/de-werking-en-effecten-van-en-nood-aan-rechtstreeks-toegankelijke-hulp</w:t>
      </w:r>
    </w:p>
  </w:footnote>
  <w:footnote w:id="4">
    <w:p w:rsidR="00490F75" w:rsidRPr="00EE2B0E" w:rsidRDefault="00490F75">
      <w:pPr>
        <w:pStyle w:val="Voetnoottekst"/>
        <w:rPr>
          <w:lang w:val="nl-BE"/>
        </w:rPr>
      </w:pPr>
      <w:r>
        <w:rPr>
          <w:rStyle w:val="Voetnootmarkering"/>
        </w:rPr>
        <w:footnoteRef/>
      </w:r>
      <w:r w:rsidRPr="00EE2B0E">
        <w:rPr>
          <w:lang w:val="nl-BE"/>
        </w:rPr>
        <w:t xml:space="preserve"> </w:t>
      </w:r>
      <w:r>
        <w:rPr>
          <w:lang w:val="nl-BE"/>
        </w:rPr>
        <w:t>Die procedure is bestemd voor mensen uit de transitie met reeds gemiddeld 3,75 nachten waarbij nood blijkt te zijn aan continue extra ondersteuning.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75" w:rsidRDefault="00490F75">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75" w:rsidRDefault="00490F75">
    <w:pPr>
      <w:pBdr>
        <w:top w:val="nil"/>
        <w:left w:val="nil"/>
        <w:bottom w:val="nil"/>
        <w:right w:val="nil"/>
        <w:between w:val="nil"/>
      </w:pBdr>
    </w:pPr>
  </w:p>
  <w:p w:rsidR="00490F75" w:rsidRDefault="00490F75">
    <w:pPr>
      <w:pBdr>
        <w:top w:val="nil"/>
        <w:left w:val="nil"/>
        <w:bottom w:val="nil"/>
        <w:right w:val="nil"/>
        <w:between w:val="nil"/>
      </w:pBdr>
      <w:rPr>
        <w:sz w:val="54"/>
        <w:szCs w:val="54"/>
      </w:rPr>
    </w:pPr>
  </w:p>
  <w:p w:rsidR="00490F75" w:rsidRDefault="00490F75">
    <w:pPr>
      <w:pBdr>
        <w:top w:val="nil"/>
        <w:left w:val="nil"/>
        <w:bottom w:val="nil"/>
        <w:right w:val="nil"/>
        <w:between w:val="nil"/>
      </w:pBdr>
    </w:pPr>
    <w:r>
      <w:rPr>
        <w:noProof/>
        <w:lang w:val="nl-BE"/>
      </w:rPr>
      <w:drawing>
        <wp:inline distT="114300" distB="114300" distL="114300" distR="114300" wp14:anchorId="61E66AA7" wp14:editId="5F96749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5A3"/>
    <w:multiLevelType w:val="hybridMultilevel"/>
    <w:tmpl w:val="D5CC7BA6"/>
    <w:lvl w:ilvl="0" w:tplc="E92CC3F2">
      <w:start w:val="2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5457E7"/>
    <w:multiLevelType w:val="multilevel"/>
    <w:tmpl w:val="189C7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BA7DE3"/>
    <w:multiLevelType w:val="multilevel"/>
    <w:tmpl w:val="63F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F72A34"/>
    <w:multiLevelType w:val="multilevel"/>
    <w:tmpl w:val="92043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052EEF"/>
    <w:multiLevelType w:val="hybridMultilevel"/>
    <w:tmpl w:val="9C82B6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E7631C"/>
    <w:multiLevelType w:val="multilevel"/>
    <w:tmpl w:val="E870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A103AE"/>
    <w:multiLevelType w:val="hybridMultilevel"/>
    <w:tmpl w:val="D12E6774"/>
    <w:lvl w:ilvl="0" w:tplc="4DE6EFD2">
      <w:start w:val="2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191883"/>
    <w:multiLevelType w:val="multilevel"/>
    <w:tmpl w:val="37ECB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DD59FA"/>
    <w:multiLevelType w:val="hybridMultilevel"/>
    <w:tmpl w:val="5A9A462E"/>
    <w:lvl w:ilvl="0" w:tplc="16B4666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21016A"/>
    <w:multiLevelType w:val="multilevel"/>
    <w:tmpl w:val="C9DA3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C10338"/>
    <w:multiLevelType w:val="multilevel"/>
    <w:tmpl w:val="79181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F36316"/>
    <w:multiLevelType w:val="multilevel"/>
    <w:tmpl w:val="3CE6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D25EF9"/>
    <w:multiLevelType w:val="multilevel"/>
    <w:tmpl w:val="6186C33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541A3593"/>
    <w:multiLevelType w:val="hybridMultilevel"/>
    <w:tmpl w:val="9F3E7644"/>
    <w:lvl w:ilvl="0" w:tplc="6764DA34">
      <w:start w:val="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4E0656"/>
    <w:multiLevelType w:val="hybridMultilevel"/>
    <w:tmpl w:val="86F033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nsid w:val="59241194"/>
    <w:multiLevelType w:val="multilevel"/>
    <w:tmpl w:val="190A1C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6009042D"/>
    <w:multiLevelType w:val="hybridMultilevel"/>
    <w:tmpl w:val="151412E0"/>
    <w:lvl w:ilvl="0" w:tplc="48123148">
      <w:start w:val="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AB14DA4"/>
    <w:multiLevelType w:val="multilevel"/>
    <w:tmpl w:val="BB346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F137336"/>
    <w:multiLevelType w:val="multilevel"/>
    <w:tmpl w:val="3AA07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941334"/>
    <w:multiLevelType w:val="hybridMultilevel"/>
    <w:tmpl w:val="579C840C"/>
    <w:lvl w:ilvl="0" w:tplc="52ECB23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85D66CD"/>
    <w:multiLevelType w:val="multilevel"/>
    <w:tmpl w:val="0FE0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8344F6"/>
    <w:multiLevelType w:val="hybridMultilevel"/>
    <w:tmpl w:val="62BC2F90"/>
    <w:lvl w:ilvl="0" w:tplc="833052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0"/>
  </w:num>
  <w:num w:numId="5">
    <w:abstractNumId w:val="3"/>
  </w:num>
  <w:num w:numId="6">
    <w:abstractNumId w:val="7"/>
  </w:num>
  <w:num w:numId="7">
    <w:abstractNumId w:val="20"/>
  </w:num>
  <w:num w:numId="8">
    <w:abstractNumId w:val="2"/>
  </w:num>
  <w:num w:numId="9">
    <w:abstractNumId w:val="15"/>
  </w:num>
  <w:num w:numId="10">
    <w:abstractNumId w:val="14"/>
  </w:num>
  <w:num w:numId="11">
    <w:abstractNumId w:val="8"/>
  </w:num>
  <w:num w:numId="12">
    <w:abstractNumId w:val="19"/>
  </w:num>
  <w:num w:numId="13">
    <w:abstractNumId w:val="21"/>
  </w:num>
  <w:num w:numId="14">
    <w:abstractNumId w:val="4"/>
  </w:num>
  <w:num w:numId="15">
    <w:abstractNumId w:val="13"/>
  </w:num>
  <w:num w:numId="16">
    <w:abstractNumId w:val="16"/>
  </w:num>
  <w:num w:numId="17">
    <w:abstractNumId w:val="0"/>
  </w:num>
  <w:num w:numId="18">
    <w:abstractNumId w:val="6"/>
  </w:num>
  <w:num w:numId="19">
    <w:abstractNumId w:val="11"/>
  </w:num>
  <w:num w:numId="20">
    <w:abstractNumId w:val="18"/>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1B8C"/>
    <w:rsid w:val="0000330E"/>
    <w:rsid w:val="00004B53"/>
    <w:rsid w:val="0002369D"/>
    <w:rsid w:val="0002375A"/>
    <w:rsid w:val="00024D05"/>
    <w:rsid w:val="00025516"/>
    <w:rsid w:val="000343CD"/>
    <w:rsid w:val="0004496E"/>
    <w:rsid w:val="00045313"/>
    <w:rsid w:val="00062FA0"/>
    <w:rsid w:val="00063317"/>
    <w:rsid w:val="00063F78"/>
    <w:rsid w:val="00065A2F"/>
    <w:rsid w:val="00073427"/>
    <w:rsid w:val="00074B9C"/>
    <w:rsid w:val="00075830"/>
    <w:rsid w:val="0007613D"/>
    <w:rsid w:val="000943CC"/>
    <w:rsid w:val="000943D1"/>
    <w:rsid w:val="00095420"/>
    <w:rsid w:val="000A2A2B"/>
    <w:rsid w:val="000A631D"/>
    <w:rsid w:val="000B42A1"/>
    <w:rsid w:val="000B5957"/>
    <w:rsid w:val="000C35CB"/>
    <w:rsid w:val="000C6931"/>
    <w:rsid w:val="000C6D5F"/>
    <w:rsid w:val="000E1743"/>
    <w:rsid w:val="000F2719"/>
    <w:rsid w:val="00104673"/>
    <w:rsid w:val="00111B83"/>
    <w:rsid w:val="00113353"/>
    <w:rsid w:val="00121F5E"/>
    <w:rsid w:val="00126E79"/>
    <w:rsid w:val="00132ED6"/>
    <w:rsid w:val="0013775C"/>
    <w:rsid w:val="0014736F"/>
    <w:rsid w:val="00147850"/>
    <w:rsid w:val="001521F4"/>
    <w:rsid w:val="001655E4"/>
    <w:rsid w:val="00180A69"/>
    <w:rsid w:val="00182407"/>
    <w:rsid w:val="0019247C"/>
    <w:rsid w:val="001927C3"/>
    <w:rsid w:val="001950B1"/>
    <w:rsid w:val="001A0F38"/>
    <w:rsid w:val="001A7677"/>
    <w:rsid w:val="001B23E1"/>
    <w:rsid w:val="001C1826"/>
    <w:rsid w:val="001D4041"/>
    <w:rsid w:val="001D4BD9"/>
    <w:rsid w:val="001D4EFB"/>
    <w:rsid w:val="001E09E7"/>
    <w:rsid w:val="001E6879"/>
    <w:rsid w:val="001F0497"/>
    <w:rsid w:val="001F0769"/>
    <w:rsid w:val="001F1533"/>
    <w:rsid w:val="001F75CC"/>
    <w:rsid w:val="001F7AD9"/>
    <w:rsid w:val="00214F9E"/>
    <w:rsid w:val="0021564E"/>
    <w:rsid w:val="00232076"/>
    <w:rsid w:val="002336C1"/>
    <w:rsid w:val="00234759"/>
    <w:rsid w:val="00234CB4"/>
    <w:rsid w:val="002367F8"/>
    <w:rsid w:val="00243CFF"/>
    <w:rsid w:val="0025292B"/>
    <w:rsid w:val="00254682"/>
    <w:rsid w:val="00261B37"/>
    <w:rsid w:val="002772D5"/>
    <w:rsid w:val="002859D7"/>
    <w:rsid w:val="00292682"/>
    <w:rsid w:val="002956EF"/>
    <w:rsid w:val="002966A5"/>
    <w:rsid w:val="002A3D34"/>
    <w:rsid w:val="002B04AE"/>
    <w:rsid w:val="002C3E15"/>
    <w:rsid w:val="002C55B8"/>
    <w:rsid w:val="002D4968"/>
    <w:rsid w:val="002E20D1"/>
    <w:rsid w:val="002F0516"/>
    <w:rsid w:val="002F0E5A"/>
    <w:rsid w:val="002F16DD"/>
    <w:rsid w:val="00300667"/>
    <w:rsid w:val="0030792C"/>
    <w:rsid w:val="00317F9A"/>
    <w:rsid w:val="00331CE6"/>
    <w:rsid w:val="00346DD7"/>
    <w:rsid w:val="00351F04"/>
    <w:rsid w:val="003529A1"/>
    <w:rsid w:val="00365146"/>
    <w:rsid w:val="003679F6"/>
    <w:rsid w:val="003740FD"/>
    <w:rsid w:val="00380DEB"/>
    <w:rsid w:val="003822C9"/>
    <w:rsid w:val="00383601"/>
    <w:rsid w:val="00384821"/>
    <w:rsid w:val="003964E0"/>
    <w:rsid w:val="003B7EA2"/>
    <w:rsid w:val="003C67A0"/>
    <w:rsid w:val="003D0D63"/>
    <w:rsid w:val="003D0F92"/>
    <w:rsid w:val="003D1B86"/>
    <w:rsid w:val="003D721D"/>
    <w:rsid w:val="003E5823"/>
    <w:rsid w:val="00403554"/>
    <w:rsid w:val="00415E22"/>
    <w:rsid w:val="00423A31"/>
    <w:rsid w:val="00425482"/>
    <w:rsid w:val="004254F6"/>
    <w:rsid w:val="00432BE6"/>
    <w:rsid w:val="0043779B"/>
    <w:rsid w:val="00452E1E"/>
    <w:rsid w:val="0045583E"/>
    <w:rsid w:val="00457035"/>
    <w:rsid w:val="004710CF"/>
    <w:rsid w:val="004733C7"/>
    <w:rsid w:val="00474A19"/>
    <w:rsid w:val="00476AD2"/>
    <w:rsid w:val="00481595"/>
    <w:rsid w:val="00481AAD"/>
    <w:rsid w:val="00490075"/>
    <w:rsid w:val="00490F75"/>
    <w:rsid w:val="004A35A5"/>
    <w:rsid w:val="004A660A"/>
    <w:rsid w:val="004B087D"/>
    <w:rsid w:val="004C2D9F"/>
    <w:rsid w:val="004C3D11"/>
    <w:rsid w:val="004C7883"/>
    <w:rsid w:val="004C7A05"/>
    <w:rsid w:val="004D0F2C"/>
    <w:rsid w:val="004D50C4"/>
    <w:rsid w:val="004E3FBE"/>
    <w:rsid w:val="004E4DE2"/>
    <w:rsid w:val="004F0D62"/>
    <w:rsid w:val="004F792E"/>
    <w:rsid w:val="00500A49"/>
    <w:rsid w:val="0050336B"/>
    <w:rsid w:val="00505041"/>
    <w:rsid w:val="0051103E"/>
    <w:rsid w:val="00515901"/>
    <w:rsid w:val="0052058C"/>
    <w:rsid w:val="00524DA0"/>
    <w:rsid w:val="00526DE9"/>
    <w:rsid w:val="00526ED2"/>
    <w:rsid w:val="005367E4"/>
    <w:rsid w:val="0053738E"/>
    <w:rsid w:val="005541F0"/>
    <w:rsid w:val="0055599A"/>
    <w:rsid w:val="00591C0E"/>
    <w:rsid w:val="00594A0B"/>
    <w:rsid w:val="005A0B40"/>
    <w:rsid w:val="005A17C5"/>
    <w:rsid w:val="005A4956"/>
    <w:rsid w:val="005B09DA"/>
    <w:rsid w:val="005B2ED3"/>
    <w:rsid w:val="005B31C6"/>
    <w:rsid w:val="005C1F04"/>
    <w:rsid w:val="005C5EEC"/>
    <w:rsid w:val="005C6A8E"/>
    <w:rsid w:val="005C71ED"/>
    <w:rsid w:val="005D742D"/>
    <w:rsid w:val="005E5E26"/>
    <w:rsid w:val="00604C8C"/>
    <w:rsid w:val="0061087B"/>
    <w:rsid w:val="00615934"/>
    <w:rsid w:val="00626372"/>
    <w:rsid w:val="00626513"/>
    <w:rsid w:val="00627480"/>
    <w:rsid w:val="0062760A"/>
    <w:rsid w:val="006316E3"/>
    <w:rsid w:val="006331D5"/>
    <w:rsid w:val="006375B2"/>
    <w:rsid w:val="00655F0C"/>
    <w:rsid w:val="006624EF"/>
    <w:rsid w:val="006677B6"/>
    <w:rsid w:val="00670105"/>
    <w:rsid w:val="006857B0"/>
    <w:rsid w:val="00691346"/>
    <w:rsid w:val="00696A8E"/>
    <w:rsid w:val="006A011F"/>
    <w:rsid w:val="006A3FC4"/>
    <w:rsid w:val="006A57B9"/>
    <w:rsid w:val="006B2EAA"/>
    <w:rsid w:val="006B4974"/>
    <w:rsid w:val="006C69CE"/>
    <w:rsid w:val="006D36CD"/>
    <w:rsid w:val="006F0C4B"/>
    <w:rsid w:val="006F7185"/>
    <w:rsid w:val="00700972"/>
    <w:rsid w:val="007226F2"/>
    <w:rsid w:val="0073537A"/>
    <w:rsid w:val="00736091"/>
    <w:rsid w:val="00743AC9"/>
    <w:rsid w:val="007548FD"/>
    <w:rsid w:val="00767D3C"/>
    <w:rsid w:val="007700F7"/>
    <w:rsid w:val="00770291"/>
    <w:rsid w:val="0078143A"/>
    <w:rsid w:val="00791F13"/>
    <w:rsid w:val="0079403F"/>
    <w:rsid w:val="00794B1A"/>
    <w:rsid w:val="00794BBD"/>
    <w:rsid w:val="007A432C"/>
    <w:rsid w:val="007A53BD"/>
    <w:rsid w:val="007A6A10"/>
    <w:rsid w:val="007B134C"/>
    <w:rsid w:val="007B3CA4"/>
    <w:rsid w:val="007B5D93"/>
    <w:rsid w:val="007C1033"/>
    <w:rsid w:val="007C51F8"/>
    <w:rsid w:val="007E1D6B"/>
    <w:rsid w:val="007F519A"/>
    <w:rsid w:val="0080224D"/>
    <w:rsid w:val="00802B34"/>
    <w:rsid w:val="00803BE4"/>
    <w:rsid w:val="0080476E"/>
    <w:rsid w:val="00811348"/>
    <w:rsid w:val="008144FA"/>
    <w:rsid w:val="008223EB"/>
    <w:rsid w:val="00834F36"/>
    <w:rsid w:val="00844303"/>
    <w:rsid w:val="00852782"/>
    <w:rsid w:val="0085452E"/>
    <w:rsid w:val="0086254C"/>
    <w:rsid w:val="00866A2E"/>
    <w:rsid w:val="00873A39"/>
    <w:rsid w:val="00880402"/>
    <w:rsid w:val="008834AD"/>
    <w:rsid w:val="00893499"/>
    <w:rsid w:val="008969B0"/>
    <w:rsid w:val="0089745A"/>
    <w:rsid w:val="008A0ED5"/>
    <w:rsid w:val="008A35EC"/>
    <w:rsid w:val="008B0624"/>
    <w:rsid w:val="008C2AD5"/>
    <w:rsid w:val="008C7A3A"/>
    <w:rsid w:val="008D7D83"/>
    <w:rsid w:val="008E1DCB"/>
    <w:rsid w:val="008F6E91"/>
    <w:rsid w:val="0090276F"/>
    <w:rsid w:val="009044A8"/>
    <w:rsid w:val="00912587"/>
    <w:rsid w:val="00914AD8"/>
    <w:rsid w:val="00943B0C"/>
    <w:rsid w:val="009567C7"/>
    <w:rsid w:val="009641DC"/>
    <w:rsid w:val="0096688D"/>
    <w:rsid w:val="0097530D"/>
    <w:rsid w:val="00981909"/>
    <w:rsid w:val="009845F3"/>
    <w:rsid w:val="00996B4D"/>
    <w:rsid w:val="009970EB"/>
    <w:rsid w:val="009B165A"/>
    <w:rsid w:val="009C409C"/>
    <w:rsid w:val="009C7126"/>
    <w:rsid w:val="009D3396"/>
    <w:rsid w:val="009D5BE4"/>
    <w:rsid w:val="009D71E0"/>
    <w:rsid w:val="009E0B94"/>
    <w:rsid w:val="009E6A77"/>
    <w:rsid w:val="009F347E"/>
    <w:rsid w:val="009F591D"/>
    <w:rsid w:val="009F5B77"/>
    <w:rsid w:val="00A03161"/>
    <w:rsid w:val="00A10B4A"/>
    <w:rsid w:val="00A13359"/>
    <w:rsid w:val="00A13F52"/>
    <w:rsid w:val="00A14A44"/>
    <w:rsid w:val="00A179E6"/>
    <w:rsid w:val="00A3030A"/>
    <w:rsid w:val="00A50E64"/>
    <w:rsid w:val="00A533AE"/>
    <w:rsid w:val="00A5624E"/>
    <w:rsid w:val="00A62A3F"/>
    <w:rsid w:val="00A65DB8"/>
    <w:rsid w:val="00A667BD"/>
    <w:rsid w:val="00AA293B"/>
    <w:rsid w:val="00AA46CB"/>
    <w:rsid w:val="00AA77C0"/>
    <w:rsid w:val="00AB7840"/>
    <w:rsid w:val="00AD5854"/>
    <w:rsid w:val="00AE0490"/>
    <w:rsid w:val="00AE09F9"/>
    <w:rsid w:val="00AF43D6"/>
    <w:rsid w:val="00AF7FA5"/>
    <w:rsid w:val="00B00D56"/>
    <w:rsid w:val="00B0246A"/>
    <w:rsid w:val="00B02780"/>
    <w:rsid w:val="00B15C8E"/>
    <w:rsid w:val="00B16A04"/>
    <w:rsid w:val="00B356FD"/>
    <w:rsid w:val="00B41D48"/>
    <w:rsid w:val="00B62335"/>
    <w:rsid w:val="00B65CB7"/>
    <w:rsid w:val="00B717DF"/>
    <w:rsid w:val="00B72585"/>
    <w:rsid w:val="00B74E9A"/>
    <w:rsid w:val="00B757A4"/>
    <w:rsid w:val="00B90D81"/>
    <w:rsid w:val="00B914C4"/>
    <w:rsid w:val="00B92798"/>
    <w:rsid w:val="00B92A87"/>
    <w:rsid w:val="00BA1CEE"/>
    <w:rsid w:val="00BA3BC8"/>
    <w:rsid w:val="00BB29E2"/>
    <w:rsid w:val="00BB57EF"/>
    <w:rsid w:val="00BC1704"/>
    <w:rsid w:val="00BC2325"/>
    <w:rsid w:val="00BC3BB2"/>
    <w:rsid w:val="00BC6909"/>
    <w:rsid w:val="00BE58DD"/>
    <w:rsid w:val="00BF44EB"/>
    <w:rsid w:val="00BF4C53"/>
    <w:rsid w:val="00BF51F1"/>
    <w:rsid w:val="00C01F1C"/>
    <w:rsid w:val="00C0443B"/>
    <w:rsid w:val="00C1248B"/>
    <w:rsid w:val="00C14DFF"/>
    <w:rsid w:val="00C164EF"/>
    <w:rsid w:val="00C16AAC"/>
    <w:rsid w:val="00C17340"/>
    <w:rsid w:val="00C24A9E"/>
    <w:rsid w:val="00C25BD3"/>
    <w:rsid w:val="00C27F61"/>
    <w:rsid w:val="00C359CD"/>
    <w:rsid w:val="00C42B59"/>
    <w:rsid w:val="00C45F18"/>
    <w:rsid w:val="00C5096C"/>
    <w:rsid w:val="00C53927"/>
    <w:rsid w:val="00C55BCA"/>
    <w:rsid w:val="00C62F6C"/>
    <w:rsid w:val="00C67BDF"/>
    <w:rsid w:val="00C73692"/>
    <w:rsid w:val="00C774BD"/>
    <w:rsid w:val="00C82AAD"/>
    <w:rsid w:val="00C97AB6"/>
    <w:rsid w:val="00CA020E"/>
    <w:rsid w:val="00CA2874"/>
    <w:rsid w:val="00CB4393"/>
    <w:rsid w:val="00CB4395"/>
    <w:rsid w:val="00CB6110"/>
    <w:rsid w:val="00CC1C03"/>
    <w:rsid w:val="00CD1B8C"/>
    <w:rsid w:val="00CE624B"/>
    <w:rsid w:val="00CE6ABC"/>
    <w:rsid w:val="00D0327D"/>
    <w:rsid w:val="00D07CB6"/>
    <w:rsid w:val="00D14BCC"/>
    <w:rsid w:val="00D20DF0"/>
    <w:rsid w:val="00D2129C"/>
    <w:rsid w:val="00D337E9"/>
    <w:rsid w:val="00D3527D"/>
    <w:rsid w:val="00D5238C"/>
    <w:rsid w:val="00D623D3"/>
    <w:rsid w:val="00D716A9"/>
    <w:rsid w:val="00D7734F"/>
    <w:rsid w:val="00D8311C"/>
    <w:rsid w:val="00D90114"/>
    <w:rsid w:val="00DA23E7"/>
    <w:rsid w:val="00DB04EE"/>
    <w:rsid w:val="00DB3802"/>
    <w:rsid w:val="00DC43B0"/>
    <w:rsid w:val="00DC5DD6"/>
    <w:rsid w:val="00DD02E4"/>
    <w:rsid w:val="00DD14B6"/>
    <w:rsid w:val="00E028A3"/>
    <w:rsid w:val="00E248AB"/>
    <w:rsid w:val="00E25D5F"/>
    <w:rsid w:val="00E40B88"/>
    <w:rsid w:val="00E5077E"/>
    <w:rsid w:val="00E52FD8"/>
    <w:rsid w:val="00E601D0"/>
    <w:rsid w:val="00E6515F"/>
    <w:rsid w:val="00E65BCA"/>
    <w:rsid w:val="00E76F99"/>
    <w:rsid w:val="00E84309"/>
    <w:rsid w:val="00E87F05"/>
    <w:rsid w:val="00E957AF"/>
    <w:rsid w:val="00E95A2E"/>
    <w:rsid w:val="00E96738"/>
    <w:rsid w:val="00E97B3E"/>
    <w:rsid w:val="00EA2CB5"/>
    <w:rsid w:val="00EA5E34"/>
    <w:rsid w:val="00EB164C"/>
    <w:rsid w:val="00EB3CD6"/>
    <w:rsid w:val="00EB3E89"/>
    <w:rsid w:val="00EC4801"/>
    <w:rsid w:val="00EC4E3C"/>
    <w:rsid w:val="00EC561E"/>
    <w:rsid w:val="00EC600A"/>
    <w:rsid w:val="00EE1528"/>
    <w:rsid w:val="00EE2B0E"/>
    <w:rsid w:val="00EE4250"/>
    <w:rsid w:val="00EF469E"/>
    <w:rsid w:val="00EF64CF"/>
    <w:rsid w:val="00F04D35"/>
    <w:rsid w:val="00F12C28"/>
    <w:rsid w:val="00F20A1F"/>
    <w:rsid w:val="00F25788"/>
    <w:rsid w:val="00F27C3E"/>
    <w:rsid w:val="00F3144F"/>
    <w:rsid w:val="00F53E86"/>
    <w:rsid w:val="00F80021"/>
    <w:rsid w:val="00F81D03"/>
    <w:rsid w:val="00F87C86"/>
    <w:rsid w:val="00FA0664"/>
    <w:rsid w:val="00FA2F50"/>
    <w:rsid w:val="00FA3429"/>
    <w:rsid w:val="00FA51E2"/>
    <w:rsid w:val="00FA63BB"/>
    <w:rsid w:val="00FB12C3"/>
    <w:rsid w:val="00FC67AD"/>
    <w:rsid w:val="00FE3556"/>
    <w:rsid w:val="00FE604B"/>
    <w:rsid w:val="00FF0603"/>
    <w:rsid w:val="00FF60A4"/>
    <w:rsid w:val="00FF7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pPr>
      <w:keepNext/>
      <w:keepLines/>
      <w:contextualSpacing/>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04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B53"/>
    <w:rPr>
      <w:rFonts w:ascii="Tahoma" w:hAnsi="Tahoma" w:cs="Tahoma"/>
      <w:sz w:val="16"/>
      <w:szCs w:val="16"/>
    </w:rPr>
  </w:style>
  <w:style w:type="paragraph" w:styleId="Kopvaninhoudsopgave">
    <w:name w:val="TOC Heading"/>
    <w:basedOn w:val="Kop1"/>
    <w:next w:val="Standaard"/>
    <w:uiPriority w:val="39"/>
    <w:unhideWhenUsed/>
    <w:qFormat/>
    <w:rsid w:val="004D50C4"/>
    <w:pPr>
      <w:spacing w:before="480"/>
      <w:contextualSpacing w:val="0"/>
      <w:outlineLvl w:val="9"/>
    </w:pPr>
    <w:rPr>
      <w:rFonts w:asciiTheme="majorHAnsi" w:eastAsiaTheme="majorEastAsia" w:hAnsiTheme="majorHAnsi" w:cstheme="majorBidi"/>
      <w:bCs/>
      <w:color w:val="365F91" w:themeColor="accent1" w:themeShade="BF"/>
      <w:sz w:val="28"/>
      <w:szCs w:val="28"/>
      <w:lang w:val="nl-BE"/>
    </w:rPr>
  </w:style>
  <w:style w:type="paragraph" w:styleId="Inhopg1">
    <w:name w:val="toc 1"/>
    <w:basedOn w:val="Standaard"/>
    <w:next w:val="Standaard"/>
    <w:autoRedefine/>
    <w:uiPriority w:val="39"/>
    <w:unhideWhenUsed/>
    <w:rsid w:val="004D50C4"/>
    <w:pPr>
      <w:spacing w:after="100"/>
    </w:pPr>
  </w:style>
  <w:style w:type="paragraph" w:styleId="Inhopg2">
    <w:name w:val="toc 2"/>
    <w:basedOn w:val="Standaard"/>
    <w:next w:val="Standaard"/>
    <w:autoRedefine/>
    <w:uiPriority w:val="39"/>
    <w:unhideWhenUsed/>
    <w:rsid w:val="004D50C4"/>
    <w:pPr>
      <w:spacing w:after="100"/>
      <w:ind w:left="220"/>
    </w:pPr>
  </w:style>
  <w:style w:type="paragraph" w:styleId="Inhopg3">
    <w:name w:val="toc 3"/>
    <w:basedOn w:val="Standaard"/>
    <w:next w:val="Standaard"/>
    <w:autoRedefine/>
    <w:uiPriority w:val="39"/>
    <w:unhideWhenUsed/>
    <w:rsid w:val="004D50C4"/>
    <w:pPr>
      <w:spacing w:after="100"/>
      <w:ind w:left="440"/>
    </w:pPr>
  </w:style>
  <w:style w:type="character" w:styleId="Hyperlink">
    <w:name w:val="Hyperlink"/>
    <w:basedOn w:val="Standaardalinea-lettertype"/>
    <w:uiPriority w:val="99"/>
    <w:unhideWhenUsed/>
    <w:rsid w:val="004D50C4"/>
    <w:rPr>
      <w:color w:val="0000FF" w:themeColor="hyperlink"/>
      <w:u w:val="single"/>
    </w:rPr>
  </w:style>
  <w:style w:type="paragraph" w:styleId="Koptekst">
    <w:name w:val="header"/>
    <w:basedOn w:val="Standaard"/>
    <w:link w:val="KoptekstChar"/>
    <w:uiPriority w:val="99"/>
    <w:unhideWhenUsed/>
    <w:rsid w:val="004D50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50C4"/>
  </w:style>
  <w:style w:type="paragraph" w:styleId="Voettekst">
    <w:name w:val="footer"/>
    <w:basedOn w:val="Standaard"/>
    <w:link w:val="VoettekstChar"/>
    <w:uiPriority w:val="99"/>
    <w:unhideWhenUsed/>
    <w:rsid w:val="004D50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50C4"/>
  </w:style>
  <w:style w:type="table" w:styleId="Tabelraster">
    <w:name w:val="Table Grid"/>
    <w:basedOn w:val="Standaardtabel"/>
    <w:uiPriority w:val="59"/>
    <w:rsid w:val="004D50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34AD"/>
    <w:pPr>
      <w:ind w:left="720"/>
      <w:contextualSpacing/>
    </w:pPr>
  </w:style>
  <w:style w:type="paragraph" w:styleId="Bijschrift">
    <w:name w:val="caption"/>
    <w:basedOn w:val="Standaard"/>
    <w:next w:val="Standaard"/>
    <w:uiPriority w:val="35"/>
    <w:unhideWhenUsed/>
    <w:qFormat/>
    <w:rsid w:val="00300667"/>
    <w:pPr>
      <w:spacing w:after="200" w:line="240" w:lineRule="auto"/>
    </w:pPr>
    <w:rPr>
      <w:bCs/>
      <w:szCs w:val="18"/>
      <w:u w:val="single"/>
    </w:rPr>
  </w:style>
  <w:style w:type="paragraph" w:styleId="Onderwerpvanopmerking">
    <w:name w:val="annotation subject"/>
    <w:basedOn w:val="Tekstopmerking"/>
    <w:next w:val="Tekstopmerking"/>
    <w:link w:val="OnderwerpvanopmerkingChar"/>
    <w:uiPriority w:val="99"/>
    <w:semiHidden/>
    <w:unhideWhenUsed/>
    <w:rsid w:val="00B16A04"/>
    <w:rPr>
      <w:b/>
      <w:bCs/>
    </w:rPr>
  </w:style>
  <w:style w:type="character" w:customStyle="1" w:styleId="OnderwerpvanopmerkingChar">
    <w:name w:val="Onderwerp van opmerking Char"/>
    <w:basedOn w:val="TekstopmerkingChar"/>
    <w:link w:val="Onderwerpvanopmerking"/>
    <w:uiPriority w:val="99"/>
    <w:semiHidden/>
    <w:rsid w:val="00B16A04"/>
    <w:rPr>
      <w:b/>
      <w:bCs/>
      <w:sz w:val="20"/>
      <w:szCs w:val="20"/>
    </w:rPr>
  </w:style>
  <w:style w:type="paragraph" w:styleId="Normaalweb">
    <w:name w:val="Normal (Web)"/>
    <w:basedOn w:val="Standaard"/>
    <w:uiPriority w:val="99"/>
    <w:unhideWhenUsed/>
    <w:rsid w:val="00AE09F9"/>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element-invisible">
    <w:name w:val="element-invisible"/>
    <w:basedOn w:val="Standaardalinea-lettertype"/>
    <w:rsid w:val="00AE09F9"/>
  </w:style>
  <w:style w:type="paragraph" w:styleId="Geenafstand">
    <w:name w:val="No Spacing"/>
    <w:uiPriority w:val="1"/>
    <w:qFormat/>
    <w:rsid w:val="00604C8C"/>
    <w:pPr>
      <w:spacing w:line="240" w:lineRule="auto"/>
    </w:pPr>
  </w:style>
  <w:style w:type="paragraph" w:styleId="Voetnoottekst">
    <w:name w:val="footnote text"/>
    <w:basedOn w:val="Standaard"/>
    <w:link w:val="VoetnoottekstChar"/>
    <w:uiPriority w:val="99"/>
    <w:semiHidden/>
    <w:unhideWhenUsed/>
    <w:rsid w:val="00074B9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4B9C"/>
    <w:rPr>
      <w:sz w:val="20"/>
      <w:szCs w:val="20"/>
    </w:rPr>
  </w:style>
  <w:style w:type="character" w:styleId="Voetnootmarkering">
    <w:name w:val="footnote reference"/>
    <w:basedOn w:val="Standaardalinea-lettertype"/>
    <w:uiPriority w:val="99"/>
    <w:semiHidden/>
    <w:unhideWhenUsed/>
    <w:rsid w:val="00074B9C"/>
    <w:rPr>
      <w:vertAlign w:val="superscript"/>
    </w:rPr>
  </w:style>
  <w:style w:type="character" w:styleId="Subtielebenadrukking">
    <w:name w:val="Subtle Emphasis"/>
    <w:basedOn w:val="Standaardalinea-lettertype"/>
    <w:uiPriority w:val="19"/>
    <w:qFormat/>
    <w:rsid w:val="00EE2B0E"/>
    <w:rPr>
      <w:i/>
      <w:iCs/>
      <w:color w:val="808080" w:themeColor="text1" w:themeTint="7F"/>
    </w:rPr>
  </w:style>
  <w:style w:type="character" w:customStyle="1" w:styleId="tl8wme">
    <w:name w:val="tl8wme"/>
    <w:basedOn w:val="Standaardalinea-lettertype"/>
    <w:rsid w:val="00075830"/>
  </w:style>
  <w:style w:type="character" w:customStyle="1" w:styleId="Kop1Char">
    <w:name w:val="Kop 1 Char"/>
    <w:basedOn w:val="Standaardalinea-lettertype"/>
    <w:link w:val="Kop1"/>
    <w:rsid w:val="00C17340"/>
    <w:rPr>
      <w:b/>
      <w:sz w:val="38"/>
      <w:szCs w:val="38"/>
    </w:rPr>
  </w:style>
  <w:style w:type="paragraph" w:customStyle="1" w:styleId="Voorblad-Titel">
    <w:name w:val="Voorblad - Titel"/>
    <w:basedOn w:val="Titel"/>
    <w:link w:val="Voorblad-TitelChar"/>
    <w:uiPriority w:val="4"/>
    <w:rsid w:val="00476AD2"/>
    <w:pPr>
      <w:keepNext w:val="0"/>
      <w:keepLines w:val="0"/>
      <w:spacing w:before="100" w:beforeAutospacing="1" w:after="100" w:afterAutospacing="1" w:line="270" w:lineRule="atLeast"/>
    </w:pPr>
    <w:rPr>
      <w:rFonts w:eastAsiaTheme="majorEastAsia" w:cstheme="majorBidi"/>
      <w:spacing w:val="5"/>
      <w:kern w:val="28"/>
      <w:lang w:val="nl-BE" w:eastAsia="en-US"/>
    </w:rPr>
  </w:style>
  <w:style w:type="character" w:customStyle="1" w:styleId="Voorblad-TitelChar">
    <w:name w:val="Voorblad - Titel Char"/>
    <w:basedOn w:val="Standaardalinea-lettertype"/>
    <w:link w:val="Voorblad-Titel"/>
    <w:uiPriority w:val="4"/>
    <w:rsid w:val="00476AD2"/>
    <w:rPr>
      <w:rFonts w:eastAsiaTheme="majorEastAsia" w:cstheme="majorBidi"/>
      <w:color w:val="9D1A53"/>
      <w:spacing w:val="5"/>
      <w:kern w:val="28"/>
      <w:sz w:val="52"/>
      <w:szCs w:val="52"/>
      <w:lang w:val="nl-BE" w:eastAsia="en-US"/>
    </w:rPr>
  </w:style>
  <w:style w:type="paragraph" w:customStyle="1" w:styleId="Voorblad-Ondertitel">
    <w:name w:val="Voorblad - Ondertitel"/>
    <w:basedOn w:val="Ondertitel"/>
    <w:link w:val="Voorblad-OndertitelChar"/>
    <w:uiPriority w:val="4"/>
    <w:rsid w:val="00476AD2"/>
    <w:pPr>
      <w:keepNext w:val="0"/>
      <w:keepLines w:val="0"/>
      <w:numPr>
        <w:ilvl w:val="1"/>
      </w:numPr>
      <w:spacing w:before="100" w:beforeAutospacing="1" w:after="100" w:afterAutospacing="1" w:line="270" w:lineRule="atLeast"/>
    </w:pPr>
    <w:rPr>
      <w:rFonts w:eastAsiaTheme="majorEastAsia" w:cstheme="majorBidi"/>
      <w:iCs/>
      <w:spacing w:val="15"/>
      <w:szCs w:val="24"/>
      <w:lang w:val="nl-BE" w:eastAsia="en-US"/>
    </w:rPr>
  </w:style>
  <w:style w:type="character" w:customStyle="1" w:styleId="Voorblad-OndertitelChar">
    <w:name w:val="Voorblad - Ondertitel Char"/>
    <w:basedOn w:val="Standaardalinea-lettertype"/>
    <w:link w:val="Voorblad-Ondertitel"/>
    <w:uiPriority w:val="4"/>
    <w:rsid w:val="00476AD2"/>
    <w:rPr>
      <w:rFonts w:eastAsiaTheme="majorEastAsia" w:cstheme="majorBidi"/>
      <w:iCs/>
      <w:color w:val="9D1A53"/>
      <w:spacing w:val="15"/>
      <w:sz w:val="28"/>
      <w:szCs w:val="24"/>
      <w:lang w:val="nl-BE" w:eastAsia="en-US"/>
    </w:rPr>
  </w:style>
  <w:style w:type="paragraph" w:customStyle="1" w:styleId="Voorblad-Auteurs">
    <w:name w:val="Voorblad - Auteurs"/>
    <w:basedOn w:val="Standaard"/>
    <w:link w:val="Voorblad-AuteursChar"/>
    <w:uiPriority w:val="4"/>
    <w:rsid w:val="00476AD2"/>
    <w:pPr>
      <w:spacing w:before="100" w:beforeAutospacing="1" w:after="100" w:afterAutospacing="1" w:line="270" w:lineRule="atLeast"/>
    </w:pPr>
    <w:rPr>
      <w:rFonts w:cs="Times New Roman"/>
      <w:lang w:val="nl-BE" w:eastAsia="en-US"/>
    </w:rPr>
  </w:style>
  <w:style w:type="character" w:customStyle="1" w:styleId="Voorblad-AuteursChar">
    <w:name w:val="Voorblad - Auteurs Char"/>
    <w:basedOn w:val="Standaardalinea-lettertype"/>
    <w:link w:val="Voorblad-Auteurs"/>
    <w:uiPriority w:val="4"/>
    <w:rsid w:val="00476AD2"/>
    <w:rPr>
      <w:rFonts w:cs="Times New Roman"/>
      <w:lang w:val="nl-BE" w:eastAsia="en-US"/>
    </w:rPr>
  </w:style>
  <w:style w:type="paragraph" w:customStyle="1" w:styleId="Voorblad-Datumversienummer">
    <w:name w:val="Voorblad - Datum/versienummer"/>
    <w:basedOn w:val="Standaard"/>
    <w:link w:val="Voorblad-DatumversienummerChar"/>
    <w:uiPriority w:val="4"/>
    <w:rsid w:val="00476AD2"/>
    <w:pPr>
      <w:spacing w:before="100" w:beforeAutospacing="1" w:after="100" w:afterAutospacing="1" w:line="270" w:lineRule="atLeast"/>
    </w:pPr>
    <w:rPr>
      <w:rFonts w:cs="Times New Roman"/>
      <w:lang w:val="nl-BE" w:eastAsia="en-US"/>
    </w:rPr>
  </w:style>
  <w:style w:type="character" w:customStyle="1" w:styleId="Voorblad-DatumversienummerChar">
    <w:name w:val="Voorblad - Datum/versienummer Char"/>
    <w:basedOn w:val="Standaardalinea-lettertype"/>
    <w:link w:val="Voorblad-Datumversienummer"/>
    <w:uiPriority w:val="4"/>
    <w:rsid w:val="00476AD2"/>
    <w:rPr>
      <w:rFonts w:cs="Times New Roman"/>
      <w:lang w:val="nl-BE" w:eastAsia="en-US"/>
    </w:rPr>
  </w:style>
  <w:style w:type="paragraph" w:customStyle="1" w:styleId="Kopinhoudstafel">
    <w:name w:val="Kop inhoudstafel"/>
    <w:basedOn w:val="Standaard"/>
    <w:next w:val="Standaard"/>
    <w:uiPriority w:val="1"/>
    <w:rsid w:val="00476AD2"/>
    <w:pPr>
      <w:spacing w:after="240" w:line="270" w:lineRule="atLeast"/>
    </w:pPr>
    <w:rPr>
      <w:rFonts w:cs="Times New Roman"/>
      <w:b/>
      <w:color w:val="373737"/>
      <w:sz w:val="38"/>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pPr>
      <w:keepNext/>
      <w:keepLines/>
      <w:contextualSpacing/>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04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B53"/>
    <w:rPr>
      <w:rFonts w:ascii="Tahoma" w:hAnsi="Tahoma" w:cs="Tahoma"/>
      <w:sz w:val="16"/>
      <w:szCs w:val="16"/>
    </w:rPr>
  </w:style>
  <w:style w:type="paragraph" w:styleId="Kopvaninhoudsopgave">
    <w:name w:val="TOC Heading"/>
    <w:basedOn w:val="Kop1"/>
    <w:next w:val="Standaard"/>
    <w:uiPriority w:val="39"/>
    <w:unhideWhenUsed/>
    <w:qFormat/>
    <w:rsid w:val="004D50C4"/>
    <w:pPr>
      <w:spacing w:before="480"/>
      <w:contextualSpacing w:val="0"/>
      <w:outlineLvl w:val="9"/>
    </w:pPr>
    <w:rPr>
      <w:rFonts w:asciiTheme="majorHAnsi" w:eastAsiaTheme="majorEastAsia" w:hAnsiTheme="majorHAnsi" w:cstheme="majorBidi"/>
      <w:bCs/>
      <w:color w:val="365F91" w:themeColor="accent1" w:themeShade="BF"/>
      <w:sz w:val="28"/>
      <w:szCs w:val="28"/>
      <w:lang w:val="nl-BE"/>
    </w:rPr>
  </w:style>
  <w:style w:type="paragraph" w:styleId="Inhopg1">
    <w:name w:val="toc 1"/>
    <w:basedOn w:val="Standaard"/>
    <w:next w:val="Standaard"/>
    <w:autoRedefine/>
    <w:uiPriority w:val="39"/>
    <w:unhideWhenUsed/>
    <w:rsid w:val="004D50C4"/>
    <w:pPr>
      <w:spacing w:after="100"/>
    </w:pPr>
  </w:style>
  <w:style w:type="paragraph" w:styleId="Inhopg2">
    <w:name w:val="toc 2"/>
    <w:basedOn w:val="Standaard"/>
    <w:next w:val="Standaard"/>
    <w:autoRedefine/>
    <w:uiPriority w:val="39"/>
    <w:unhideWhenUsed/>
    <w:rsid w:val="004D50C4"/>
    <w:pPr>
      <w:spacing w:after="100"/>
      <w:ind w:left="220"/>
    </w:pPr>
  </w:style>
  <w:style w:type="paragraph" w:styleId="Inhopg3">
    <w:name w:val="toc 3"/>
    <w:basedOn w:val="Standaard"/>
    <w:next w:val="Standaard"/>
    <w:autoRedefine/>
    <w:uiPriority w:val="39"/>
    <w:unhideWhenUsed/>
    <w:rsid w:val="004D50C4"/>
    <w:pPr>
      <w:spacing w:after="100"/>
      <w:ind w:left="440"/>
    </w:pPr>
  </w:style>
  <w:style w:type="character" w:styleId="Hyperlink">
    <w:name w:val="Hyperlink"/>
    <w:basedOn w:val="Standaardalinea-lettertype"/>
    <w:uiPriority w:val="99"/>
    <w:unhideWhenUsed/>
    <w:rsid w:val="004D50C4"/>
    <w:rPr>
      <w:color w:val="0000FF" w:themeColor="hyperlink"/>
      <w:u w:val="single"/>
    </w:rPr>
  </w:style>
  <w:style w:type="paragraph" w:styleId="Koptekst">
    <w:name w:val="header"/>
    <w:basedOn w:val="Standaard"/>
    <w:link w:val="KoptekstChar"/>
    <w:uiPriority w:val="99"/>
    <w:unhideWhenUsed/>
    <w:rsid w:val="004D50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50C4"/>
  </w:style>
  <w:style w:type="paragraph" w:styleId="Voettekst">
    <w:name w:val="footer"/>
    <w:basedOn w:val="Standaard"/>
    <w:link w:val="VoettekstChar"/>
    <w:uiPriority w:val="99"/>
    <w:unhideWhenUsed/>
    <w:rsid w:val="004D50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50C4"/>
  </w:style>
  <w:style w:type="table" w:styleId="Tabelraster">
    <w:name w:val="Table Grid"/>
    <w:basedOn w:val="Standaardtabel"/>
    <w:uiPriority w:val="59"/>
    <w:rsid w:val="004D50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34AD"/>
    <w:pPr>
      <w:ind w:left="720"/>
      <w:contextualSpacing/>
    </w:pPr>
  </w:style>
  <w:style w:type="paragraph" w:styleId="Bijschrift">
    <w:name w:val="caption"/>
    <w:basedOn w:val="Standaard"/>
    <w:next w:val="Standaard"/>
    <w:uiPriority w:val="35"/>
    <w:unhideWhenUsed/>
    <w:qFormat/>
    <w:rsid w:val="00300667"/>
    <w:pPr>
      <w:spacing w:after="200" w:line="240" w:lineRule="auto"/>
    </w:pPr>
    <w:rPr>
      <w:bCs/>
      <w:szCs w:val="18"/>
      <w:u w:val="single"/>
    </w:rPr>
  </w:style>
  <w:style w:type="paragraph" w:styleId="Onderwerpvanopmerking">
    <w:name w:val="annotation subject"/>
    <w:basedOn w:val="Tekstopmerking"/>
    <w:next w:val="Tekstopmerking"/>
    <w:link w:val="OnderwerpvanopmerkingChar"/>
    <w:uiPriority w:val="99"/>
    <w:semiHidden/>
    <w:unhideWhenUsed/>
    <w:rsid w:val="00B16A04"/>
    <w:rPr>
      <w:b/>
      <w:bCs/>
    </w:rPr>
  </w:style>
  <w:style w:type="character" w:customStyle="1" w:styleId="OnderwerpvanopmerkingChar">
    <w:name w:val="Onderwerp van opmerking Char"/>
    <w:basedOn w:val="TekstopmerkingChar"/>
    <w:link w:val="Onderwerpvanopmerking"/>
    <w:uiPriority w:val="99"/>
    <w:semiHidden/>
    <w:rsid w:val="00B16A04"/>
    <w:rPr>
      <w:b/>
      <w:bCs/>
      <w:sz w:val="20"/>
      <w:szCs w:val="20"/>
    </w:rPr>
  </w:style>
  <w:style w:type="paragraph" w:styleId="Normaalweb">
    <w:name w:val="Normal (Web)"/>
    <w:basedOn w:val="Standaard"/>
    <w:uiPriority w:val="99"/>
    <w:unhideWhenUsed/>
    <w:rsid w:val="00AE09F9"/>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element-invisible">
    <w:name w:val="element-invisible"/>
    <w:basedOn w:val="Standaardalinea-lettertype"/>
    <w:rsid w:val="00AE09F9"/>
  </w:style>
  <w:style w:type="paragraph" w:styleId="Geenafstand">
    <w:name w:val="No Spacing"/>
    <w:uiPriority w:val="1"/>
    <w:qFormat/>
    <w:rsid w:val="00604C8C"/>
    <w:pPr>
      <w:spacing w:line="240" w:lineRule="auto"/>
    </w:pPr>
  </w:style>
  <w:style w:type="paragraph" w:styleId="Voetnoottekst">
    <w:name w:val="footnote text"/>
    <w:basedOn w:val="Standaard"/>
    <w:link w:val="VoetnoottekstChar"/>
    <w:uiPriority w:val="99"/>
    <w:semiHidden/>
    <w:unhideWhenUsed/>
    <w:rsid w:val="00074B9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4B9C"/>
    <w:rPr>
      <w:sz w:val="20"/>
      <w:szCs w:val="20"/>
    </w:rPr>
  </w:style>
  <w:style w:type="character" w:styleId="Voetnootmarkering">
    <w:name w:val="footnote reference"/>
    <w:basedOn w:val="Standaardalinea-lettertype"/>
    <w:uiPriority w:val="99"/>
    <w:semiHidden/>
    <w:unhideWhenUsed/>
    <w:rsid w:val="00074B9C"/>
    <w:rPr>
      <w:vertAlign w:val="superscript"/>
    </w:rPr>
  </w:style>
  <w:style w:type="character" w:styleId="Subtielebenadrukking">
    <w:name w:val="Subtle Emphasis"/>
    <w:basedOn w:val="Standaardalinea-lettertype"/>
    <w:uiPriority w:val="19"/>
    <w:qFormat/>
    <w:rsid w:val="00EE2B0E"/>
    <w:rPr>
      <w:i/>
      <w:iCs/>
      <w:color w:val="808080" w:themeColor="text1" w:themeTint="7F"/>
    </w:rPr>
  </w:style>
  <w:style w:type="character" w:customStyle="1" w:styleId="tl8wme">
    <w:name w:val="tl8wme"/>
    <w:basedOn w:val="Standaardalinea-lettertype"/>
    <w:rsid w:val="00075830"/>
  </w:style>
  <w:style w:type="character" w:customStyle="1" w:styleId="Kop1Char">
    <w:name w:val="Kop 1 Char"/>
    <w:basedOn w:val="Standaardalinea-lettertype"/>
    <w:link w:val="Kop1"/>
    <w:rsid w:val="00C17340"/>
    <w:rPr>
      <w:b/>
      <w:sz w:val="38"/>
      <w:szCs w:val="38"/>
    </w:rPr>
  </w:style>
  <w:style w:type="paragraph" w:customStyle="1" w:styleId="Voorblad-Titel">
    <w:name w:val="Voorblad - Titel"/>
    <w:basedOn w:val="Titel"/>
    <w:link w:val="Voorblad-TitelChar"/>
    <w:uiPriority w:val="4"/>
    <w:rsid w:val="00476AD2"/>
    <w:pPr>
      <w:keepNext w:val="0"/>
      <w:keepLines w:val="0"/>
      <w:spacing w:before="100" w:beforeAutospacing="1" w:after="100" w:afterAutospacing="1" w:line="270" w:lineRule="atLeast"/>
    </w:pPr>
    <w:rPr>
      <w:rFonts w:eastAsiaTheme="majorEastAsia" w:cstheme="majorBidi"/>
      <w:spacing w:val="5"/>
      <w:kern w:val="28"/>
      <w:lang w:val="nl-BE" w:eastAsia="en-US"/>
    </w:rPr>
  </w:style>
  <w:style w:type="character" w:customStyle="1" w:styleId="Voorblad-TitelChar">
    <w:name w:val="Voorblad - Titel Char"/>
    <w:basedOn w:val="Standaardalinea-lettertype"/>
    <w:link w:val="Voorblad-Titel"/>
    <w:uiPriority w:val="4"/>
    <w:rsid w:val="00476AD2"/>
    <w:rPr>
      <w:rFonts w:eastAsiaTheme="majorEastAsia" w:cstheme="majorBidi"/>
      <w:color w:val="9D1A53"/>
      <w:spacing w:val="5"/>
      <w:kern w:val="28"/>
      <w:sz w:val="52"/>
      <w:szCs w:val="52"/>
      <w:lang w:val="nl-BE" w:eastAsia="en-US"/>
    </w:rPr>
  </w:style>
  <w:style w:type="paragraph" w:customStyle="1" w:styleId="Voorblad-Ondertitel">
    <w:name w:val="Voorblad - Ondertitel"/>
    <w:basedOn w:val="Ondertitel"/>
    <w:link w:val="Voorblad-OndertitelChar"/>
    <w:uiPriority w:val="4"/>
    <w:rsid w:val="00476AD2"/>
    <w:pPr>
      <w:keepNext w:val="0"/>
      <w:keepLines w:val="0"/>
      <w:numPr>
        <w:ilvl w:val="1"/>
      </w:numPr>
      <w:spacing w:before="100" w:beforeAutospacing="1" w:after="100" w:afterAutospacing="1" w:line="270" w:lineRule="atLeast"/>
    </w:pPr>
    <w:rPr>
      <w:rFonts w:eastAsiaTheme="majorEastAsia" w:cstheme="majorBidi"/>
      <w:iCs/>
      <w:spacing w:val="15"/>
      <w:szCs w:val="24"/>
      <w:lang w:val="nl-BE" w:eastAsia="en-US"/>
    </w:rPr>
  </w:style>
  <w:style w:type="character" w:customStyle="1" w:styleId="Voorblad-OndertitelChar">
    <w:name w:val="Voorblad - Ondertitel Char"/>
    <w:basedOn w:val="Standaardalinea-lettertype"/>
    <w:link w:val="Voorblad-Ondertitel"/>
    <w:uiPriority w:val="4"/>
    <w:rsid w:val="00476AD2"/>
    <w:rPr>
      <w:rFonts w:eastAsiaTheme="majorEastAsia" w:cstheme="majorBidi"/>
      <w:iCs/>
      <w:color w:val="9D1A53"/>
      <w:spacing w:val="15"/>
      <w:sz w:val="28"/>
      <w:szCs w:val="24"/>
      <w:lang w:val="nl-BE" w:eastAsia="en-US"/>
    </w:rPr>
  </w:style>
  <w:style w:type="paragraph" w:customStyle="1" w:styleId="Voorblad-Auteurs">
    <w:name w:val="Voorblad - Auteurs"/>
    <w:basedOn w:val="Standaard"/>
    <w:link w:val="Voorblad-AuteursChar"/>
    <w:uiPriority w:val="4"/>
    <w:rsid w:val="00476AD2"/>
    <w:pPr>
      <w:spacing w:before="100" w:beforeAutospacing="1" w:after="100" w:afterAutospacing="1" w:line="270" w:lineRule="atLeast"/>
    </w:pPr>
    <w:rPr>
      <w:rFonts w:cs="Times New Roman"/>
      <w:lang w:val="nl-BE" w:eastAsia="en-US"/>
    </w:rPr>
  </w:style>
  <w:style w:type="character" w:customStyle="1" w:styleId="Voorblad-AuteursChar">
    <w:name w:val="Voorblad - Auteurs Char"/>
    <w:basedOn w:val="Standaardalinea-lettertype"/>
    <w:link w:val="Voorblad-Auteurs"/>
    <w:uiPriority w:val="4"/>
    <w:rsid w:val="00476AD2"/>
    <w:rPr>
      <w:rFonts w:cs="Times New Roman"/>
      <w:lang w:val="nl-BE" w:eastAsia="en-US"/>
    </w:rPr>
  </w:style>
  <w:style w:type="paragraph" w:customStyle="1" w:styleId="Voorblad-Datumversienummer">
    <w:name w:val="Voorblad - Datum/versienummer"/>
    <w:basedOn w:val="Standaard"/>
    <w:link w:val="Voorblad-DatumversienummerChar"/>
    <w:uiPriority w:val="4"/>
    <w:rsid w:val="00476AD2"/>
    <w:pPr>
      <w:spacing w:before="100" w:beforeAutospacing="1" w:after="100" w:afterAutospacing="1" w:line="270" w:lineRule="atLeast"/>
    </w:pPr>
    <w:rPr>
      <w:rFonts w:cs="Times New Roman"/>
      <w:lang w:val="nl-BE" w:eastAsia="en-US"/>
    </w:rPr>
  </w:style>
  <w:style w:type="character" w:customStyle="1" w:styleId="Voorblad-DatumversienummerChar">
    <w:name w:val="Voorblad - Datum/versienummer Char"/>
    <w:basedOn w:val="Standaardalinea-lettertype"/>
    <w:link w:val="Voorblad-Datumversienummer"/>
    <w:uiPriority w:val="4"/>
    <w:rsid w:val="00476AD2"/>
    <w:rPr>
      <w:rFonts w:cs="Times New Roman"/>
      <w:lang w:val="nl-BE" w:eastAsia="en-US"/>
    </w:rPr>
  </w:style>
  <w:style w:type="paragraph" w:customStyle="1" w:styleId="Kopinhoudstafel">
    <w:name w:val="Kop inhoudstafel"/>
    <w:basedOn w:val="Standaard"/>
    <w:next w:val="Standaard"/>
    <w:uiPriority w:val="1"/>
    <w:rsid w:val="00476AD2"/>
    <w:pPr>
      <w:spacing w:after="240" w:line="270" w:lineRule="atLeast"/>
    </w:pPr>
    <w:rPr>
      <w:rFonts w:cs="Times New Roman"/>
      <w:b/>
      <w:color w:val="373737"/>
      <w:sz w:val="3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50">
      <w:bodyDiv w:val="1"/>
      <w:marLeft w:val="0"/>
      <w:marRight w:val="0"/>
      <w:marTop w:val="0"/>
      <w:marBottom w:val="0"/>
      <w:divBdr>
        <w:top w:val="none" w:sz="0" w:space="0" w:color="auto"/>
        <w:left w:val="none" w:sz="0" w:space="0" w:color="auto"/>
        <w:bottom w:val="none" w:sz="0" w:space="0" w:color="auto"/>
        <w:right w:val="none" w:sz="0" w:space="0" w:color="auto"/>
      </w:divBdr>
      <w:divsChild>
        <w:div w:id="147408567">
          <w:marLeft w:val="0"/>
          <w:marRight w:val="0"/>
          <w:marTop w:val="0"/>
          <w:marBottom w:val="0"/>
          <w:divBdr>
            <w:top w:val="none" w:sz="0" w:space="0" w:color="auto"/>
            <w:left w:val="none" w:sz="0" w:space="0" w:color="auto"/>
            <w:bottom w:val="none" w:sz="0" w:space="0" w:color="auto"/>
            <w:right w:val="none" w:sz="0" w:space="0" w:color="auto"/>
          </w:divBdr>
        </w:div>
      </w:divsChild>
    </w:div>
    <w:div w:id="85425749">
      <w:bodyDiv w:val="1"/>
      <w:marLeft w:val="0"/>
      <w:marRight w:val="0"/>
      <w:marTop w:val="0"/>
      <w:marBottom w:val="0"/>
      <w:divBdr>
        <w:top w:val="none" w:sz="0" w:space="0" w:color="auto"/>
        <w:left w:val="none" w:sz="0" w:space="0" w:color="auto"/>
        <w:bottom w:val="none" w:sz="0" w:space="0" w:color="auto"/>
        <w:right w:val="none" w:sz="0" w:space="0" w:color="auto"/>
      </w:divBdr>
    </w:div>
    <w:div w:id="304817544">
      <w:bodyDiv w:val="1"/>
      <w:marLeft w:val="0"/>
      <w:marRight w:val="0"/>
      <w:marTop w:val="0"/>
      <w:marBottom w:val="0"/>
      <w:divBdr>
        <w:top w:val="none" w:sz="0" w:space="0" w:color="auto"/>
        <w:left w:val="none" w:sz="0" w:space="0" w:color="auto"/>
        <w:bottom w:val="none" w:sz="0" w:space="0" w:color="auto"/>
        <w:right w:val="none" w:sz="0" w:space="0" w:color="auto"/>
      </w:divBdr>
    </w:div>
    <w:div w:id="314258265">
      <w:bodyDiv w:val="1"/>
      <w:marLeft w:val="0"/>
      <w:marRight w:val="0"/>
      <w:marTop w:val="0"/>
      <w:marBottom w:val="0"/>
      <w:divBdr>
        <w:top w:val="none" w:sz="0" w:space="0" w:color="auto"/>
        <w:left w:val="none" w:sz="0" w:space="0" w:color="auto"/>
        <w:bottom w:val="none" w:sz="0" w:space="0" w:color="auto"/>
        <w:right w:val="none" w:sz="0" w:space="0" w:color="auto"/>
      </w:divBdr>
      <w:divsChild>
        <w:div w:id="718209133">
          <w:marLeft w:val="0"/>
          <w:marRight w:val="0"/>
          <w:marTop w:val="0"/>
          <w:marBottom w:val="0"/>
          <w:divBdr>
            <w:top w:val="none" w:sz="0" w:space="0" w:color="auto"/>
            <w:left w:val="none" w:sz="0" w:space="0" w:color="auto"/>
            <w:bottom w:val="none" w:sz="0" w:space="0" w:color="auto"/>
            <w:right w:val="none" w:sz="0" w:space="0" w:color="auto"/>
          </w:divBdr>
        </w:div>
        <w:div w:id="1713309880">
          <w:marLeft w:val="0"/>
          <w:marRight w:val="0"/>
          <w:marTop w:val="0"/>
          <w:marBottom w:val="0"/>
          <w:divBdr>
            <w:top w:val="none" w:sz="0" w:space="0" w:color="auto"/>
            <w:left w:val="none" w:sz="0" w:space="0" w:color="auto"/>
            <w:bottom w:val="none" w:sz="0" w:space="0" w:color="auto"/>
            <w:right w:val="none" w:sz="0" w:space="0" w:color="auto"/>
          </w:divBdr>
        </w:div>
      </w:divsChild>
    </w:div>
    <w:div w:id="332539436">
      <w:bodyDiv w:val="1"/>
      <w:marLeft w:val="0"/>
      <w:marRight w:val="0"/>
      <w:marTop w:val="0"/>
      <w:marBottom w:val="0"/>
      <w:divBdr>
        <w:top w:val="none" w:sz="0" w:space="0" w:color="auto"/>
        <w:left w:val="none" w:sz="0" w:space="0" w:color="auto"/>
        <w:bottom w:val="none" w:sz="0" w:space="0" w:color="auto"/>
        <w:right w:val="none" w:sz="0" w:space="0" w:color="auto"/>
      </w:divBdr>
    </w:div>
    <w:div w:id="484011770">
      <w:bodyDiv w:val="1"/>
      <w:marLeft w:val="0"/>
      <w:marRight w:val="0"/>
      <w:marTop w:val="0"/>
      <w:marBottom w:val="0"/>
      <w:divBdr>
        <w:top w:val="none" w:sz="0" w:space="0" w:color="auto"/>
        <w:left w:val="none" w:sz="0" w:space="0" w:color="auto"/>
        <w:bottom w:val="none" w:sz="0" w:space="0" w:color="auto"/>
        <w:right w:val="none" w:sz="0" w:space="0" w:color="auto"/>
      </w:divBdr>
    </w:div>
    <w:div w:id="493642703">
      <w:bodyDiv w:val="1"/>
      <w:marLeft w:val="0"/>
      <w:marRight w:val="0"/>
      <w:marTop w:val="0"/>
      <w:marBottom w:val="0"/>
      <w:divBdr>
        <w:top w:val="none" w:sz="0" w:space="0" w:color="auto"/>
        <w:left w:val="none" w:sz="0" w:space="0" w:color="auto"/>
        <w:bottom w:val="none" w:sz="0" w:space="0" w:color="auto"/>
        <w:right w:val="none" w:sz="0" w:space="0" w:color="auto"/>
      </w:divBdr>
      <w:divsChild>
        <w:div w:id="1584222009">
          <w:marLeft w:val="60"/>
          <w:marRight w:val="0"/>
          <w:marTop w:val="0"/>
          <w:marBottom w:val="0"/>
          <w:divBdr>
            <w:top w:val="none" w:sz="0" w:space="0" w:color="auto"/>
            <w:left w:val="none" w:sz="0" w:space="0" w:color="auto"/>
            <w:bottom w:val="none" w:sz="0" w:space="0" w:color="auto"/>
            <w:right w:val="none" w:sz="0" w:space="0" w:color="auto"/>
          </w:divBdr>
          <w:divsChild>
            <w:div w:id="56783485">
              <w:marLeft w:val="0"/>
              <w:marRight w:val="0"/>
              <w:marTop w:val="0"/>
              <w:marBottom w:val="0"/>
              <w:divBdr>
                <w:top w:val="none" w:sz="0" w:space="0" w:color="auto"/>
                <w:left w:val="none" w:sz="0" w:space="0" w:color="auto"/>
                <w:bottom w:val="none" w:sz="0" w:space="0" w:color="auto"/>
                <w:right w:val="none" w:sz="0" w:space="0" w:color="auto"/>
              </w:divBdr>
              <w:divsChild>
                <w:div w:id="10932245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494885020">
      <w:bodyDiv w:val="1"/>
      <w:marLeft w:val="0"/>
      <w:marRight w:val="0"/>
      <w:marTop w:val="0"/>
      <w:marBottom w:val="0"/>
      <w:divBdr>
        <w:top w:val="none" w:sz="0" w:space="0" w:color="auto"/>
        <w:left w:val="none" w:sz="0" w:space="0" w:color="auto"/>
        <w:bottom w:val="none" w:sz="0" w:space="0" w:color="auto"/>
        <w:right w:val="none" w:sz="0" w:space="0" w:color="auto"/>
      </w:divBdr>
    </w:div>
    <w:div w:id="503975220">
      <w:bodyDiv w:val="1"/>
      <w:marLeft w:val="0"/>
      <w:marRight w:val="0"/>
      <w:marTop w:val="0"/>
      <w:marBottom w:val="0"/>
      <w:divBdr>
        <w:top w:val="none" w:sz="0" w:space="0" w:color="auto"/>
        <w:left w:val="none" w:sz="0" w:space="0" w:color="auto"/>
        <w:bottom w:val="none" w:sz="0" w:space="0" w:color="auto"/>
        <w:right w:val="none" w:sz="0" w:space="0" w:color="auto"/>
      </w:divBdr>
    </w:div>
    <w:div w:id="529684658">
      <w:bodyDiv w:val="1"/>
      <w:marLeft w:val="0"/>
      <w:marRight w:val="0"/>
      <w:marTop w:val="0"/>
      <w:marBottom w:val="0"/>
      <w:divBdr>
        <w:top w:val="none" w:sz="0" w:space="0" w:color="auto"/>
        <w:left w:val="none" w:sz="0" w:space="0" w:color="auto"/>
        <w:bottom w:val="none" w:sz="0" w:space="0" w:color="auto"/>
        <w:right w:val="none" w:sz="0" w:space="0" w:color="auto"/>
      </w:divBdr>
    </w:div>
    <w:div w:id="592713670">
      <w:bodyDiv w:val="1"/>
      <w:marLeft w:val="0"/>
      <w:marRight w:val="0"/>
      <w:marTop w:val="0"/>
      <w:marBottom w:val="0"/>
      <w:divBdr>
        <w:top w:val="none" w:sz="0" w:space="0" w:color="auto"/>
        <w:left w:val="none" w:sz="0" w:space="0" w:color="auto"/>
        <w:bottom w:val="none" w:sz="0" w:space="0" w:color="auto"/>
        <w:right w:val="none" w:sz="0" w:space="0" w:color="auto"/>
      </w:divBdr>
    </w:div>
    <w:div w:id="817651901">
      <w:bodyDiv w:val="1"/>
      <w:marLeft w:val="0"/>
      <w:marRight w:val="0"/>
      <w:marTop w:val="0"/>
      <w:marBottom w:val="0"/>
      <w:divBdr>
        <w:top w:val="none" w:sz="0" w:space="0" w:color="auto"/>
        <w:left w:val="none" w:sz="0" w:space="0" w:color="auto"/>
        <w:bottom w:val="none" w:sz="0" w:space="0" w:color="auto"/>
        <w:right w:val="none" w:sz="0" w:space="0" w:color="auto"/>
      </w:divBdr>
    </w:div>
    <w:div w:id="1023018532">
      <w:bodyDiv w:val="1"/>
      <w:marLeft w:val="0"/>
      <w:marRight w:val="0"/>
      <w:marTop w:val="0"/>
      <w:marBottom w:val="0"/>
      <w:divBdr>
        <w:top w:val="none" w:sz="0" w:space="0" w:color="auto"/>
        <w:left w:val="none" w:sz="0" w:space="0" w:color="auto"/>
        <w:bottom w:val="none" w:sz="0" w:space="0" w:color="auto"/>
        <w:right w:val="none" w:sz="0" w:space="0" w:color="auto"/>
      </w:divBdr>
    </w:div>
    <w:div w:id="1039549275">
      <w:bodyDiv w:val="1"/>
      <w:marLeft w:val="0"/>
      <w:marRight w:val="0"/>
      <w:marTop w:val="0"/>
      <w:marBottom w:val="0"/>
      <w:divBdr>
        <w:top w:val="none" w:sz="0" w:space="0" w:color="auto"/>
        <w:left w:val="none" w:sz="0" w:space="0" w:color="auto"/>
        <w:bottom w:val="none" w:sz="0" w:space="0" w:color="auto"/>
        <w:right w:val="none" w:sz="0" w:space="0" w:color="auto"/>
      </w:divBdr>
    </w:div>
    <w:div w:id="1057751381">
      <w:bodyDiv w:val="1"/>
      <w:marLeft w:val="0"/>
      <w:marRight w:val="0"/>
      <w:marTop w:val="0"/>
      <w:marBottom w:val="0"/>
      <w:divBdr>
        <w:top w:val="none" w:sz="0" w:space="0" w:color="auto"/>
        <w:left w:val="none" w:sz="0" w:space="0" w:color="auto"/>
        <w:bottom w:val="none" w:sz="0" w:space="0" w:color="auto"/>
        <w:right w:val="none" w:sz="0" w:space="0" w:color="auto"/>
      </w:divBdr>
    </w:div>
    <w:div w:id="1210263667">
      <w:bodyDiv w:val="1"/>
      <w:marLeft w:val="0"/>
      <w:marRight w:val="0"/>
      <w:marTop w:val="0"/>
      <w:marBottom w:val="0"/>
      <w:divBdr>
        <w:top w:val="none" w:sz="0" w:space="0" w:color="auto"/>
        <w:left w:val="none" w:sz="0" w:space="0" w:color="auto"/>
        <w:bottom w:val="none" w:sz="0" w:space="0" w:color="auto"/>
        <w:right w:val="none" w:sz="0" w:space="0" w:color="auto"/>
      </w:divBdr>
    </w:div>
    <w:div w:id="1243643180">
      <w:bodyDiv w:val="1"/>
      <w:marLeft w:val="0"/>
      <w:marRight w:val="0"/>
      <w:marTop w:val="0"/>
      <w:marBottom w:val="0"/>
      <w:divBdr>
        <w:top w:val="none" w:sz="0" w:space="0" w:color="auto"/>
        <w:left w:val="none" w:sz="0" w:space="0" w:color="auto"/>
        <w:bottom w:val="none" w:sz="0" w:space="0" w:color="auto"/>
        <w:right w:val="none" w:sz="0" w:space="0" w:color="auto"/>
      </w:divBdr>
    </w:div>
    <w:div w:id="1340694994">
      <w:bodyDiv w:val="1"/>
      <w:marLeft w:val="0"/>
      <w:marRight w:val="0"/>
      <w:marTop w:val="0"/>
      <w:marBottom w:val="0"/>
      <w:divBdr>
        <w:top w:val="none" w:sz="0" w:space="0" w:color="auto"/>
        <w:left w:val="none" w:sz="0" w:space="0" w:color="auto"/>
        <w:bottom w:val="none" w:sz="0" w:space="0" w:color="auto"/>
        <w:right w:val="none" w:sz="0" w:space="0" w:color="auto"/>
      </w:divBdr>
    </w:div>
    <w:div w:id="1452936452">
      <w:bodyDiv w:val="1"/>
      <w:marLeft w:val="0"/>
      <w:marRight w:val="0"/>
      <w:marTop w:val="0"/>
      <w:marBottom w:val="0"/>
      <w:divBdr>
        <w:top w:val="none" w:sz="0" w:space="0" w:color="auto"/>
        <w:left w:val="none" w:sz="0" w:space="0" w:color="auto"/>
        <w:bottom w:val="none" w:sz="0" w:space="0" w:color="auto"/>
        <w:right w:val="none" w:sz="0" w:space="0" w:color="auto"/>
      </w:divBdr>
    </w:div>
    <w:div w:id="1677734245">
      <w:bodyDiv w:val="1"/>
      <w:marLeft w:val="0"/>
      <w:marRight w:val="0"/>
      <w:marTop w:val="0"/>
      <w:marBottom w:val="0"/>
      <w:divBdr>
        <w:top w:val="none" w:sz="0" w:space="0" w:color="auto"/>
        <w:left w:val="none" w:sz="0" w:space="0" w:color="auto"/>
        <w:bottom w:val="none" w:sz="0" w:space="0" w:color="auto"/>
        <w:right w:val="none" w:sz="0" w:space="0" w:color="auto"/>
      </w:divBdr>
    </w:div>
    <w:div w:id="1797521476">
      <w:bodyDiv w:val="1"/>
      <w:marLeft w:val="0"/>
      <w:marRight w:val="0"/>
      <w:marTop w:val="0"/>
      <w:marBottom w:val="0"/>
      <w:divBdr>
        <w:top w:val="none" w:sz="0" w:space="0" w:color="auto"/>
        <w:left w:val="none" w:sz="0" w:space="0" w:color="auto"/>
        <w:bottom w:val="none" w:sz="0" w:space="0" w:color="auto"/>
        <w:right w:val="none" w:sz="0" w:space="0" w:color="auto"/>
      </w:divBdr>
    </w:div>
    <w:div w:id="1824931976">
      <w:bodyDiv w:val="1"/>
      <w:marLeft w:val="0"/>
      <w:marRight w:val="0"/>
      <w:marTop w:val="0"/>
      <w:marBottom w:val="0"/>
      <w:divBdr>
        <w:top w:val="none" w:sz="0" w:space="0" w:color="auto"/>
        <w:left w:val="none" w:sz="0" w:space="0" w:color="auto"/>
        <w:bottom w:val="none" w:sz="0" w:space="0" w:color="auto"/>
        <w:right w:val="none" w:sz="0" w:space="0" w:color="auto"/>
      </w:divBdr>
    </w:div>
    <w:div w:id="1881892441">
      <w:bodyDiv w:val="1"/>
      <w:marLeft w:val="0"/>
      <w:marRight w:val="0"/>
      <w:marTop w:val="0"/>
      <w:marBottom w:val="0"/>
      <w:divBdr>
        <w:top w:val="none" w:sz="0" w:space="0" w:color="auto"/>
        <w:left w:val="none" w:sz="0" w:space="0" w:color="auto"/>
        <w:bottom w:val="none" w:sz="0" w:space="0" w:color="auto"/>
        <w:right w:val="none" w:sz="0" w:space="0" w:color="auto"/>
      </w:divBdr>
    </w:div>
    <w:div w:id="1949460970">
      <w:bodyDiv w:val="1"/>
      <w:marLeft w:val="0"/>
      <w:marRight w:val="0"/>
      <w:marTop w:val="0"/>
      <w:marBottom w:val="0"/>
      <w:divBdr>
        <w:top w:val="none" w:sz="0" w:space="0" w:color="auto"/>
        <w:left w:val="none" w:sz="0" w:space="0" w:color="auto"/>
        <w:bottom w:val="none" w:sz="0" w:space="0" w:color="auto"/>
        <w:right w:val="none" w:sz="0" w:space="0" w:color="auto"/>
      </w:divBdr>
    </w:div>
    <w:div w:id="2008439080">
      <w:bodyDiv w:val="1"/>
      <w:marLeft w:val="0"/>
      <w:marRight w:val="0"/>
      <w:marTop w:val="0"/>
      <w:marBottom w:val="0"/>
      <w:divBdr>
        <w:top w:val="none" w:sz="0" w:space="0" w:color="auto"/>
        <w:left w:val="none" w:sz="0" w:space="0" w:color="auto"/>
        <w:bottom w:val="none" w:sz="0" w:space="0" w:color="auto"/>
        <w:right w:val="none" w:sz="0" w:space="0" w:color="auto"/>
      </w:divBdr>
    </w:div>
    <w:div w:id="2022195605">
      <w:bodyDiv w:val="1"/>
      <w:marLeft w:val="0"/>
      <w:marRight w:val="0"/>
      <w:marTop w:val="0"/>
      <w:marBottom w:val="0"/>
      <w:divBdr>
        <w:top w:val="none" w:sz="0" w:space="0" w:color="auto"/>
        <w:left w:val="none" w:sz="0" w:space="0" w:color="auto"/>
        <w:bottom w:val="none" w:sz="0" w:space="0" w:color="auto"/>
        <w:right w:val="none" w:sz="0" w:space="0" w:color="auto"/>
      </w:divBdr>
    </w:div>
    <w:div w:id="211362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wl.smbshare.vaph.be\cwl\team%20Vergunningen%20en%20Zorgplanning\Dashboard%20globale%20planning\Andere%20rapporten\Meerjarenanalyse\rapportering%20boekhouding%20en%20budget\Cijfers%20beleidsmateries%20Prestatiejaar%202008_2013_2017%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l.smbshare.vaph.be\cwl\team%20Vergunningen%20en%20Zorgplanning\Dashboard%20globale%20planning\Andere%20rapporten\Meerjarenanalyse\Conclusies%20instroom%20uitstroom%20doorstroom.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Jaartal</c:v>
          </c:tx>
          <c:marker>
            <c:symbol val="none"/>
          </c:marker>
          <c:cat>
            <c:numRef>
              <c:f>'2008_2013_2017'!$B$58:$B$60</c:f>
              <c:numCache>
                <c:formatCode>General</c:formatCode>
                <c:ptCount val="3"/>
                <c:pt idx="0">
                  <c:v>2008</c:v>
                </c:pt>
                <c:pt idx="1">
                  <c:v>2013</c:v>
                </c:pt>
                <c:pt idx="2">
                  <c:v>2017</c:v>
                </c:pt>
              </c:numCache>
            </c:numRef>
          </c:cat>
          <c:val>
            <c:numRef>
              <c:f>'2008_2013_2017'!$D$58:$D$60</c:f>
              <c:numCache>
                <c:formatCode>"€"#,##0_);\("€"#,##0\)</c:formatCode>
                <c:ptCount val="3"/>
                <c:pt idx="0">
                  <c:v>1034723768</c:v>
                </c:pt>
                <c:pt idx="1">
                  <c:v>1372267318</c:v>
                </c:pt>
                <c:pt idx="2">
                  <c:v>1536474901</c:v>
                </c:pt>
              </c:numCache>
            </c:numRef>
          </c:val>
          <c:smooth val="0"/>
        </c:ser>
        <c:dLbls>
          <c:showLegendKey val="0"/>
          <c:showVal val="0"/>
          <c:showCatName val="0"/>
          <c:showSerName val="0"/>
          <c:showPercent val="0"/>
          <c:showBubbleSize val="0"/>
        </c:dLbls>
        <c:marker val="1"/>
        <c:smooth val="0"/>
        <c:axId val="113659904"/>
        <c:axId val="146603328"/>
      </c:lineChart>
      <c:catAx>
        <c:axId val="113659904"/>
        <c:scaling>
          <c:orientation val="minMax"/>
        </c:scaling>
        <c:delete val="0"/>
        <c:axPos val="b"/>
        <c:numFmt formatCode="General" sourceLinked="1"/>
        <c:majorTickMark val="none"/>
        <c:minorTickMark val="none"/>
        <c:tickLblPos val="nextTo"/>
        <c:crossAx val="146603328"/>
        <c:crosses val="autoZero"/>
        <c:auto val="1"/>
        <c:lblAlgn val="ctr"/>
        <c:lblOffset val="100"/>
        <c:noMultiLvlLbl val="0"/>
      </c:catAx>
      <c:valAx>
        <c:axId val="146603328"/>
        <c:scaling>
          <c:orientation val="minMax"/>
        </c:scaling>
        <c:delete val="0"/>
        <c:axPos val="l"/>
        <c:majorGridlines/>
        <c:title>
          <c:tx>
            <c:rich>
              <a:bodyPr/>
              <a:lstStyle/>
              <a:p>
                <a:pPr>
                  <a:defRPr/>
                </a:pPr>
                <a:r>
                  <a:rPr lang="en-US"/>
                  <a:t>geïnvesteerde bedragen</a:t>
                </a:r>
              </a:p>
            </c:rich>
          </c:tx>
          <c:overlay val="0"/>
        </c:title>
        <c:numFmt formatCode="#,##0" sourceLinked="0"/>
        <c:majorTickMark val="none"/>
        <c:minorTickMark val="none"/>
        <c:tickLblPos val="nextTo"/>
        <c:crossAx val="113659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Algemeen!$B$9</c:f>
              <c:strCache>
                <c:ptCount val="1"/>
                <c:pt idx="0">
                  <c:v>Aantal ondersteunde gebruikers</c:v>
                </c:pt>
              </c:strCache>
            </c:strRef>
          </c:tx>
          <c:marker>
            <c:symbol val="none"/>
          </c:marker>
          <c:cat>
            <c:numRef>
              <c:f>Algemeen!$A$10:$A$12</c:f>
              <c:numCache>
                <c:formatCode>General</c:formatCode>
                <c:ptCount val="3"/>
                <c:pt idx="0">
                  <c:v>2008</c:v>
                </c:pt>
                <c:pt idx="1">
                  <c:v>2013</c:v>
                </c:pt>
                <c:pt idx="2">
                  <c:v>2017</c:v>
                </c:pt>
              </c:numCache>
            </c:numRef>
          </c:cat>
          <c:val>
            <c:numRef>
              <c:f>Algemeen!$B$10:$B$12</c:f>
              <c:numCache>
                <c:formatCode>#,##0</c:formatCode>
                <c:ptCount val="3"/>
                <c:pt idx="0">
                  <c:v>37841</c:v>
                </c:pt>
                <c:pt idx="1">
                  <c:v>45471</c:v>
                </c:pt>
                <c:pt idx="2">
                  <c:v>57710</c:v>
                </c:pt>
              </c:numCache>
            </c:numRef>
          </c:val>
          <c:smooth val="0"/>
        </c:ser>
        <c:dLbls>
          <c:showLegendKey val="0"/>
          <c:showVal val="0"/>
          <c:showCatName val="0"/>
          <c:showSerName val="0"/>
          <c:showPercent val="0"/>
          <c:showBubbleSize val="0"/>
        </c:dLbls>
        <c:marker val="1"/>
        <c:smooth val="0"/>
        <c:axId val="113660416"/>
        <c:axId val="146932288"/>
      </c:lineChart>
      <c:catAx>
        <c:axId val="113660416"/>
        <c:scaling>
          <c:orientation val="minMax"/>
        </c:scaling>
        <c:delete val="0"/>
        <c:axPos val="b"/>
        <c:numFmt formatCode="General" sourceLinked="1"/>
        <c:majorTickMark val="none"/>
        <c:minorTickMark val="none"/>
        <c:tickLblPos val="nextTo"/>
        <c:crossAx val="146932288"/>
        <c:crosses val="autoZero"/>
        <c:auto val="1"/>
        <c:lblAlgn val="ctr"/>
        <c:lblOffset val="100"/>
        <c:noMultiLvlLbl val="0"/>
      </c:catAx>
      <c:valAx>
        <c:axId val="146932288"/>
        <c:scaling>
          <c:orientation val="minMax"/>
        </c:scaling>
        <c:delete val="0"/>
        <c:axPos val="l"/>
        <c:majorGridlines/>
        <c:numFmt formatCode="#,##0" sourceLinked="1"/>
        <c:majorTickMark val="none"/>
        <c:minorTickMark val="none"/>
        <c:tickLblPos val="nextTo"/>
        <c:crossAx val="113660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1"/>
            <c:showCatName val="1"/>
            <c:showSerName val="0"/>
            <c:showPercent val="0"/>
            <c:showBubbleSize val="0"/>
            <c:showLeaderLines val="1"/>
          </c:dLbls>
          <c:cat>
            <c:strRef>
              <c:f>Blad2!$I$4:$I$8</c:f>
              <c:strCache>
                <c:ptCount val="5"/>
                <c:pt idx="0">
                  <c:v>Zorgbudget</c:v>
                </c:pt>
                <c:pt idx="1">
                  <c:v>RTH</c:v>
                </c:pt>
                <c:pt idx="2">
                  <c:v>Zorgbudget en RTH</c:v>
                </c:pt>
                <c:pt idx="3">
                  <c:v>Deel-PVB</c:v>
                </c:pt>
                <c:pt idx="4">
                  <c:v>Geen RTH, BOB of PVB </c:v>
                </c:pt>
              </c:strCache>
            </c:strRef>
          </c:cat>
          <c:val>
            <c:numRef>
              <c:f>Blad2!$J$4:$J$8</c:f>
              <c:numCache>
                <c:formatCode>0%</c:formatCode>
                <c:ptCount val="5"/>
                <c:pt idx="0">
                  <c:v>0.25734237009652905</c:v>
                </c:pt>
                <c:pt idx="1">
                  <c:v>0.10953652358458274</c:v>
                </c:pt>
                <c:pt idx="2">
                  <c:v>0.10939960293010201</c:v>
                </c:pt>
                <c:pt idx="3">
                  <c:v>0.27555281714246593</c:v>
                </c:pt>
                <c:pt idx="4">
                  <c:v>0.24816868624632027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208E-5DF6-4F86-8E51-10840134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25459</Words>
  <Characters>140029</Characters>
  <Application>Microsoft Office Word</Application>
  <DocSecurity>0</DocSecurity>
  <Lines>1166</Lines>
  <Paragraphs>330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Pype</dc:creator>
  <cp:lastModifiedBy>Annelies De Mulder</cp:lastModifiedBy>
  <cp:revision>5</cp:revision>
  <cp:lastPrinted>2019-03-04T10:24:00Z</cp:lastPrinted>
  <dcterms:created xsi:type="dcterms:W3CDTF">2019-03-01T09:53:00Z</dcterms:created>
  <dcterms:modified xsi:type="dcterms:W3CDTF">2019-03-04T10:24:00Z</dcterms:modified>
</cp:coreProperties>
</file>