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E3" w:rsidRDefault="00B61966">
      <w:r>
        <w:t xml:space="preserve">BELANGRIJKSTE ELEMENTEN UIT HET </w:t>
      </w:r>
      <w:r w:rsidR="007F2A2E">
        <w:t>ZORGREGIE</w:t>
      </w:r>
      <w:r>
        <w:t xml:space="preserve">RAPPORT (eerste jaarhelft 2012) </w:t>
      </w:r>
      <w:r w:rsidR="00C3348F">
        <w:t xml:space="preserve"> </w:t>
      </w:r>
    </w:p>
    <w:p w:rsidR="00517D4C" w:rsidRDefault="00517D4C">
      <w:r>
        <w:t>SAMENVATTING</w:t>
      </w:r>
      <w:bookmarkStart w:id="0" w:name="_GoBack"/>
      <w:bookmarkEnd w:id="0"/>
    </w:p>
    <w:p w:rsidR="005E69C4" w:rsidRDefault="005E69C4">
      <w:pPr>
        <w:rPr>
          <w:b/>
        </w:rPr>
      </w:pPr>
      <w:r>
        <w:rPr>
          <w:b/>
        </w:rPr>
        <w:t>Het aantal geregistreerde zorgvragen blijft stijgen. Het gaat hierbij om een diversiteit van vragen</w:t>
      </w:r>
      <w:r w:rsidR="00517D4C">
        <w:rPr>
          <w:b/>
        </w:rPr>
        <w:t xml:space="preserve">, van weinig intensieve ambulante ondersteuning </w:t>
      </w:r>
      <w:r w:rsidR="00582E26">
        <w:rPr>
          <w:b/>
        </w:rPr>
        <w:t xml:space="preserve">over vragen naar persoonlijke-assistentie </w:t>
      </w:r>
      <w:r w:rsidR="00517D4C">
        <w:rPr>
          <w:b/>
        </w:rPr>
        <w:t>tot</w:t>
      </w:r>
      <w:r w:rsidR="00582E26">
        <w:rPr>
          <w:b/>
        </w:rPr>
        <w:t xml:space="preserve"> vragen naar</w:t>
      </w:r>
      <w:r w:rsidR="00517D4C">
        <w:rPr>
          <w:b/>
        </w:rPr>
        <w:t xml:space="preserve"> </w:t>
      </w:r>
      <w:r w:rsidR="00582E26">
        <w:rPr>
          <w:b/>
        </w:rPr>
        <w:t>intensieve residentiële ondersteuning (</w:t>
      </w:r>
      <w:r w:rsidR="00517D4C">
        <w:rPr>
          <w:b/>
        </w:rPr>
        <w:t>24 uur op 24 en 7 dagen op 7</w:t>
      </w:r>
      <w:r w:rsidR="00582E26">
        <w:rPr>
          <w:b/>
        </w:rPr>
        <w:t>)</w:t>
      </w:r>
      <w:r>
        <w:rPr>
          <w:b/>
        </w:rPr>
        <w:t xml:space="preserve">. Meer dan één derde van de mensen die een vraag stellen krijgt momenteel al één of andere vorm van VAPH-ondersteuning. </w:t>
      </w:r>
      <w:r w:rsidR="00582E26">
        <w:rPr>
          <w:b/>
        </w:rPr>
        <w:t xml:space="preserve">Bij deze groep gaat het </w:t>
      </w:r>
      <w:r>
        <w:rPr>
          <w:b/>
        </w:rPr>
        <w:t>vooral om mensen die vanuit de minderjarigenzorg</w:t>
      </w:r>
      <w:r w:rsidR="00582E26">
        <w:rPr>
          <w:b/>
        </w:rPr>
        <w:t xml:space="preserve"> (internaat en semi-internaat) </w:t>
      </w:r>
      <w:r>
        <w:rPr>
          <w:b/>
        </w:rPr>
        <w:t xml:space="preserve"> wensen door te stromen naar de meerderjarigenzorg</w:t>
      </w:r>
      <w:r w:rsidR="00582E26">
        <w:rPr>
          <w:b/>
        </w:rPr>
        <w:t xml:space="preserve"> (woon- of dagbestedingsondersteuning)</w:t>
      </w:r>
      <w:r>
        <w:rPr>
          <w:b/>
        </w:rPr>
        <w:t xml:space="preserve"> en om mensen die vanuit  dagbestedingsondersteuning wensen door</w:t>
      </w:r>
      <w:r w:rsidR="00582E26">
        <w:rPr>
          <w:b/>
        </w:rPr>
        <w:t xml:space="preserve"> te </w:t>
      </w:r>
      <w:r>
        <w:rPr>
          <w:b/>
        </w:rPr>
        <w:t>stromen</w:t>
      </w:r>
      <w:r w:rsidR="00DB4A34">
        <w:rPr>
          <w:b/>
        </w:rPr>
        <w:t xml:space="preserve"> naar woonondersteuning.</w:t>
      </w:r>
    </w:p>
    <w:p w:rsidR="0034732C" w:rsidRDefault="005E69C4">
      <w:pPr>
        <w:rPr>
          <w:b/>
        </w:rPr>
      </w:pPr>
      <w:r>
        <w:rPr>
          <w:b/>
        </w:rPr>
        <w:t>Dit alles betekent niet dat de middelen die de laatste jaren in de VAPH-sector geïnvesteerd zijn hun effect zouden missen</w:t>
      </w:r>
      <w:r w:rsidR="00582E26">
        <w:rPr>
          <w:b/>
        </w:rPr>
        <w:t>, wel integendeel</w:t>
      </w:r>
      <w:r>
        <w:rPr>
          <w:b/>
        </w:rPr>
        <w:t>. Het aantal afgesloten en opgeloste zorgvragen stijgt jaar na jaar, net als het aantal mensen dat door het VAPH ondersteund wordt. Zowel het aantal mensen ondersteund door een dienst of voorziening als het aantal mensen met een persoonsvolgende financiering in de vorm van een persoonlijke-assistentiebudget of een persoonsvolgend convenant</w:t>
      </w:r>
      <w:r w:rsidR="0034732C">
        <w:rPr>
          <w:b/>
        </w:rPr>
        <w:t>, stijgt jaarlijks</w:t>
      </w:r>
      <w:r w:rsidR="00517D4C">
        <w:rPr>
          <w:b/>
        </w:rPr>
        <w:t xml:space="preserve"> gevoelig</w:t>
      </w:r>
      <w:r w:rsidR="0034732C">
        <w:rPr>
          <w:b/>
        </w:rPr>
        <w:t xml:space="preserve">. </w:t>
      </w:r>
    </w:p>
    <w:p w:rsidR="0097348B" w:rsidRPr="0097348B" w:rsidRDefault="0034732C" w:rsidP="0097348B">
      <w:pPr>
        <w:rPr>
          <w:b/>
        </w:rPr>
      </w:pPr>
      <w:r>
        <w:rPr>
          <w:b/>
        </w:rPr>
        <w:t xml:space="preserve">Een grondige zorgvernieuwingsoperatie </w:t>
      </w:r>
      <w:r w:rsidR="00582E26">
        <w:rPr>
          <w:b/>
        </w:rPr>
        <w:t>is gaande</w:t>
      </w:r>
      <w:r>
        <w:rPr>
          <w:b/>
        </w:rPr>
        <w:t xml:space="preserve">. Deze moet het beleid aanpassen aan de nieuwe, internationale tendensen en moet tegemoet komen aan het stijgend aantal vragen. De beleidsvisie van deze zorgvernieuwingsoperatie is te vinden in het </w:t>
      </w:r>
      <w:r w:rsidR="00582E26">
        <w:rPr>
          <w:b/>
        </w:rPr>
        <w:t>P</w:t>
      </w:r>
      <w:r>
        <w:rPr>
          <w:b/>
        </w:rPr>
        <w:t>erspectief 2020-plan van</w:t>
      </w:r>
      <w:r w:rsidR="00582E26">
        <w:rPr>
          <w:b/>
        </w:rPr>
        <w:t xml:space="preserve"> de Vlaamse regering en van </w:t>
      </w:r>
      <w:r>
        <w:rPr>
          <w:b/>
        </w:rPr>
        <w:t xml:space="preserve">minister </w:t>
      </w:r>
      <w:r w:rsidR="00582E26">
        <w:rPr>
          <w:b/>
        </w:rPr>
        <w:t xml:space="preserve">Jo </w:t>
      </w:r>
      <w:r>
        <w:rPr>
          <w:b/>
        </w:rPr>
        <w:t xml:space="preserve">Vandeurzen. </w:t>
      </w:r>
      <w:r w:rsidR="005E69C4">
        <w:rPr>
          <w:b/>
        </w:rPr>
        <w:t xml:space="preserve"> </w:t>
      </w:r>
      <w:r w:rsidR="0097348B" w:rsidRPr="0097348B">
        <w:rPr>
          <w:b/>
        </w:rPr>
        <w:t>Ondertussen zijn reeds een aantal strategische projecten opgestart om dit perspectiefplan te realiseren. Personen met een beperking kunnen terecht bij een dienst ondersteuningsplan</w:t>
      </w:r>
      <w:r w:rsidR="00582E26">
        <w:rPr>
          <w:b/>
        </w:rPr>
        <w:t xml:space="preserve"> (DOP) </w:t>
      </w:r>
      <w:r w:rsidR="0097348B" w:rsidRPr="0097348B">
        <w:rPr>
          <w:b/>
        </w:rPr>
        <w:t xml:space="preserve">om hun </w:t>
      </w:r>
      <w:r w:rsidR="00582E26">
        <w:rPr>
          <w:b/>
        </w:rPr>
        <w:t xml:space="preserve">ondersteuningsplan vorm te geven.  De DOP’s werken </w:t>
      </w:r>
      <w:r w:rsidR="0097348B" w:rsidRPr="0097348B">
        <w:rPr>
          <w:b/>
        </w:rPr>
        <w:t xml:space="preserve">met </w:t>
      </w:r>
      <w:r w:rsidR="00582E26">
        <w:rPr>
          <w:b/>
        </w:rPr>
        <w:t xml:space="preserve">de </w:t>
      </w:r>
      <w:r w:rsidR="0097348B" w:rsidRPr="0097348B">
        <w:rPr>
          <w:b/>
        </w:rPr>
        <w:t>nieuwe visie op ondersteuning</w:t>
      </w:r>
      <w:r w:rsidR="00582E26">
        <w:rPr>
          <w:b/>
        </w:rPr>
        <w:t>: vraaggestuurd, inclusief, de zorg en ondersteuning is ingebouwd in het samenlevingsgebeuren</w:t>
      </w:r>
      <w:r w:rsidR="0097348B" w:rsidRPr="0097348B">
        <w:rPr>
          <w:b/>
        </w:rPr>
        <w:t>. Binnen het VAPH w</w:t>
      </w:r>
      <w:r w:rsidR="00582E26">
        <w:rPr>
          <w:b/>
        </w:rPr>
        <w:t xml:space="preserve">ordt </w:t>
      </w:r>
      <w:r w:rsidR="0097348B" w:rsidRPr="0097348B">
        <w:rPr>
          <w:b/>
        </w:rPr>
        <w:t xml:space="preserve"> geïnvesteerd in de uitbouw van rechtstreeks toegankelijke hulpverlening en lopen een aantal zorgvernieuwingsprojecten, waarbij de nadruk ligt op een grotere flexibiliteit en de inzet van ondersteun</w:t>
      </w:r>
      <w:r w:rsidR="00582E26">
        <w:rPr>
          <w:b/>
        </w:rPr>
        <w:t>ing uit verschillende sectoren (o.a. diensten inclusieve ondersteuning, multifunctionele centra, experimenten zorgvernieuwing).</w:t>
      </w:r>
    </w:p>
    <w:p w:rsidR="0097348B" w:rsidRDefault="0097348B">
      <w:pPr>
        <w:rPr>
          <w:b/>
        </w:rPr>
      </w:pPr>
      <w:r>
        <w:rPr>
          <w:b/>
        </w:rPr>
        <w:br w:type="page"/>
      </w:r>
    </w:p>
    <w:p w:rsidR="00C3348F" w:rsidRPr="00C3348F" w:rsidRDefault="00C3348F">
      <w:pPr>
        <w:rPr>
          <w:b/>
        </w:rPr>
      </w:pPr>
      <w:r w:rsidRPr="00C3348F">
        <w:rPr>
          <w:b/>
        </w:rPr>
        <w:lastRenderedPageBreak/>
        <w:t xml:space="preserve">Het aantal geregistreerde zorgvragen blijft stijgen. </w:t>
      </w:r>
    </w:p>
    <w:p w:rsidR="006F794B" w:rsidRDefault="006F794B">
      <w:r>
        <w:t xml:space="preserve">Jaar na jaar zien we het aantal geregistreerde zorgvragen bij de CRZ stijgen. Als we de vergelijking telkens op 30 juni maken zien we volgende evolutie. </w:t>
      </w:r>
    </w:p>
    <w:p w:rsidR="006F794B" w:rsidRDefault="0077350E">
      <w:r>
        <w:t>Tabel en grafiek</w:t>
      </w:r>
      <w:r w:rsidR="00B15654">
        <w:t>: evolutie aantal actieve vragen</w:t>
      </w:r>
      <w:r>
        <w:t xml:space="preserve">. </w:t>
      </w:r>
    </w:p>
    <w:p w:rsidR="00B15654" w:rsidRDefault="00B15654">
      <w:r w:rsidRPr="00B15654">
        <w:rPr>
          <w:noProof/>
          <w:lang w:eastAsia="nl-BE"/>
        </w:rPr>
        <w:drawing>
          <wp:inline distT="0" distB="0" distL="0" distR="0" wp14:anchorId="603F14F9" wp14:editId="6F147509">
            <wp:extent cx="5760720" cy="30423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4239"/>
                    </a:xfrm>
                    <a:prstGeom prst="rect">
                      <a:avLst/>
                    </a:prstGeom>
                    <a:noFill/>
                    <a:ln>
                      <a:noFill/>
                    </a:ln>
                  </pic:spPr>
                </pic:pic>
              </a:graphicData>
            </a:graphic>
          </wp:inline>
        </w:drawing>
      </w:r>
    </w:p>
    <w:p w:rsidR="00B15654" w:rsidRDefault="00B15654">
      <w:r>
        <w:rPr>
          <w:noProof/>
          <w:lang w:eastAsia="nl-BE"/>
        </w:rPr>
        <w:drawing>
          <wp:inline distT="0" distB="0" distL="0" distR="0" wp14:anchorId="191C60CE" wp14:editId="70BA6B0A">
            <wp:extent cx="3590544" cy="2206752"/>
            <wp:effectExtent l="0" t="0" r="10160" b="222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350E" w:rsidRDefault="00B15654">
      <w:r>
        <w:t>Sedert 1 december 2011 worden ook PAB-vragen bij de CRZ geregistreerd. Op 30 juni 2012 waren 2</w:t>
      </w:r>
      <w:r w:rsidR="00517D4C">
        <w:t>.</w:t>
      </w:r>
      <w:r>
        <w:t xml:space="preserve">365 PAB-vragen als actieve vraag geregistreerd. Samen gaat het dus om 20.943 actieve vragen. </w:t>
      </w:r>
    </w:p>
    <w:p w:rsidR="000D452E" w:rsidRDefault="000D452E">
      <w:r>
        <w:t xml:space="preserve">Deze 20.943 weerspiegelen een grote variatie aan vragen. In onderstaande tabel maken we een opsplitsing in categorieën. </w:t>
      </w:r>
    </w:p>
    <w:tbl>
      <w:tblPr>
        <w:tblStyle w:val="Tabelraster"/>
        <w:tblW w:w="0" w:type="auto"/>
        <w:tblLook w:val="04A0" w:firstRow="1" w:lastRow="0" w:firstColumn="1" w:lastColumn="0" w:noHBand="0" w:noVBand="1"/>
      </w:tblPr>
      <w:tblGrid>
        <w:gridCol w:w="2526"/>
        <w:gridCol w:w="841"/>
        <w:gridCol w:w="4972"/>
      </w:tblGrid>
      <w:tr w:rsidR="006B34C3" w:rsidRPr="006B34C3" w:rsidTr="00FE23DC">
        <w:trPr>
          <w:trHeight w:val="300"/>
        </w:trPr>
        <w:tc>
          <w:tcPr>
            <w:tcW w:w="2526" w:type="dxa"/>
            <w:noWrap/>
          </w:tcPr>
          <w:p w:rsidR="006B34C3" w:rsidRPr="0097348B" w:rsidRDefault="000D452E">
            <w:pPr>
              <w:spacing w:after="200" w:line="276" w:lineRule="auto"/>
              <w:rPr>
                <w:b/>
              </w:rPr>
            </w:pPr>
            <w:r w:rsidRPr="0097348B">
              <w:rPr>
                <w:b/>
              </w:rPr>
              <w:t>S</w:t>
            </w:r>
            <w:r w:rsidR="006B34C3" w:rsidRPr="0097348B">
              <w:rPr>
                <w:b/>
              </w:rPr>
              <w:t>oort vraag</w:t>
            </w:r>
          </w:p>
        </w:tc>
        <w:tc>
          <w:tcPr>
            <w:tcW w:w="827" w:type="dxa"/>
            <w:noWrap/>
          </w:tcPr>
          <w:p w:rsidR="006B34C3" w:rsidRPr="0097348B" w:rsidRDefault="006B34C3" w:rsidP="006B34C3">
            <w:pPr>
              <w:spacing w:after="200" w:line="276" w:lineRule="auto"/>
              <w:rPr>
                <w:b/>
              </w:rPr>
            </w:pPr>
            <w:r w:rsidRPr="0097348B">
              <w:rPr>
                <w:b/>
              </w:rPr>
              <w:t xml:space="preserve">Aantal vragen </w:t>
            </w:r>
          </w:p>
        </w:tc>
        <w:tc>
          <w:tcPr>
            <w:tcW w:w="4972" w:type="dxa"/>
            <w:noWrap/>
          </w:tcPr>
          <w:p w:rsidR="006B34C3" w:rsidRPr="0097348B" w:rsidRDefault="006B34C3" w:rsidP="006B34C3">
            <w:pPr>
              <w:spacing w:after="200" w:line="276" w:lineRule="auto"/>
              <w:rPr>
                <w:b/>
              </w:rPr>
            </w:pPr>
            <w:r w:rsidRPr="0097348B">
              <w:rPr>
                <w:b/>
              </w:rPr>
              <w:t>Zorgvragen in de CRZ</w:t>
            </w:r>
          </w:p>
        </w:tc>
      </w:tr>
      <w:tr w:rsidR="006B34C3" w:rsidRPr="006B34C3" w:rsidTr="00FE23DC">
        <w:trPr>
          <w:trHeight w:val="300"/>
        </w:trPr>
        <w:tc>
          <w:tcPr>
            <w:tcW w:w="2526" w:type="dxa"/>
            <w:noWrap/>
            <w:hideMark/>
          </w:tcPr>
          <w:p w:rsidR="006B34C3" w:rsidRPr="006B34C3" w:rsidRDefault="006B34C3">
            <w:r w:rsidRPr="006B34C3">
              <w:t>PAB</w:t>
            </w:r>
          </w:p>
        </w:tc>
        <w:tc>
          <w:tcPr>
            <w:tcW w:w="827" w:type="dxa"/>
            <w:noWrap/>
            <w:hideMark/>
          </w:tcPr>
          <w:p w:rsidR="006B34C3" w:rsidRPr="006B34C3" w:rsidRDefault="006B34C3" w:rsidP="006B34C3">
            <w:r w:rsidRPr="006B34C3">
              <w:t>2.365</w:t>
            </w:r>
          </w:p>
        </w:tc>
        <w:tc>
          <w:tcPr>
            <w:tcW w:w="4972" w:type="dxa"/>
            <w:noWrap/>
            <w:hideMark/>
          </w:tcPr>
          <w:p w:rsidR="006B34C3" w:rsidRPr="006B34C3" w:rsidRDefault="006B34C3" w:rsidP="006B34C3">
            <w:r w:rsidRPr="006B34C3">
              <w:t>PAB </w:t>
            </w:r>
            <w:r w:rsidR="000D452E">
              <w:t>(persoonlijke-assisentiebudget)</w:t>
            </w:r>
          </w:p>
        </w:tc>
      </w:tr>
      <w:tr w:rsidR="006B34C3" w:rsidRPr="006B34C3" w:rsidTr="00FE23DC">
        <w:trPr>
          <w:trHeight w:val="300"/>
        </w:trPr>
        <w:tc>
          <w:tcPr>
            <w:tcW w:w="2526" w:type="dxa"/>
            <w:noWrap/>
            <w:hideMark/>
          </w:tcPr>
          <w:p w:rsidR="006B34C3" w:rsidRPr="006B34C3" w:rsidRDefault="006B34C3" w:rsidP="006B34C3">
            <w:r w:rsidRPr="006B34C3">
              <w:t>weinig intensieve ambulante ondersteuning</w:t>
            </w:r>
          </w:p>
        </w:tc>
        <w:tc>
          <w:tcPr>
            <w:tcW w:w="827" w:type="dxa"/>
            <w:noWrap/>
            <w:hideMark/>
          </w:tcPr>
          <w:p w:rsidR="006B34C3" w:rsidRPr="006B34C3" w:rsidRDefault="006B34C3" w:rsidP="006B34C3">
            <w:r w:rsidRPr="006B34C3">
              <w:t>6.993</w:t>
            </w:r>
          </w:p>
        </w:tc>
        <w:tc>
          <w:tcPr>
            <w:tcW w:w="4972" w:type="dxa"/>
            <w:noWrap/>
            <w:hideMark/>
          </w:tcPr>
          <w:p w:rsidR="006B34C3" w:rsidRPr="006B34C3" w:rsidRDefault="006B34C3" w:rsidP="006B34C3">
            <w:r w:rsidRPr="006B34C3">
              <w:t>Thuisbegeleiding</w:t>
            </w:r>
            <w:r>
              <w:t>, begeleid wonen, ambulante begeleiding vanuit (semi-)internaat of dagcentrum</w:t>
            </w:r>
          </w:p>
        </w:tc>
      </w:tr>
      <w:tr w:rsidR="006B34C3" w:rsidRPr="006B34C3" w:rsidTr="00FE23DC">
        <w:trPr>
          <w:trHeight w:val="300"/>
        </w:trPr>
        <w:tc>
          <w:tcPr>
            <w:tcW w:w="2526" w:type="dxa"/>
            <w:noWrap/>
            <w:hideMark/>
          </w:tcPr>
          <w:p w:rsidR="006B34C3" w:rsidRPr="006B34C3" w:rsidRDefault="006B34C3" w:rsidP="000D452E">
            <w:r w:rsidRPr="006B34C3">
              <w:t xml:space="preserve">intensieve </w:t>
            </w:r>
            <w:r w:rsidR="000D452E">
              <w:t>inclusieve</w:t>
            </w:r>
            <w:r w:rsidRPr="006B34C3">
              <w:t xml:space="preserve"> woonondersteuning </w:t>
            </w:r>
          </w:p>
        </w:tc>
        <w:tc>
          <w:tcPr>
            <w:tcW w:w="827" w:type="dxa"/>
            <w:noWrap/>
            <w:hideMark/>
          </w:tcPr>
          <w:p w:rsidR="006B34C3" w:rsidRPr="006B34C3" w:rsidRDefault="006B34C3" w:rsidP="006B34C3">
            <w:r w:rsidRPr="006B34C3">
              <w:t>1.751</w:t>
            </w:r>
          </w:p>
        </w:tc>
        <w:tc>
          <w:tcPr>
            <w:tcW w:w="4972" w:type="dxa"/>
            <w:noWrap/>
            <w:hideMark/>
          </w:tcPr>
          <w:p w:rsidR="006B34C3" w:rsidRPr="006B34C3" w:rsidRDefault="006B34C3" w:rsidP="00FE23DC">
            <w:r>
              <w:t>Zelfstandig wonen, geïntegreerd wonen, beschermd wonen, DIO</w:t>
            </w:r>
            <w:r w:rsidR="000D452E">
              <w:t xml:space="preserve"> (diensten inclusieve ondersteuning)</w:t>
            </w:r>
            <w:r>
              <w:t xml:space="preserve">, </w:t>
            </w:r>
            <w:r w:rsidRPr="006B34C3">
              <w:t>pleegzorg</w:t>
            </w:r>
            <w:r>
              <w:t xml:space="preserve"> </w:t>
            </w:r>
            <w:r w:rsidR="00FE23DC">
              <w:t xml:space="preserve">of </w:t>
            </w:r>
            <w:r>
              <w:t>WOP</w:t>
            </w:r>
            <w:r w:rsidR="000D452E">
              <w:t xml:space="preserve"> (wonen met ondersteuning van een particulier)</w:t>
            </w:r>
          </w:p>
        </w:tc>
      </w:tr>
      <w:tr w:rsidR="006B34C3" w:rsidRPr="006B34C3" w:rsidTr="00FE23DC">
        <w:trPr>
          <w:trHeight w:val="300"/>
        </w:trPr>
        <w:tc>
          <w:tcPr>
            <w:tcW w:w="2526" w:type="dxa"/>
            <w:noWrap/>
            <w:hideMark/>
          </w:tcPr>
          <w:p w:rsidR="006B34C3" w:rsidRPr="006B34C3" w:rsidRDefault="006B34C3">
            <w:r w:rsidRPr="006B34C3">
              <w:t xml:space="preserve">ondersteuning bij dagbesteding </w:t>
            </w:r>
          </w:p>
        </w:tc>
        <w:tc>
          <w:tcPr>
            <w:tcW w:w="827" w:type="dxa"/>
            <w:noWrap/>
            <w:hideMark/>
          </w:tcPr>
          <w:p w:rsidR="006B34C3" w:rsidRPr="006B34C3" w:rsidRDefault="006B34C3" w:rsidP="006B34C3">
            <w:r w:rsidRPr="006B34C3">
              <w:t>3.470</w:t>
            </w:r>
          </w:p>
        </w:tc>
        <w:tc>
          <w:tcPr>
            <w:tcW w:w="4972" w:type="dxa"/>
            <w:noWrap/>
            <w:hideMark/>
          </w:tcPr>
          <w:p w:rsidR="006B34C3" w:rsidRPr="006B34C3" w:rsidRDefault="006B34C3">
            <w:r w:rsidRPr="006B34C3">
              <w:t>semi-internaat</w:t>
            </w:r>
            <w:r>
              <w:t xml:space="preserve"> schoolgaanden, semi-internaat niet-schoolgaanden, dagcentrum</w:t>
            </w:r>
            <w:r w:rsidR="00FE23DC">
              <w:t xml:space="preserve"> of</w:t>
            </w:r>
            <w:r>
              <w:t xml:space="preserve"> begeleid werken</w:t>
            </w:r>
          </w:p>
          <w:p w:rsidR="006B34C3" w:rsidRPr="006B34C3" w:rsidRDefault="006B34C3">
            <w:r w:rsidRPr="006B34C3">
              <w:t> </w:t>
            </w:r>
          </w:p>
        </w:tc>
      </w:tr>
      <w:tr w:rsidR="006B34C3" w:rsidRPr="006B34C3" w:rsidTr="00FE23DC">
        <w:trPr>
          <w:trHeight w:val="300"/>
        </w:trPr>
        <w:tc>
          <w:tcPr>
            <w:tcW w:w="2526" w:type="dxa"/>
            <w:noWrap/>
            <w:hideMark/>
          </w:tcPr>
          <w:p w:rsidR="006B34C3" w:rsidRPr="006B34C3" w:rsidRDefault="006B34C3">
            <w:r w:rsidRPr="006B34C3">
              <w:t xml:space="preserve">residentiële ondersteuning </w:t>
            </w:r>
          </w:p>
        </w:tc>
        <w:tc>
          <w:tcPr>
            <w:tcW w:w="827" w:type="dxa"/>
            <w:noWrap/>
            <w:hideMark/>
          </w:tcPr>
          <w:p w:rsidR="006B34C3" w:rsidRPr="006B34C3" w:rsidRDefault="006B34C3" w:rsidP="006B34C3">
            <w:r w:rsidRPr="006B34C3">
              <w:t>6.264</w:t>
            </w:r>
          </w:p>
        </w:tc>
        <w:tc>
          <w:tcPr>
            <w:tcW w:w="4972" w:type="dxa"/>
            <w:noWrap/>
            <w:hideMark/>
          </w:tcPr>
          <w:p w:rsidR="006B34C3" w:rsidRPr="006B34C3" w:rsidRDefault="006B34C3" w:rsidP="00FE23DC">
            <w:r w:rsidRPr="006B34C3">
              <w:t>OBC</w:t>
            </w:r>
            <w:r>
              <w:t>, internaat, tehuis niet-werkenden (bezigheid en nursing), tehuis werkenden</w:t>
            </w:r>
            <w:r w:rsidR="00FE23DC">
              <w:t xml:space="preserve"> of</w:t>
            </w:r>
            <w:r>
              <w:t xml:space="preserve"> observatie-unit</w:t>
            </w:r>
          </w:p>
        </w:tc>
      </w:tr>
    </w:tbl>
    <w:p w:rsidR="00A604D0" w:rsidRDefault="00A604D0"/>
    <w:p w:rsidR="0077350E" w:rsidRDefault="00517D4C">
      <w:r>
        <w:t>D</w:t>
      </w:r>
      <w:r w:rsidR="0077350E">
        <w:t xml:space="preserve">e stijging </w:t>
      </w:r>
      <w:r w:rsidR="00B15654">
        <w:t xml:space="preserve">van het aantal actieve vragen </w:t>
      </w:r>
      <w:r w:rsidR="0077350E">
        <w:t xml:space="preserve">weerspiegelt ongetwijfeld een stijgend aantal personen dat een vraag naar VAPH-ondersteuning stelt. Dit betekent voor heel wat van deze personen echter niet dat er nog geen ondersteuning is. </w:t>
      </w:r>
      <w:r w:rsidR="00F14AB0" w:rsidRPr="00517D4C">
        <w:rPr>
          <w:b/>
        </w:rPr>
        <w:t xml:space="preserve">37 </w:t>
      </w:r>
      <w:r w:rsidR="0077350E" w:rsidRPr="00517D4C">
        <w:rPr>
          <w:b/>
        </w:rPr>
        <w:t xml:space="preserve">% van deze mensen geniet reeds één of andere vorm van </w:t>
      </w:r>
      <w:r w:rsidR="0077350E" w:rsidRPr="00517D4C">
        <w:rPr>
          <w:b/>
        </w:rPr>
        <w:lastRenderedPageBreak/>
        <w:t>ondersteuning binnen het VAPH.</w:t>
      </w:r>
      <w:r w:rsidR="0077350E">
        <w:t xml:space="preserve"> Heel wat anderen doen momenteel een beroep op andere sectoren.  </w:t>
      </w:r>
    </w:p>
    <w:p w:rsidR="0077350E" w:rsidRDefault="0077350E">
      <w:r>
        <w:t xml:space="preserve">Als we de cijfers </w:t>
      </w:r>
      <w:r w:rsidR="00F14AB0">
        <w:t>nader</w:t>
      </w:r>
      <w:r>
        <w:t xml:space="preserve"> bekijken zien we heel wat vragen van mensen die momenteel nog ondersteund worden binnen de minderjarigenzorg en wensen over te stappen naar de meerderjarigenzorg. </w:t>
      </w:r>
      <w:r w:rsidR="00F14AB0">
        <w:t xml:space="preserve">Het gaat hier over 839 personen. </w:t>
      </w:r>
    </w:p>
    <w:p w:rsidR="0077350E" w:rsidRDefault="0077350E">
      <w:r>
        <w:t xml:space="preserve">Ook het aantal </w:t>
      </w:r>
      <w:r w:rsidR="00517D4C">
        <w:t>meerderjarigen</w:t>
      </w:r>
      <w:r>
        <w:t xml:space="preserve"> dat momenteel ondersteund wordt </w:t>
      </w:r>
      <w:r w:rsidR="00F14AB0">
        <w:t>bij de dagbesteding</w:t>
      </w:r>
      <w:r w:rsidR="00FE23DC">
        <w:t>,</w:t>
      </w:r>
      <w:r w:rsidR="00F14AB0">
        <w:t xml:space="preserve"> </w:t>
      </w:r>
      <w:r>
        <w:t xml:space="preserve">maar wenst over te stappen naar een </w:t>
      </w:r>
      <w:r w:rsidR="00F14AB0">
        <w:t xml:space="preserve">vorm van woonondersteuning </w:t>
      </w:r>
      <w:r>
        <w:t xml:space="preserve">valt op. </w:t>
      </w:r>
      <w:r w:rsidR="00F14AB0">
        <w:t xml:space="preserve">Voor de verschillende intensieve woonondersteuningsvormen </w:t>
      </w:r>
      <w:r w:rsidR="00A25FD0">
        <w:t xml:space="preserve">bij de meerderjarigen </w:t>
      </w:r>
      <w:r w:rsidR="00F14AB0">
        <w:t>spreken we over 1</w:t>
      </w:r>
      <w:r w:rsidR="00A604D0">
        <w:t>.</w:t>
      </w:r>
      <w:r w:rsidR="00F14AB0">
        <w:t>37</w:t>
      </w:r>
      <w:r w:rsidR="00A25FD0">
        <w:t>8</w:t>
      </w:r>
      <w:r w:rsidR="00F14AB0">
        <w:t xml:space="preserve"> personen</w:t>
      </w:r>
      <w:r w:rsidR="00A25FD0">
        <w:t>, die momenteel ondersteund worden door een dagcentrum of begeleid werken</w:t>
      </w:r>
      <w:r w:rsidR="00F14AB0">
        <w:t xml:space="preserve">. </w:t>
      </w:r>
    </w:p>
    <w:p w:rsidR="00C3348F" w:rsidRDefault="000D452E">
      <w:r>
        <w:t xml:space="preserve">Naast de toenemende vraag </w:t>
      </w:r>
      <w:r w:rsidR="00F14AB0">
        <w:t xml:space="preserve">zien </w:t>
      </w:r>
      <w:r>
        <w:t xml:space="preserve">we </w:t>
      </w:r>
      <w:r w:rsidR="00F14AB0">
        <w:t xml:space="preserve">ook een aantal andere redenen voor het stijgend aantal vragen. </w:t>
      </w:r>
      <w:r w:rsidR="00C3348F" w:rsidRPr="00517D4C">
        <w:rPr>
          <w:b/>
        </w:rPr>
        <w:t>Een betere zorgregie leidt tot betere registratie</w:t>
      </w:r>
      <w:r w:rsidR="00040374" w:rsidRPr="00517D4C">
        <w:rPr>
          <w:b/>
        </w:rPr>
        <w:t>.</w:t>
      </w:r>
      <w:r w:rsidR="00040374">
        <w:t xml:space="preserve"> Het is sedert 1 december 2011 onmogelijk om een begeleidingsovereenkomst te registreren binnen het VAPH als de geldende zorgregieregels niet gerespecteerd worden. </w:t>
      </w:r>
      <w:r w:rsidR="00F14AB0">
        <w:t xml:space="preserve">Dit betekent dat iedereen die wenst in te stromen zich ook dient te registreren, terwijl er vroeger een percentage van de instromers nooit geregistreerd werd. </w:t>
      </w:r>
      <w:r w:rsidR="0077350E">
        <w:t xml:space="preserve">Een deel van het stijgend aantal wachtenden wordt hierdoor verklaard. </w:t>
      </w:r>
    </w:p>
    <w:p w:rsidR="00C3348F" w:rsidRDefault="0077350E">
      <w:r>
        <w:t>Daarnaast zijn we ervan overtuigd dat de media-aandacht voor de ‘</w:t>
      </w:r>
      <w:r w:rsidR="00C3348F">
        <w:t>wachtlijst</w:t>
      </w:r>
      <w:r>
        <w:t xml:space="preserve">’ soms </w:t>
      </w:r>
      <w:r w:rsidR="00C3348F">
        <w:t xml:space="preserve">leidt tot </w:t>
      </w:r>
      <w:r>
        <w:t xml:space="preserve">vroegtijdige </w:t>
      </w:r>
      <w:r w:rsidR="00C3348F">
        <w:t>registratie</w:t>
      </w:r>
      <w:r w:rsidR="00040374">
        <w:t xml:space="preserve">. Omdat mensen bang zijn dat ze geen ondersteuning zullen krijgen op het moment dat het echt nodig is, registreert men zich al als er nog geen sprake is van een echte ondersteuningsvraag. </w:t>
      </w:r>
      <w:r w:rsidR="0038502D">
        <w:t xml:space="preserve">Dit geldt zeker voor personen die nu reeds vanuit een VAPH-dienst of voorziening ondersteund worden. </w:t>
      </w:r>
      <w:r w:rsidR="00B61966">
        <w:t xml:space="preserve">Niet alle “actieve vragen” beantwoorden dus aan de definitie: “oplossing noodzakelijke binnen de 12 maanden”. </w:t>
      </w:r>
    </w:p>
    <w:p w:rsidR="00C3348F" w:rsidRDefault="0038502D">
      <w:r>
        <w:t xml:space="preserve">Vanaf 1 december 2011 draaien de regionale prioriteitencommissies op volle toeren. </w:t>
      </w:r>
      <w:r w:rsidR="00040374">
        <w:t>De w</w:t>
      </w:r>
      <w:r w:rsidR="00C3348F">
        <w:t xml:space="preserve">erking van </w:t>
      </w:r>
      <w:r w:rsidR="00FE23DC">
        <w:t xml:space="preserve">de </w:t>
      </w:r>
      <w:r w:rsidR="00C3348F">
        <w:t>regionale prioriteitencommissie</w:t>
      </w:r>
      <w:r w:rsidR="00FE23DC">
        <w:t>s</w:t>
      </w:r>
      <w:r w:rsidR="00C3348F">
        <w:t xml:space="preserve"> maakt </w:t>
      </w:r>
      <w:r w:rsidR="00FE23DC">
        <w:t xml:space="preserve">de </w:t>
      </w:r>
      <w:r w:rsidR="00C3348F">
        <w:t>tekorten transparanter</w:t>
      </w:r>
      <w:r w:rsidR="00040374">
        <w:t xml:space="preserve">. Het wordt duidelijker dat er vaak bijzonder moeilijke en schrijnende keuzes gemaakt dienen te worden. </w:t>
      </w:r>
      <w:r w:rsidR="000D452E">
        <w:t>Waar deze keuzes vroeger enkel door de opnemende voorzieningen gemaakt werden, zijn we geëvolueerd naar regionale collectieve verantwoordelijkheid. De transparantie zal er toe leiden dat regionale overlegnetwerken gehandicaptenzorg (ROG’s) over betere gegevens beschikken</w:t>
      </w:r>
      <w:r w:rsidR="00FE23DC">
        <w:t>. Zo kunnen zij</w:t>
      </w:r>
      <w:r w:rsidR="0097348B">
        <w:t xml:space="preserve"> </w:t>
      </w:r>
      <w:r w:rsidR="000D452E">
        <w:t>hun rol bij</w:t>
      </w:r>
      <w:r w:rsidR="00FE23DC">
        <w:t xml:space="preserve"> het </w:t>
      </w:r>
      <w:r w:rsidR="000D452E">
        <w:t xml:space="preserve"> afstemmen van de zorg en ondersteuning op de vragen beter spelen. </w:t>
      </w:r>
    </w:p>
    <w:p w:rsidR="0077350E" w:rsidRDefault="0038502D">
      <w:r>
        <w:t xml:space="preserve">Voor de eerste maal zijn in het zorgregierapport analyses gemaakt m.b.t. prioritair te bemiddelen zorgvragen en hun instroomkansen. Deze analyses zullen in de toekomst vergeleken kunnen worden, waardoor we zicht zullen krijgen op de verdere evoluties in de sector. </w:t>
      </w:r>
      <w:r w:rsidR="00B61966">
        <w:t xml:space="preserve">Hierbij zullen we meer zicht krijgen op de instroomkansen van de prioritair te bemiddelen zorgvragen en op de invloed die de werking van de regionale prioriteitencommissies. </w:t>
      </w:r>
    </w:p>
    <w:p w:rsidR="00C3348F" w:rsidRPr="00C3348F" w:rsidRDefault="008A164F">
      <w:pPr>
        <w:rPr>
          <w:b/>
        </w:rPr>
      </w:pPr>
      <w:r>
        <w:rPr>
          <w:b/>
        </w:rPr>
        <w:t xml:space="preserve">Brengen de </w:t>
      </w:r>
      <w:r w:rsidR="00C3348F" w:rsidRPr="00C3348F">
        <w:rPr>
          <w:b/>
        </w:rPr>
        <w:t>ernstige investeringen in de VAPH-sector</w:t>
      </w:r>
      <w:r>
        <w:rPr>
          <w:b/>
        </w:rPr>
        <w:t xml:space="preserve"> dan geen resultaten met zich mee? </w:t>
      </w:r>
      <w:r w:rsidR="00C3348F" w:rsidRPr="00C3348F">
        <w:rPr>
          <w:b/>
        </w:rPr>
        <w:t xml:space="preserve"> </w:t>
      </w:r>
      <w:r w:rsidR="00C3348F" w:rsidRPr="00C3348F">
        <w:rPr>
          <w:b/>
        </w:rPr>
        <w:tab/>
      </w:r>
    </w:p>
    <w:p w:rsidR="000653A0" w:rsidRDefault="000653A0">
      <w:r>
        <w:t xml:space="preserve">Tijdens deze legislatuur worden de inspanningen van de vorige Vlaamse regering in de sector personen met een handicap verdergezet.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0"/>
        <w:gridCol w:w="1459"/>
        <w:gridCol w:w="1459"/>
        <w:gridCol w:w="1281"/>
        <w:gridCol w:w="1459"/>
      </w:tblGrid>
      <w:tr w:rsidR="000653A0" w:rsidRPr="000653A0" w:rsidTr="00FE23DC">
        <w:tc>
          <w:tcPr>
            <w:tcW w:w="0" w:type="auto"/>
          </w:tcPr>
          <w:p w:rsidR="000653A0" w:rsidRPr="0097348B" w:rsidRDefault="000653A0" w:rsidP="000653A0">
            <w:pPr>
              <w:spacing w:after="0" w:line="240" w:lineRule="auto"/>
              <w:rPr>
                <w:rFonts w:ascii="Trebuchet MS" w:eastAsia="Times New Roman" w:hAnsi="Trebuchet MS" w:cs="Trebuchet MS"/>
                <w:b/>
                <w:sz w:val="20"/>
                <w:szCs w:val="20"/>
                <w:lang w:eastAsia="nl-NL"/>
              </w:rPr>
            </w:pPr>
            <w:r w:rsidRPr="0097348B">
              <w:rPr>
                <w:rFonts w:ascii="Trebuchet MS" w:eastAsia="Times New Roman" w:hAnsi="Trebuchet MS" w:cs="Trebuchet MS"/>
                <w:b/>
                <w:sz w:val="20"/>
                <w:szCs w:val="20"/>
                <w:lang w:eastAsia="nl-NL"/>
              </w:rPr>
              <w:t>Jaar</w:t>
            </w:r>
          </w:p>
        </w:tc>
        <w:tc>
          <w:tcPr>
            <w:tcW w:w="0" w:type="auto"/>
          </w:tcPr>
          <w:p w:rsidR="000653A0" w:rsidRPr="0097348B" w:rsidRDefault="000653A0" w:rsidP="000653A0">
            <w:pPr>
              <w:spacing w:after="0" w:line="240" w:lineRule="auto"/>
              <w:rPr>
                <w:rFonts w:ascii="Trebuchet MS" w:eastAsia="Times New Roman" w:hAnsi="Trebuchet MS" w:cs="Trebuchet MS"/>
                <w:b/>
                <w:sz w:val="20"/>
                <w:szCs w:val="20"/>
                <w:lang w:eastAsia="nl-NL"/>
              </w:rPr>
            </w:pPr>
            <w:r w:rsidRPr="0097348B">
              <w:rPr>
                <w:rFonts w:ascii="Trebuchet MS" w:eastAsia="Times New Roman" w:hAnsi="Trebuchet MS" w:cs="Trebuchet MS"/>
                <w:b/>
                <w:sz w:val="20"/>
                <w:szCs w:val="20"/>
                <w:lang w:eastAsia="nl-NL"/>
              </w:rPr>
              <w:t>2010</w:t>
            </w:r>
          </w:p>
        </w:tc>
        <w:tc>
          <w:tcPr>
            <w:tcW w:w="0" w:type="auto"/>
          </w:tcPr>
          <w:p w:rsidR="000653A0" w:rsidRPr="0097348B" w:rsidRDefault="000653A0" w:rsidP="000653A0">
            <w:pPr>
              <w:spacing w:after="0" w:line="240" w:lineRule="auto"/>
              <w:rPr>
                <w:rFonts w:ascii="Trebuchet MS" w:eastAsia="Times New Roman" w:hAnsi="Trebuchet MS" w:cs="Trebuchet MS"/>
                <w:b/>
                <w:sz w:val="20"/>
                <w:szCs w:val="20"/>
                <w:lang w:eastAsia="nl-NL"/>
              </w:rPr>
            </w:pPr>
            <w:r w:rsidRPr="0097348B">
              <w:rPr>
                <w:rFonts w:ascii="Trebuchet MS" w:eastAsia="Times New Roman" w:hAnsi="Trebuchet MS" w:cs="Trebuchet MS"/>
                <w:b/>
                <w:sz w:val="20"/>
                <w:szCs w:val="20"/>
                <w:lang w:eastAsia="nl-NL"/>
              </w:rPr>
              <w:t>2011</w:t>
            </w:r>
          </w:p>
        </w:tc>
        <w:tc>
          <w:tcPr>
            <w:tcW w:w="0" w:type="auto"/>
          </w:tcPr>
          <w:p w:rsidR="000653A0" w:rsidRPr="0097348B" w:rsidRDefault="000653A0" w:rsidP="000653A0">
            <w:pPr>
              <w:spacing w:after="0" w:line="240" w:lineRule="auto"/>
              <w:rPr>
                <w:rFonts w:ascii="Trebuchet MS" w:eastAsia="Times New Roman" w:hAnsi="Trebuchet MS" w:cs="Trebuchet MS"/>
                <w:b/>
                <w:sz w:val="20"/>
                <w:szCs w:val="20"/>
                <w:lang w:eastAsia="nl-NL"/>
              </w:rPr>
            </w:pPr>
            <w:r w:rsidRPr="0097348B">
              <w:rPr>
                <w:rFonts w:ascii="Trebuchet MS" w:eastAsia="Times New Roman" w:hAnsi="Trebuchet MS" w:cs="Trebuchet MS"/>
                <w:b/>
                <w:sz w:val="20"/>
                <w:szCs w:val="20"/>
                <w:lang w:eastAsia="nl-NL"/>
              </w:rPr>
              <w:t>2012</w:t>
            </w:r>
          </w:p>
        </w:tc>
        <w:tc>
          <w:tcPr>
            <w:tcW w:w="0" w:type="auto"/>
          </w:tcPr>
          <w:p w:rsidR="000653A0" w:rsidRPr="0097348B" w:rsidRDefault="000653A0" w:rsidP="000653A0">
            <w:pPr>
              <w:spacing w:after="0" w:line="240" w:lineRule="auto"/>
              <w:rPr>
                <w:rFonts w:ascii="Trebuchet MS" w:eastAsia="Times New Roman" w:hAnsi="Trebuchet MS" w:cs="Trebuchet MS"/>
                <w:b/>
                <w:sz w:val="20"/>
                <w:szCs w:val="20"/>
                <w:lang w:eastAsia="nl-NL"/>
              </w:rPr>
            </w:pPr>
            <w:r w:rsidRPr="0097348B">
              <w:rPr>
                <w:rFonts w:ascii="Trebuchet MS" w:eastAsia="Times New Roman" w:hAnsi="Trebuchet MS" w:cs="Trebuchet MS"/>
                <w:b/>
                <w:sz w:val="20"/>
                <w:szCs w:val="20"/>
                <w:lang w:eastAsia="nl-NL"/>
              </w:rPr>
              <w:t>Totaal</w:t>
            </w:r>
          </w:p>
        </w:tc>
      </w:tr>
      <w:tr w:rsidR="000653A0" w:rsidRPr="000653A0" w:rsidTr="00FE23DC">
        <w:tc>
          <w:tcPr>
            <w:tcW w:w="0" w:type="auto"/>
          </w:tcPr>
          <w:p w:rsidR="000653A0" w:rsidRPr="000653A0" w:rsidRDefault="000653A0" w:rsidP="000653A0">
            <w:pPr>
              <w:spacing w:after="0" w:line="240" w:lineRule="auto"/>
              <w:rPr>
                <w:rFonts w:ascii="Trebuchet MS" w:eastAsia="Times New Roman" w:hAnsi="Trebuchet MS" w:cs="Trebuchet MS"/>
                <w:sz w:val="20"/>
                <w:szCs w:val="20"/>
                <w:lang w:eastAsia="nl-NL"/>
              </w:rPr>
            </w:pPr>
            <w:r w:rsidRPr="000653A0">
              <w:rPr>
                <w:rFonts w:ascii="Trebuchet MS" w:eastAsia="Times New Roman" w:hAnsi="Trebuchet MS" w:cs="Trebuchet MS"/>
                <w:sz w:val="20"/>
                <w:szCs w:val="20"/>
                <w:lang w:eastAsia="nl-NL"/>
              </w:rPr>
              <w:t>Voorziene extra middelen</w:t>
            </w:r>
          </w:p>
        </w:tc>
        <w:tc>
          <w:tcPr>
            <w:tcW w:w="0" w:type="auto"/>
          </w:tcPr>
          <w:p w:rsidR="000653A0" w:rsidRPr="000653A0" w:rsidRDefault="000653A0" w:rsidP="000653A0">
            <w:pPr>
              <w:spacing w:after="0" w:line="240" w:lineRule="auto"/>
              <w:rPr>
                <w:rFonts w:ascii="Trebuchet MS" w:eastAsia="Times New Roman" w:hAnsi="Trebuchet MS" w:cs="Trebuchet MS"/>
                <w:sz w:val="20"/>
                <w:szCs w:val="20"/>
                <w:lang w:eastAsia="nl-NL"/>
              </w:rPr>
            </w:pPr>
            <w:r w:rsidRPr="000653A0">
              <w:rPr>
                <w:rFonts w:ascii="Trebuchet MS" w:eastAsia="Times New Roman" w:hAnsi="Trebuchet MS" w:cs="Trebuchet MS"/>
                <w:sz w:val="20"/>
                <w:szCs w:val="20"/>
                <w:lang w:eastAsia="nl-NL"/>
              </w:rPr>
              <w:t>22,5 mio euro</w:t>
            </w:r>
          </w:p>
        </w:tc>
        <w:tc>
          <w:tcPr>
            <w:tcW w:w="0" w:type="auto"/>
          </w:tcPr>
          <w:p w:rsidR="000653A0" w:rsidRPr="000653A0" w:rsidRDefault="000653A0" w:rsidP="000653A0">
            <w:pPr>
              <w:spacing w:after="0" w:line="240" w:lineRule="auto"/>
              <w:rPr>
                <w:rFonts w:ascii="Trebuchet MS" w:eastAsia="Times New Roman" w:hAnsi="Trebuchet MS" w:cs="Trebuchet MS"/>
                <w:sz w:val="20"/>
                <w:szCs w:val="20"/>
                <w:lang w:eastAsia="nl-NL"/>
              </w:rPr>
            </w:pPr>
            <w:r w:rsidRPr="000653A0">
              <w:rPr>
                <w:rFonts w:ascii="Trebuchet MS" w:eastAsia="Times New Roman" w:hAnsi="Trebuchet MS" w:cs="Trebuchet MS"/>
                <w:sz w:val="20"/>
                <w:szCs w:val="20"/>
                <w:lang w:eastAsia="nl-NL"/>
              </w:rPr>
              <w:t>31,3 mio euro</w:t>
            </w:r>
          </w:p>
        </w:tc>
        <w:tc>
          <w:tcPr>
            <w:tcW w:w="0" w:type="auto"/>
          </w:tcPr>
          <w:p w:rsidR="000653A0" w:rsidRPr="000653A0" w:rsidRDefault="000653A0" w:rsidP="000653A0">
            <w:pPr>
              <w:spacing w:after="0" w:line="240" w:lineRule="auto"/>
              <w:rPr>
                <w:rFonts w:ascii="Trebuchet MS" w:eastAsia="Times New Roman" w:hAnsi="Trebuchet MS" w:cs="Trebuchet MS"/>
                <w:sz w:val="20"/>
                <w:szCs w:val="20"/>
                <w:lang w:eastAsia="nl-NL"/>
              </w:rPr>
            </w:pPr>
            <w:r w:rsidRPr="000653A0">
              <w:rPr>
                <w:rFonts w:ascii="Trebuchet MS" w:eastAsia="Times New Roman" w:hAnsi="Trebuchet MS" w:cs="Trebuchet MS"/>
                <w:sz w:val="20"/>
                <w:szCs w:val="20"/>
                <w:lang w:eastAsia="nl-NL"/>
              </w:rPr>
              <w:t>35 mio euro</w:t>
            </w:r>
          </w:p>
        </w:tc>
        <w:tc>
          <w:tcPr>
            <w:tcW w:w="0" w:type="auto"/>
          </w:tcPr>
          <w:p w:rsidR="000653A0" w:rsidRPr="000653A0" w:rsidRDefault="000653A0" w:rsidP="000653A0">
            <w:pPr>
              <w:spacing w:after="0" w:line="240" w:lineRule="auto"/>
              <w:rPr>
                <w:rFonts w:ascii="Trebuchet MS" w:eastAsia="Times New Roman" w:hAnsi="Trebuchet MS" w:cs="Trebuchet MS"/>
                <w:sz w:val="20"/>
                <w:szCs w:val="20"/>
                <w:lang w:eastAsia="nl-NL"/>
              </w:rPr>
            </w:pPr>
            <w:r>
              <w:rPr>
                <w:rFonts w:ascii="Trebuchet MS" w:eastAsia="Times New Roman" w:hAnsi="Trebuchet MS" w:cs="Trebuchet MS"/>
                <w:sz w:val="20"/>
                <w:szCs w:val="20"/>
                <w:lang w:eastAsia="nl-NL"/>
              </w:rPr>
              <w:t>88,8</w:t>
            </w:r>
            <w:r w:rsidRPr="000653A0">
              <w:rPr>
                <w:rFonts w:ascii="Trebuchet MS" w:eastAsia="Times New Roman" w:hAnsi="Trebuchet MS" w:cs="Trebuchet MS"/>
                <w:sz w:val="20"/>
                <w:szCs w:val="20"/>
                <w:lang w:eastAsia="nl-NL"/>
              </w:rPr>
              <w:t xml:space="preserve"> mio euro</w:t>
            </w:r>
          </w:p>
        </w:tc>
      </w:tr>
    </w:tbl>
    <w:p w:rsidR="000653A0" w:rsidRDefault="000653A0"/>
    <w:p w:rsidR="000653A0" w:rsidRDefault="000653A0">
      <w:r>
        <w:lastRenderedPageBreak/>
        <w:t xml:space="preserve">Ook voor de komende jaren heeft de Vlaamse regering zich geëngageerd. In 2013 wordt 30 miljoen </w:t>
      </w:r>
      <w:r w:rsidR="00FE23DC">
        <w:t>euro</w:t>
      </w:r>
      <w:r>
        <w:t xml:space="preserve"> extra in de sector geïnvesteerd en voor 2014 is er een engagement</w:t>
      </w:r>
      <w:r w:rsidR="00FE23DC">
        <w:t xml:space="preserve">. </w:t>
      </w:r>
      <w:r>
        <w:t xml:space="preserve">Dit brengt de totale investering voor deze legislatuur op </w:t>
      </w:r>
      <w:r w:rsidR="00B61966">
        <w:t xml:space="preserve">minimaal 145 </w:t>
      </w:r>
      <w:r>
        <w:t xml:space="preserve"> miljoen </w:t>
      </w:r>
      <w:r w:rsidR="00FE23DC">
        <w:t xml:space="preserve">euro </w:t>
      </w:r>
      <w:r>
        <w:t xml:space="preserve">bijkomende extra middelen. </w:t>
      </w:r>
    </w:p>
    <w:p w:rsidR="0097348B" w:rsidRDefault="00C3348F">
      <w:r>
        <w:t>Deze investeringen hebben ongetwijfeld belangrijke resultaten</w:t>
      </w:r>
      <w:r w:rsidR="001946F9">
        <w:t xml:space="preserve">. </w:t>
      </w:r>
      <w:r>
        <w:t xml:space="preserve"> </w:t>
      </w:r>
      <w:r w:rsidR="001946F9">
        <w:t>Dit b</w:t>
      </w:r>
      <w:r>
        <w:t xml:space="preserve">lijkt </w:t>
      </w:r>
      <w:r w:rsidR="000653A0">
        <w:t xml:space="preserve">o.a. </w:t>
      </w:r>
      <w:r>
        <w:t xml:space="preserve">uit </w:t>
      </w:r>
      <w:r w:rsidR="000653A0">
        <w:t xml:space="preserve">de stijging van </w:t>
      </w:r>
      <w:r>
        <w:t xml:space="preserve">het aantal afgesloten vragen </w:t>
      </w:r>
      <w:r w:rsidR="000653A0">
        <w:t>bij de CRZ</w:t>
      </w:r>
      <w:r>
        <w:t xml:space="preserve">. </w:t>
      </w:r>
    </w:p>
    <w:p w:rsidR="0038502D" w:rsidRPr="0038502D" w:rsidRDefault="0038502D" w:rsidP="0038502D">
      <w:pPr>
        <w:rPr>
          <w:lang w:val="nl-NL"/>
        </w:rPr>
      </w:pPr>
      <w:r w:rsidRPr="0038502D">
        <w:rPr>
          <w:b/>
          <w:lang w:val="nl-NL"/>
        </w:rPr>
        <w:t xml:space="preserve">Tabel </w:t>
      </w:r>
      <w:r w:rsidR="006B34C3">
        <w:rPr>
          <w:b/>
          <w:lang w:val="nl-NL"/>
        </w:rPr>
        <w:t>en gra</w:t>
      </w:r>
      <w:r w:rsidR="00807A7E">
        <w:rPr>
          <w:b/>
          <w:lang w:val="nl-NL"/>
        </w:rPr>
        <w:t>fiek</w:t>
      </w:r>
      <w:r w:rsidRPr="0038502D">
        <w:rPr>
          <w:b/>
          <w:lang w:val="nl-NL"/>
        </w:rPr>
        <w:t xml:space="preserve"> – Evolutie van het aantal afgesloten vragen</w:t>
      </w:r>
      <w:r>
        <w:rPr>
          <w:b/>
          <w:lang w:val="nl-NL"/>
        </w:rPr>
        <w:t xml:space="preserve"> (telkens in de periode van 1 januari tot en met 30 juni) </w:t>
      </w:r>
    </w:p>
    <w:tbl>
      <w:tblPr>
        <w:tblW w:w="8289"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869"/>
        <w:gridCol w:w="642"/>
        <w:gridCol w:w="642"/>
        <w:gridCol w:w="642"/>
        <w:gridCol w:w="642"/>
        <w:gridCol w:w="642"/>
        <w:gridCol w:w="642"/>
        <w:gridCol w:w="642"/>
        <w:gridCol w:w="642"/>
        <w:gridCol w:w="642"/>
        <w:gridCol w:w="642"/>
      </w:tblGrid>
      <w:tr w:rsidR="0038502D" w:rsidRPr="0038502D" w:rsidTr="00807A7E">
        <w:trPr>
          <w:trHeight w:val="300"/>
        </w:trPr>
        <w:tc>
          <w:tcPr>
            <w:tcW w:w="1869" w:type="dxa"/>
            <w:shd w:val="clear" w:color="auto" w:fill="auto"/>
            <w:noWrap/>
            <w:vAlign w:val="bottom"/>
            <w:hideMark/>
          </w:tcPr>
          <w:p w:rsidR="00807A7E" w:rsidRPr="0038502D" w:rsidRDefault="00807A7E" w:rsidP="00807A7E"/>
          <w:p w:rsidR="0038502D" w:rsidRPr="0038502D" w:rsidRDefault="0038502D" w:rsidP="0038502D"/>
        </w:tc>
        <w:tc>
          <w:tcPr>
            <w:tcW w:w="642" w:type="dxa"/>
            <w:shd w:val="clear" w:color="auto" w:fill="auto"/>
            <w:noWrap/>
            <w:vAlign w:val="bottom"/>
            <w:hideMark/>
          </w:tcPr>
          <w:p w:rsidR="0038502D" w:rsidRPr="0038502D" w:rsidRDefault="0038502D" w:rsidP="0038502D">
            <w:r w:rsidRPr="0038502D">
              <w:t>2003</w:t>
            </w:r>
          </w:p>
        </w:tc>
        <w:tc>
          <w:tcPr>
            <w:tcW w:w="642" w:type="dxa"/>
            <w:shd w:val="clear" w:color="auto" w:fill="auto"/>
            <w:noWrap/>
            <w:vAlign w:val="bottom"/>
            <w:hideMark/>
          </w:tcPr>
          <w:p w:rsidR="0038502D" w:rsidRPr="0038502D" w:rsidRDefault="0038502D" w:rsidP="0038502D">
            <w:r w:rsidRPr="0038502D">
              <w:t>2004</w:t>
            </w:r>
          </w:p>
        </w:tc>
        <w:tc>
          <w:tcPr>
            <w:tcW w:w="642" w:type="dxa"/>
            <w:shd w:val="clear" w:color="auto" w:fill="auto"/>
            <w:noWrap/>
            <w:vAlign w:val="bottom"/>
            <w:hideMark/>
          </w:tcPr>
          <w:p w:rsidR="0038502D" w:rsidRPr="0038502D" w:rsidRDefault="0038502D" w:rsidP="0038502D">
            <w:r w:rsidRPr="0038502D">
              <w:t>2005</w:t>
            </w:r>
          </w:p>
        </w:tc>
        <w:tc>
          <w:tcPr>
            <w:tcW w:w="642" w:type="dxa"/>
            <w:shd w:val="clear" w:color="auto" w:fill="auto"/>
            <w:noWrap/>
            <w:vAlign w:val="bottom"/>
            <w:hideMark/>
          </w:tcPr>
          <w:p w:rsidR="0038502D" w:rsidRPr="0038502D" w:rsidRDefault="0038502D" w:rsidP="0038502D">
            <w:r w:rsidRPr="0038502D">
              <w:t>2006</w:t>
            </w:r>
          </w:p>
        </w:tc>
        <w:tc>
          <w:tcPr>
            <w:tcW w:w="642" w:type="dxa"/>
            <w:shd w:val="clear" w:color="auto" w:fill="auto"/>
            <w:noWrap/>
            <w:vAlign w:val="bottom"/>
            <w:hideMark/>
          </w:tcPr>
          <w:p w:rsidR="0038502D" w:rsidRPr="0038502D" w:rsidRDefault="0038502D" w:rsidP="0038502D">
            <w:r w:rsidRPr="0038502D">
              <w:t>2007</w:t>
            </w:r>
          </w:p>
        </w:tc>
        <w:tc>
          <w:tcPr>
            <w:tcW w:w="642" w:type="dxa"/>
            <w:shd w:val="clear" w:color="auto" w:fill="auto"/>
            <w:noWrap/>
            <w:vAlign w:val="bottom"/>
            <w:hideMark/>
          </w:tcPr>
          <w:p w:rsidR="0038502D" w:rsidRPr="0038502D" w:rsidRDefault="0038502D" w:rsidP="0038502D">
            <w:r w:rsidRPr="0038502D">
              <w:t>2008</w:t>
            </w:r>
          </w:p>
        </w:tc>
        <w:tc>
          <w:tcPr>
            <w:tcW w:w="642" w:type="dxa"/>
            <w:shd w:val="clear" w:color="auto" w:fill="auto"/>
            <w:noWrap/>
            <w:vAlign w:val="bottom"/>
            <w:hideMark/>
          </w:tcPr>
          <w:p w:rsidR="0038502D" w:rsidRPr="0038502D" w:rsidRDefault="0038502D" w:rsidP="0038502D">
            <w:r w:rsidRPr="0038502D">
              <w:t>2009</w:t>
            </w:r>
          </w:p>
        </w:tc>
        <w:tc>
          <w:tcPr>
            <w:tcW w:w="642" w:type="dxa"/>
            <w:shd w:val="clear" w:color="auto" w:fill="auto"/>
            <w:noWrap/>
            <w:vAlign w:val="bottom"/>
            <w:hideMark/>
          </w:tcPr>
          <w:p w:rsidR="0038502D" w:rsidRPr="0038502D" w:rsidRDefault="0038502D" w:rsidP="0038502D">
            <w:r w:rsidRPr="0038502D">
              <w:t>2010</w:t>
            </w:r>
          </w:p>
        </w:tc>
        <w:tc>
          <w:tcPr>
            <w:tcW w:w="642" w:type="dxa"/>
            <w:shd w:val="clear" w:color="auto" w:fill="auto"/>
            <w:noWrap/>
            <w:vAlign w:val="bottom"/>
            <w:hideMark/>
          </w:tcPr>
          <w:p w:rsidR="0038502D" w:rsidRPr="0038502D" w:rsidRDefault="0038502D" w:rsidP="0038502D">
            <w:r w:rsidRPr="0038502D">
              <w:t>2011</w:t>
            </w:r>
          </w:p>
        </w:tc>
        <w:tc>
          <w:tcPr>
            <w:tcW w:w="642" w:type="dxa"/>
            <w:shd w:val="clear" w:color="auto" w:fill="auto"/>
            <w:noWrap/>
            <w:vAlign w:val="bottom"/>
            <w:hideMark/>
          </w:tcPr>
          <w:p w:rsidR="0038502D" w:rsidRPr="0038502D" w:rsidRDefault="0038502D" w:rsidP="0038502D">
            <w:r w:rsidRPr="0038502D">
              <w:t>2012</w:t>
            </w:r>
          </w:p>
        </w:tc>
      </w:tr>
      <w:tr w:rsidR="0038502D" w:rsidRPr="0038502D" w:rsidTr="00807A7E">
        <w:trPr>
          <w:trHeight w:val="315"/>
        </w:trPr>
        <w:tc>
          <w:tcPr>
            <w:tcW w:w="1869" w:type="dxa"/>
            <w:shd w:val="clear" w:color="auto" w:fill="auto"/>
            <w:noWrap/>
            <w:vAlign w:val="bottom"/>
            <w:hideMark/>
          </w:tcPr>
          <w:p w:rsidR="0038502D" w:rsidRPr="0038502D" w:rsidRDefault="00807A7E" w:rsidP="00807A7E">
            <w:r>
              <w:t>Afgesloten v</w:t>
            </w:r>
            <w:r w:rsidR="0038502D" w:rsidRPr="0038502D">
              <w:t>ragen</w:t>
            </w:r>
          </w:p>
        </w:tc>
        <w:tc>
          <w:tcPr>
            <w:tcW w:w="642" w:type="dxa"/>
            <w:shd w:val="clear" w:color="auto" w:fill="auto"/>
            <w:noWrap/>
            <w:vAlign w:val="bottom"/>
            <w:hideMark/>
          </w:tcPr>
          <w:p w:rsidR="0038502D" w:rsidRPr="0038502D" w:rsidRDefault="0038502D" w:rsidP="0038502D">
            <w:r w:rsidRPr="0038502D">
              <w:t>1.421</w:t>
            </w:r>
          </w:p>
        </w:tc>
        <w:tc>
          <w:tcPr>
            <w:tcW w:w="642" w:type="dxa"/>
            <w:shd w:val="clear" w:color="auto" w:fill="auto"/>
            <w:noWrap/>
            <w:vAlign w:val="bottom"/>
            <w:hideMark/>
          </w:tcPr>
          <w:p w:rsidR="0038502D" w:rsidRPr="0038502D" w:rsidRDefault="0038502D" w:rsidP="0038502D">
            <w:r w:rsidRPr="0038502D">
              <w:t>1.728</w:t>
            </w:r>
          </w:p>
        </w:tc>
        <w:tc>
          <w:tcPr>
            <w:tcW w:w="642" w:type="dxa"/>
            <w:shd w:val="clear" w:color="auto" w:fill="auto"/>
            <w:noWrap/>
            <w:vAlign w:val="bottom"/>
            <w:hideMark/>
          </w:tcPr>
          <w:p w:rsidR="0038502D" w:rsidRPr="0038502D" w:rsidRDefault="0038502D" w:rsidP="0038502D">
            <w:r w:rsidRPr="0038502D">
              <w:t>1.857</w:t>
            </w:r>
          </w:p>
        </w:tc>
        <w:tc>
          <w:tcPr>
            <w:tcW w:w="642" w:type="dxa"/>
            <w:shd w:val="clear" w:color="auto" w:fill="auto"/>
            <w:noWrap/>
            <w:vAlign w:val="bottom"/>
            <w:hideMark/>
          </w:tcPr>
          <w:p w:rsidR="0038502D" w:rsidRPr="0038502D" w:rsidRDefault="0038502D" w:rsidP="0038502D">
            <w:r w:rsidRPr="0038502D">
              <w:t>2.423</w:t>
            </w:r>
          </w:p>
        </w:tc>
        <w:tc>
          <w:tcPr>
            <w:tcW w:w="642" w:type="dxa"/>
            <w:shd w:val="clear" w:color="auto" w:fill="auto"/>
            <w:noWrap/>
            <w:vAlign w:val="bottom"/>
            <w:hideMark/>
          </w:tcPr>
          <w:p w:rsidR="0038502D" w:rsidRPr="0038502D" w:rsidRDefault="0038502D" w:rsidP="0038502D">
            <w:r w:rsidRPr="0038502D">
              <w:t>2.819</w:t>
            </w:r>
          </w:p>
        </w:tc>
        <w:tc>
          <w:tcPr>
            <w:tcW w:w="642" w:type="dxa"/>
            <w:shd w:val="clear" w:color="auto" w:fill="auto"/>
            <w:noWrap/>
            <w:vAlign w:val="bottom"/>
            <w:hideMark/>
          </w:tcPr>
          <w:p w:rsidR="0038502D" w:rsidRPr="0038502D" w:rsidRDefault="0038502D" w:rsidP="0038502D">
            <w:r w:rsidRPr="0038502D">
              <w:t>2.893</w:t>
            </w:r>
          </w:p>
        </w:tc>
        <w:tc>
          <w:tcPr>
            <w:tcW w:w="642" w:type="dxa"/>
            <w:shd w:val="clear" w:color="auto" w:fill="auto"/>
            <w:noWrap/>
            <w:vAlign w:val="bottom"/>
            <w:hideMark/>
          </w:tcPr>
          <w:p w:rsidR="0038502D" w:rsidRPr="0038502D" w:rsidRDefault="0038502D" w:rsidP="0038502D">
            <w:r w:rsidRPr="0038502D">
              <w:t>2.627</w:t>
            </w:r>
          </w:p>
        </w:tc>
        <w:tc>
          <w:tcPr>
            <w:tcW w:w="642" w:type="dxa"/>
            <w:shd w:val="clear" w:color="auto" w:fill="auto"/>
            <w:noWrap/>
            <w:vAlign w:val="bottom"/>
            <w:hideMark/>
          </w:tcPr>
          <w:p w:rsidR="0038502D" w:rsidRPr="0038502D" w:rsidRDefault="0038502D" w:rsidP="0038502D">
            <w:r w:rsidRPr="0038502D">
              <w:t>3.925</w:t>
            </w:r>
          </w:p>
        </w:tc>
        <w:tc>
          <w:tcPr>
            <w:tcW w:w="642" w:type="dxa"/>
            <w:shd w:val="clear" w:color="auto" w:fill="auto"/>
            <w:noWrap/>
            <w:vAlign w:val="bottom"/>
            <w:hideMark/>
          </w:tcPr>
          <w:p w:rsidR="0038502D" w:rsidRPr="0038502D" w:rsidRDefault="0038502D" w:rsidP="0038502D">
            <w:r w:rsidRPr="0038502D">
              <w:t>4.080</w:t>
            </w:r>
          </w:p>
        </w:tc>
        <w:tc>
          <w:tcPr>
            <w:tcW w:w="642" w:type="dxa"/>
            <w:shd w:val="clear" w:color="auto" w:fill="auto"/>
            <w:noWrap/>
            <w:vAlign w:val="bottom"/>
            <w:hideMark/>
          </w:tcPr>
          <w:p w:rsidR="0038502D" w:rsidRPr="0038502D" w:rsidRDefault="0038502D" w:rsidP="0038502D">
            <w:r w:rsidRPr="0038502D">
              <w:t>5.465</w:t>
            </w:r>
          </w:p>
        </w:tc>
      </w:tr>
    </w:tbl>
    <w:p w:rsidR="0038502D" w:rsidRPr="0038502D" w:rsidRDefault="0038502D" w:rsidP="0038502D">
      <w:pPr>
        <w:rPr>
          <w:lang w:val="nl-NL"/>
        </w:rPr>
      </w:pPr>
    </w:p>
    <w:p w:rsidR="0038502D" w:rsidRDefault="00807A7E">
      <w:r>
        <w:rPr>
          <w:noProof/>
          <w:lang w:eastAsia="nl-BE"/>
        </w:rPr>
        <w:drawing>
          <wp:inline distT="0" distB="0" distL="0" distR="0" wp14:anchorId="7023D560" wp14:editId="70B05E15">
            <wp:extent cx="3889248" cy="1962912"/>
            <wp:effectExtent l="0" t="0" r="16510" b="1841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502D" w:rsidRDefault="000653A0">
      <w:r>
        <w:t xml:space="preserve">Voor 3.098 van de 5.465 afgesloten vragen </w:t>
      </w:r>
      <w:r w:rsidR="009E6856">
        <w:t>g</w:t>
      </w:r>
      <w:r>
        <w:t xml:space="preserve">eeft de contactpersoon aan dat deze </w:t>
      </w:r>
      <w:r w:rsidR="00B61966">
        <w:t xml:space="preserve">voor de volle 100 % in overeenstemming met de vraag </w:t>
      </w:r>
      <w:r>
        <w:t>opgelost zijn</w:t>
      </w:r>
      <w:r w:rsidR="00807A7E">
        <w:t xml:space="preserve">. </w:t>
      </w:r>
      <w:r>
        <w:t xml:space="preserve">Dit is 57 % van de afgesloten vragen. </w:t>
      </w:r>
      <w:r w:rsidR="00B61966">
        <w:t xml:space="preserve">De overige vragen zijn om redenen van verschillende aard afgesloten. </w:t>
      </w:r>
    </w:p>
    <w:p w:rsidR="00807A7E" w:rsidRDefault="000653A0">
      <w:r>
        <w:t xml:space="preserve">Als gevolg van het uitbreidingsbeleid stijgt het aantal personen dat ondersteund wordt door VAPH-diensten en voorzieningen en door middel van een PAB jaar na jaar. </w:t>
      </w:r>
    </w:p>
    <w:p w:rsidR="0038502D" w:rsidRPr="0038502D" w:rsidRDefault="0038502D" w:rsidP="0038502D">
      <w:pPr>
        <w:rPr>
          <w:b/>
        </w:rPr>
      </w:pPr>
      <w:r w:rsidRPr="0038502D">
        <w:rPr>
          <w:b/>
        </w:rPr>
        <w:t>Tabel evolutie van het aantal cliënten in zorg in natura</w:t>
      </w:r>
      <w:r w:rsidR="009F4E4D">
        <w:rPr>
          <w:b/>
        </w:rPr>
        <w:t xml:space="preserve"> en PAB-budgethouders</w:t>
      </w:r>
    </w:p>
    <w:tbl>
      <w:tblPr>
        <w:tblW w:w="6580" w:type="dxa"/>
        <w:tblInd w:w="55" w:type="dxa"/>
        <w:tblCellMar>
          <w:left w:w="70" w:type="dxa"/>
          <w:right w:w="70" w:type="dxa"/>
        </w:tblCellMar>
        <w:tblLook w:val="04A0" w:firstRow="1" w:lastRow="0" w:firstColumn="1" w:lastColumn="0" w:noHBand="0" w:noVBand="1"/>
      </w:tblPr>
      <w:tblGrid>
        <w:gridCol w:w="2740"/>
        <w:gridCol w:w="960"/>
        <w:gridCol w:w="960"/>
        <w:gridCol w:w="960"/>
        <w:gridCol w:w="960"/>
      </w:tblGrid>
      <w:tr w:rsidR="0038502D" w:rsidRPr="0038502D" w:rsidTr="009F4E4D">
        <w:trPr>
          <w:trHeight w:val="330"/>
        </w:trPr>
        <w:tc>
          <w:tcPr>
            <w:tcW w:w="274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8502D" w:rsidRPr="0038502D" w:rsidRDefault="0038502D" w:rsidP="0038502D">
            <w:r w:rsidRPr="0038502D">
              <w:t> </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FE13EB">
            <w:pPr>
              <w:jc w:val="center"/>
            </w:pPr>
            <w:r w:rsidRPr="0038502D">
              <w:t>2009</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FE13EB">
            <w:pPr>
              <w:jc w:val="center"/>
            </w:pPr>
            <w:r w:rsidRPr="0038502D">
              <w:t>2010</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FE13EB">
            <w:pPr>
              <w:jc w:val="center"/>
            </w:pPr>
            <w:r w:rsidRPr="0038502D">
              <w:t>2011</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FE13EB">
            <w:pPr>
              <w:jc w:val="center"/>
            </w:pPr>
            <w:r w:rsidRPr="0038502D">
              <w:t>2012</w:t>
            </w:r>
          </w:p>
        </w:tc>
      </w:tr>
      <w:tr w:rsidR="0038502D" w:rsidRPr="0038502D" w:rsidTr="009F4E4D">
        <w:trPr>
          <w:trHeight w:val="330"/>
        </w:trPr>
        <w:tc>
          <w:tcPr>
            <w:tcW w:w="274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8502D" w:rsidRPr="0038502D" w:rsidRDefault="0038502D" w:rsidP="0038502D">
            <w:r w:rsidRPr="0038502D">
              <w:t>Cliënten in zorg in natura</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9F4E4D">
            <w:pPr>
              <w:jc w:val="right"/>
            </w:pPr>
            <w:r w:rsidRPr="0038502D">
              <w:t>34.313</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9F4E4D">
            <w:pPr>
              <w:jc w:val="right"/>
            </w:pPr>
            <w:r w:rsidRPr="0038502D">
              <w:t>35.614</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9F4E4D">
            <w:pPr>
              <w:jc w:val="right"/>
            </w:pPr>
            <w:r w:rsidRPr="0038502D">
              <w:t>37.038</w:t>
            </w:r>
          </w:p>
        </w:tc>
        <w:tc>
          <w:tcPr>
            <w:tcW w:w="960" w:type="dxa"/>
            <w:tcBorders>
              <w:top w:val="single" w:sz="4" w:space="0" w:color="808080"/>
              <w:left w:val="nil"/>
              <w:bottom w:val="single" w:sz="4" w:space="0" w:color="808080"/>
              <w:right w:val="single" w:sz="4" w:space="0" w:color="808080"/>
            </w:tcBorders>
            <w:shd w:val="clear" w:color="auto" w:fill="auto"/>
            <w:noWrap/>
            <w:vAlign w:val="bottom"/>
            <w:hideMark/>
          </w:tcPr>
          <w:p w:rsidR="0038502D" w:rsidRPr="0038502D" w:rsidRDefault="0038502D" w:rsidP="009F4E4D">
            <w:pPr>
              <w:jc w:val="right"/>
            </w:pPr>
            <w:r w:rsidRPr="0038502D">
              <w:t>38.759</w:t>
            </w:r>
          </w:p>
        </w:tc>
      </w:tr>
      <w:tr w:rsidR="009F4E4D" w:rsidRPr="0038502D" w:rsidTr="009F4E4D">
        <w:trPr>
          <w:trHeight w:val="330"/>
        </w:trPr>
        <w:tc>
          <w:tcPr>
            <w:tcW w:w="2740"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9F4E4D" w:rsidRPr="0038502D" w:rsidRDefault="009F4E4D" w:rsidP="0038502D">
            <w:r>
              <w:t>PAB-budgethouders</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9F4E4D" w:rsidRPr="0038502D" w:rsidRDefault="009F4E4D" w:rsidP="009F4E4D">
            <w:pPr>
              <w:jc w:val="right"/>
            </w:pPr>
            <w:r>
              <w:t>1.713</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9F4E4D" w:rsidRPr="0038502D" w:rsidRDefault="009F4E4D" w:rsidP="009F4E4D">
            <w:pPr>
              <w:jc w:val="right"/>
            </w:pPr>
            <w:r>
              <w:t>1.768</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9F4E4D" w:rsidRPr="0038502D" w:rsidRDefault="009F4E4D" w:rsidP="009F4E4D">
            <w:pPr>
              <w:jc w:val="right"/>
            </w:pPr>
            <w:r>
              <w:t>1.873</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9F4E4D" w:rsidRPr="0038502D" w:rsidRDefault="009F4E4D" w:rsidP="009F4E4D">
            <w:pPr>
              <w:jc w:val="right"/>
            </w:pPr>
            <w:r>
              <w:t>2.060</w:t>
            </w:r>
          </w:p>
        </w:tc>
      </w:tr>
      <w:tr w:rsidR="001A3CDB" w:rsidRPr="0038502D" w:rsidTr="009F4E4D">
        <w:trPr>
          <w:trHeight w:val="330"/>
        </w:trPr>
        <w:tc>
          <w:tcPr>
            <w:tcW w:w="2740"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1A3CDB" w:rsidRDefault="001A3CDB" w:rsidP="0038502D">
            <w:r>
              <w:t xml:space="preserve">Totaal </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1A3CDB" w:rsidRDefault="001A3CDB">
            <w:pPr>
              <w:jc w:val="right"/>
              <w:rPr>
                <w:rFonts w:ascii="Calibri" w:hAnsi="Calibri" w:cs="Calibri"/>
                <w:color w:val="000000"/>
              </w:rPr>
            </w:pPr>
            <w:r>
              <w:rPr>
                <w:rFonts w:ascii="Calibri" w:hAnsi="Calibri" w:cs="Calibri"/>
                <w:color w:val="000000"/>
              </w:rPr>
              <w:t>36.026</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1A3CDB" w:rsidRDefault="001A3CDB">
            <w:pPr>
              <w:jc w:val="right"/>
              <w:rPr>
                <w:rFonts w:ascii="Calibri" w:hAnsi="Calibri" w:cs="Calibri"/>
                <w:color w:val="000000"/>
              </w:rPr>
            </w:pPr>
            <w:r>
              <w:rPr>
                <w:rFonts w:ascii="Calibri" w:hAnsi="Calibri" w:cs="Calibri"/>
                <w:color w:val="000000"/>
              </w:rPr>
              <w:t>37.382</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1A3CDB" w:rsidRDefault="001A3CDB">
            <w:pPr>
              <w:jc w:val="right"/>
              <w:rPr>
                <w:rFonts w:ascii="Calibri" w:hAnsi="Calibri" w:cs="Calibri"/>
                <w:color w:val="000000"/>
              </w:rPr>
            </w:pPr>
            <w:r>
              <w:rPr>
                <w:rFonts w:ascii="Calibri" w:hAnsi="Calibri" w:cs="Calibri"/>
                <w:color w:val="000000"/>
              </w:rPr>
              <w:t>38.911</w:t>
            </w:r>
          </w:p>
        </w:tc>
        <w:tc>
          <w:tcPr>
            <w:tcW w:w="960" w:type="dxa"/>
            <w:tcBorders>
              <w:top w:val="single" w:sz="4" w:space="0" w:color="808080"/>
              <w:left w:val="nil"/>
              <w:bottom w:val="single" w:sz="4" w:space="0" w:color="808080"/>
              <w:right w:val="single" w:sz="4" w:space="0" w:color="808080"/>
            </w:tcBorders>
            <w:shd w:val="clear" w:color="auto" w:fill="auto"/>
            <w:noWrap/>
            <w:vAlign w:val="bottom"/>
          </w:tcPr>
          <w:p w:rsidR="001A3CDB" w:rsidRDefault="001A3CDB">
            <w:pPr>
              <w:jc w:val="right"/>
              <w:rPr>
                <w:rFonts w:ascii="Calibri" w:hAnsi="Calibri" w:cs="Calibri"/>
                <w:color w:val="000000"/>
              </w:rPr>
            </w:pPr>
            <w:r>
              <w:rPr>
                <w:rFonts w:ascii="Calibri" w:hAnsi="Calibri" w:cs="Calibri"/>
                <w:color w:val="000000"/>
              </w:rPr>
              <w:t>40.819</w:t>
            </w:r>
          </w:p>
        </w:tc>
      </w:tr>
    </w:tbl>
    <w:p w:rsidR="0038502D" w:rsidRPr="0038502D" w:rsidRDefault="0038502D" w:rsidP="0038502D">
      <w:pPr>
        <w:rPr>
          <w:lang w:val="nl-NL"/>
        </w:rPr>
      </w:pPr>
    </w:p>
    <w:p w:rsidR="00A86B30" w:rsidRDefault="00A25FD0">
      <w:r>
        <w:t xml:space="preserve">Niet alleen door het toekennen van nieuwe PAB-budgetten wordt in het kader van het uitbreidingsbeleid 2012 geïnvesteerd in persoonsvolgende financiering. Ook via het toekennen van </w:t>
      </w:r>
      <w:r>
        <w:lastRenderedPageBreak/>
        <w:t xml:space="preserve">persoonsvolgende convenants zetten we stappen in de richting van een meer veralgemeende persoonsvolgende financiering. In de eerste jaarhelft van 2012 werden 114 persoonsvolgende convenants voor onbepaalde duur toegekend. Bijkomend werden 72 tijdelijke persoonsvolgende convenants toegekend. </w:t>
      </w:r>
    </w:p>
    <w:p w:rsidR="008A164F" w:rsidRDefault="00A25FD0" w:rsidP="00C3348F">
      <w:r>
        <w:rPr>
          <w:b/>
        </w:rPr>
        <w:t xml:space="preserve">We kunnen dus concluderen dat de investeringen in de sector personen met een handicap wel degelijk belangrijke effecten teweegbrengen. Toch blijft de conclusie uit de meerjarenanalyse </w:t>
      </w:r>
      <w:r w:rsidR="00FE13EB">
        <w:rPr>
          <w:b/>
        </w:rPr>
        <w:t xml:space="preserve">van het VAPH </w:t>
      </w:r>
      <w:r>
        <w:rPr>
          <w:b/>
        </w:rPr>
        <w:t xml:space="preserve">onverminderd van toepassing. </w:t>
      </w:r>
      <w:r w:rsidR="00C3348F" w:rsidRPr="00C3348F">
        <w:rPr>
          <w:b/>
        </w:rPr>
        <w:t>De vraag zal de komende jaren verder blijven groeien</w:t>
      </w:r>
      <w:r>
        <w:t xml:space="preserve">. Bij een gelijkblijvend beleid zal de aangroei van het aantal vragen groter zijn dan wat we kunnen opvangen met het voorziene uitbreidingsbeleid. </w:t>
      </w:r>
    </w:p>
    <w:p w:rsidR="00A25FD0" w:rsidRDefault="00A25FD0" w:rsidP="00C3348F">
      <w:r>
        <w:t>Het beleid moet de komende jaren dus grondig vernieuwd worden, en dit niet alleen omwille van deze tekorten. Het beleid dient ook rekening te houden</w:t>
      </w:r>
      <w:r w:rsidR="005E69C4">
        <w:t xml:space="preserve"> met de nieuwe internationaal gedragen visie op personen met een beperking en het ondersteuningsbeleid dat hieruit volgt</w:t>
      </w:r>
      <w:r w:rsidR="00EF03B2">
        <w:t>, zoals neergelegd in het VN-verdrag.</w:t>
      </w:r>
      <w:r w:rsidR="005E69C4">
        <w:t xml:space="preserve"> </w:t>
      </w:r>
    </w:p>
    <w:p w:rsidR="005E69C4" w:rsidRDefault="005E69C4" w:rsidP="00C3348F">
      <w:r>
        <w:t xml:space="preserve">Om deze uitdagingen met open vizier tegemoet te treden werkte minister </w:t>
      </w:r>
      <w:r w:rsidR="00EF03B2">
        <w:t xml:space="preserve">Jo </w:t>
      </w:r>
      <w:r>
        <w:t xml:space="preserve">Vandeurzen zijn zorgvernieuwingsplan perspectief 2020 uit. De strategische projecten die hierin geformuleerd worden zijn momenteel volop in ontwikkeling. </w:t>
      </w:r>
    </w:p>
    <w:p w:rsidR="00EF03B2" w:rsidRDefault="0097348B" w:rsidP="0097348B">
      <w:r w:rsidRPr="0097348B">
        <w:t xml:space="preserve">Er werd in elke provincie reeds minimaal één dienst ondersteuningsplan geïnstalleerd. Bij deze diensten kunnen personen met een beperking die </w:t>
      </w:r>
      <w:r w:rsidR="00EF03B2">
        <w:t xml:space="preserve">een ondersteuningsplan wensen uit te werken terecht. </w:t>
      </w:r>
    </w:p>
    <w:p w:rsidR="0097348B" w:rsidRPr="0097348B" w:rsidRDefault="0097348B" w:rsidP="0097348B">
      <w:r w:rsidRPr="0097348B">
        <w:t>Ook w</w:t>
      </w:r>
      <w:r w:rsidR="00EF03B2">
        <w:t xml:space="preserve">ordt </w:t>
      </w:r>
      <w:r w:rsidRPr="0097348B">
        <w:t xml:space="preserve">geïnvesteerd in de uitbouw van rechtstreeks toegankelijk hulpverlening binnen de VAPH-sector. Een aantal mensen kan immers met een weinig intensieve ondersteuning reeds bijzonder goed geholpen. Tevens kunnen op deze manier </w:t>
      </w:r>
      <w:r w:rsidR="00EF03B2">
        <w:t xml:space="preserve">met </w:t>
      </w:r>
      <w:r w:rsidRPr="0097348B">
        <w:t xml:space="preserve">de beperkte beschikbare middelen meer mensen ondersteund worden. </w:t>
      </w:r>
    </w:p>
    <w:p w:rsidR="0097348B" w:rsidRPr="0097348B" w:rsidRDefault="0097348B" w:rsidP="0097348B">
      <w:r w:rsidRPr="0097348B">
        <w:t>Voorts lopen een aantal zorgvernieuwingsprojecten die een grotere vraagsturing en flexibiliteit toelaten. We denken hierbij aan de multifunctionele centra bij de minderjarigen en de diensten inclusieve ondersteuning bij de meerderjarigen</w:t>
      </w:r>
      <w:r w:rsidR="00EF03B2">
        <w:t xml:space="preserve"> en de experimenten zorgvernieuwing die een derde jaar aanvatten</w:t>
      </w:r>
      <w:r w:rsidRPr="0097348B">
        <w:t xml:space="preserve">. </w:t>
      </w:r>
    </w:p>
    <w:p w:rsidR="0097348B" w:rsidRDefault="0097348B" w:rsidP="0097348B">
      <w:r w:rsidRPr="0097348B">
        <w:t xml:space="preserve">De komende jaren zal in nauwe samenwerking met de belanghebbenden intensief verder gewerkt worden om het plan </w:t>
      </w:r>
      <w:r w:rsidR="00EF03B2">
        <w:t>P</w:t>
      </w:r>
      <w:r w:rsidRPr="0097348B">
        <w:t xml:space="preserve">erspectief 2020 </w:t>
      </w:r>
      <w:r w:rsidR="00EF03B2">
        <w:t xml:space="preserve">stap voor stap </w:t>
      </w:r>
      <w:r w:rsidRPr="0097348B">
        <w:t xml:space="preserve">te realiseren. </w:t>
      </w:r>
    </w:p>
    <w:p w:rsidR="00EF03B2" w:rsidRDefault="00EF03B2" w:rsidP="0097348B"/>
    <w:p w:rsidR="00EF03B2" w:rsidRDefault="00EF03B2" w:rsidP="0097348B"/>
    <w:p w:rsidR="00EF03B2" w:rsidRPr="0097348B" w:rsidRDefault="00EF03B2" w:rsidP="0097348B">
      <w:r>
        <w:t xml:space="preserve">Het volledige CRZ-rapport kunt u terugvinden op de website </w:t>
      </w:r>
      <w:hyperlink r:id="rId9" w:history="1">
        <w:r w:rsidRPr="00826EBA">
          <w:rPr>
            <w:rStyle w:val="Hyperlink"/>
          </w:rPr>
          <w:t>www.vaph.be</w:t>
        </w:r>
      </w:hyperlink>
      <w:r>
        <w:t xml:space="preserve">. Klik door op kenniscentrum, periodieke cijfergegevens, zorgvragen. </w:t>
      </w:r>
    </w:p>
    <w:sectPr w:rsidR="00EF03B2" w:rsidRPr="0097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0F2"/>
    <w:multiLevelType w:val="hybridMultilevel"/>
    <w:tmpl w:val="84EAA308"/>
    <w:lvl w:ilvl="0" w:tplc="D0C4773A">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148E37E0"/>
    <w:multiLevelType w:val="hybridMultilevel"/>
    <w:tmpl w:val="8D64D5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8F"/>
    <w:rsid w:val="00040374"/>
    <w:rsid w:val="000653A0"/>
    <w:rsid w:val="00092A31"/>
    <w:rsid w:val="000D452E"/>
    <w:rsid w:val="00193F6B"/>
    <w:rsid w:val="001946F9"/>
    <w:rsid w:val="001A3CDB"/>
    <w:rsid w:val="001B5E00"/>
    <w:rsid w:val="001D7FA3"/>
    <w:rsid w:val="0034732C"/>
    <w:rsid w:val="0038502D"/>
    <w:rsid w:val="00517D4C"/>
    <w:rsid w:val="00582E26"/>
    <w:rsid w:val="005E69C4"/>
    <w:rsid w:val="006B34C3"/>
    <w:rsid w:val="006F794B"/>
    <w:rsid w:val="0077350E"/>
    <w:rsid w:val="007F2A2E"/>
    <w:rsid w:val="00807A7E"/>
    <w:rsid w:val="008A164F"/>
    <w:rsid w:val="0097348B"/>
    <w:rsid w:val="00997DBD"/>
    <w:rsid w:val="009E6856"/>
    <w:rsid w:val="009F4E4D"/>
    <w:rsid w:val="00A25FD0"/>
    <w:rsid w:val="00A604D0"/>
    <w:rsid w:val="00A86B30"/>
    <w:rsid w:val="00B15654"/>
    <w:rsid w:val="00B61966"/>
    <w:rsid w:val="00C062FB"/>
    <w:rsid w:val="00C3348F"/>
    <w:rsid w:val="00CB4BE3"/>
    <w:rsid w:val="00D04F11"/>
    <w:rsid w:val="00D06A4A"/>
    <w:rsid w:val="00DB4A34"/>
    <w:rsid w:val="00EF03B2"/>
    <w:rsid w:val="00F14AB0"/>
    <w:rsid w:val="00F44180"/>
    <w:rsid w:val="00FE13EB"/>
    <w:rsid w:val="00FE2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48F"/>
    <w:pPr>
      <w:ind w:left="720"/>
      <w:contextualSpacing/>
    </w:pPr>
  </w:style>
  <w:style w:type="paragraph" w:styleId="Ballontekst">
    <w:name w:val="Balloon Text"/>
    <w:basedOn w:val="Standaard"/>
    <w:link w:val="BallontekstChar"/>
    <w:uiPriority w:val="99"/>
    <w:semiHidden/>
    <w:unhideWhenUsed/>
    <w:rsid w:val="001D7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FA3"/>
    <w:rPr>
      <w:rFonts w:ascii="Tahoma" w:hAnsi="Tahoma" w:cs="Tahoma"/>
      <w:sz w:val="16"/>
      <w:szCs w:val="16"/>
    </w:rPr>
  </w:style>
  <w:style w:type="table" w:styleId="Tabelraster">
    <w:name w:val="Table Grid"/>
    <w:basedOn w:val="Standaardtabel"/>
    <w:uiPriority w:val="59"/>
    <w:rsid w:val="006B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E23DC"/>
    <w:rPr>
      <w:sz w:val="16"/>
      <w:szCs w:val="16"/>
    </w:rPr>
  </w:style>
  <w:style w:type="paragraph" w:styleId="Tekstopmerking">
    <w:name w:val="annotation text"/>
    <w:basedOn w:val="Standaard"/>
    <w:link w:val="TekstopmerkingChar"/>
    <w:uiPriority w:val="99"/>
    <w:semiHidden/>
    <w:unhideWhenUsed/>
    <w:rsid w:val="00FE23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3DC"/>
    <w:rPr>
      <w:sz w:val="20"/>
      <w:szCs w:val="20"/>
    </w:rPr>
  </w:style>
  <w:style w:type="paragraph" w:styleId="Onderwerpvanopmerking">
    <w:name w:val="annotation subject"/>
    <w:basedOn w:val="Tekstopmerking"/>
    <w:next w:val="Tekstopmerking"/>
    <w:link w:val="OnderwerpvanopmerkingChar"/>
    <w:uiPriority w:val="99"/>
    <w:semiHidden/>
    <w:unhideWhenUsed/>
    <w:rsid w:val="00FE23DC"/>
    <w:rPr>
      <w:b/>
      <w:bCs/>
    </w:rPr>
  </w:style>
  <w:style w:type="character" w:customStyle="1" w:styleId="OnderwerpvanopmerkingChar">
    <w:name w:val="Onderwerp van opmerking Char"/>
    <w:basedOn w:val="TekstopmerkingChar"/>
    <w:link w:val="Onderwerpvanopmerking"/>
    <w:uiPriority w:val="99"/>
    <w:semiHidden/>
    <w:rsid w:val="00FE23DC"/>
    <w:rPr>
      <w:b/>
      <w:bCs/>
      <w:sz w:val="20"/>
      <w:szCs w:val="20"/>
    </w:rPr>
  </w:style>
  <w:style w:type="character" w:styleId="Hyperlink">
    <w:name w:val="Hyperlink"/>
    <w:basedOn w:val="Standaardalinea-lettertype"/>
    <w:uiPriority w:val="99"/>
    <w:unhideWhenUsed/>
    <w:rsid w:val="00EF0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48F"/>
    <w:pPr>
      <w:ind w:left="720"/>
      <w:contextualSpacing/>
    </w:pPr>
  </w:style>
  <w:style w:type="paragraph" w:styleId="Ballontekst">
    <w:name w:val="Balloon Text"/>
    <w:basedOn w:val="Standaard"/>
    <w:link w:val="BallontekstChar"/>
    <w:uiPriority w:val="99"/>
    <w:semiHidden/>
    <w:unhideWhenUsed/>
    <w:rsid w:val="001D7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FA3"/>
    <w:rPr>
      <w:rFonts w:ascii="Tahoma" w:hAnsi="Tahoma" w:cs="Tahoma"/>
      <w:sz w:val="16"/>
      <w:szCs w:val="16"/>
    </w:rPr>
  </w:style>
  <w:style w:type="table" w:styleId="Tabelraster">
    <w:name w:val="Table Grid"/>
    <w:basedOn w:val="Standaardtabel"/>
    <w:uiPriority w:val="59"/>
    <w:rsid w:val="006B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E23DC"/>
    <w:rPr>
      <w:sz w:val="16"/>
      <w:szCs w:val="16"/>
    </w:rPr>
  </w:style>
  <w:style w:type="paragraph" w:styleId="Tekstopmerking">
    <w:name w:val="annotation text"/>
    <w:basedOn w:val="Standaard"/>
    <w:link w:val="TekstopmerkingChar"/>
    <w:uiPriority w:val="99"/>
    <w:semiHidden/>
    <w:unhideWhenUsed/>
    <w:rsid w:val="00FE23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3DC"/>
    <w:rPr>
      <w:sz w:val="20"/>
      <w:szCs w:val="20"/>
    </w:rPr>
  </w:style>
  <w:style w:type="paragraph" w:styleId="Onderwerpvanopmerking">
    <w:name w:val="annotation subject"/>
    <w:basedOn w:val="Tekstopmerking"/>
    <w:next w:val="Tekstopmerking"/>
    <w:link w:val="OnderwerpvanopmerkingChar"/>
    <w:uiPriority w:val="99"/>
    <w:semiHidden/>
    <w:unhideWhenUsed/>
    <w:rsid w:val="00FE23DC"/>
    <w:rPr>
      <w:b/>
      <w:bCs/>
    </w:rPr>
  </w:style>
  <w:style w:type="character" w:customStyle="1" w:styleId="OnderwerpvanopmerkingChar">
    <w:name w:val="Onderwerp van opmerking Char"/>
    <w:basedOn w:val="TekstopmerkingChar"/>
    <w:link w:val="Onderwerpvanopmerking"/>
    <w:uiPriority w:val="99"/>
    <w:semiHidden/>
    <w:rsid w:val="00FE23DC"/>
    <w:rPr>
      <w:b/>
      <w:bCs/>
      <w:sz w:val="20"/>
      <w:szCs w:val="20"/>
    </w:rPr>
  </w:style>
  <w:style w:type="character" w:styleId="Hyperlink">
    <w:name w:val="Hyperlink"/>
    <w:basedOn w:val="Standaardalinea-lettertype"/>
    <w:uiPriority w:val="99"/>
    <w:unhideWhenUsed/>
    <w:rsid w:val="00EF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ph.b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M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Blad1!$C$5:$L$5</c:f>
              <c:numCache>
                <c:formatCode>Standaard</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Blad1!$C$6:$L$6</c:f>
              <c:numCache>
                <c:formatCode>#.##0</c:formatCode>
                <c:ptCount val="10"/>
                <c:pt idx="0">
                  <c:v>5869</c:v>
                </c:pt>
                <c:pt idx="1">
                  <c:v>6860</c:v>
                </c:pt>
                <c:pt idx="2">
                  <c:v>7656</c:v>
                </c:pt>
                <c:pt idx="3">
                  <c:v>8195</c:v>
                </c:pt>
                <c:pt idx="4">
                  <c:v>9203</c:v>
                </c:pt>
                <c:pt idx="5">
                  <c:v>10508</c:v>
                </c:pt>
                <c:pt idx="6">
                  <c:v>12213</c:v>
                </c:pt>
                <c:pt idx="7">
                  <c:v>15097</c:v>
                </c:pt>
                <c:pt idx="8">
                  <c:v>16849</c:v>
                </c:pt>
                <c:pt idx="9">
                  <c:v>18478</c:v>
                </c:pt>
              </c:numCache>
            </c:numRef>
          </c:val>
          <c:smooth val="0"/>
        </c:ser>
        <c:dLbls>
          <c:showLegendKey val="0"/>
          <c:showVal val="1"/>
          <c:showCatName val="0"/>
          <c:showSerName val="0"/>
          <c:showPercent val="0"/>
          <c:showBubbleSize val="0"/>
        </c:dLbls>
        <c:marker val="1"/>
        <c:smooth val="0"/>
        <c:axId val="91681536"/>
        <c:axId val="91683072"/>
      </c:lineChart>
      <c:dateAx>
        <c:axId val="91681536"/>
        <c:scaling>
          <c:orientation val="minMax"/>
        </c:scaling>
        <c:delete val="0"/>
        <c:axPos val="b"/>
        <c:numFmt formatCode="Standaard" sourceLinked="0"/>
        <c:majorTickMark val="none"/>
        <c:minorTickMark val="none"/>
        <c:tickLblPos val="nextTo"/>
        <c:crossAx val="91683072"/>
        <c:crosses val="autoZero"/>
        <c:auto val="0"/>
        <c:lblOffset val="100"/>
        <c:baseTimeUnit val="days"/>
        <c:majorUnit val="1"/>
      </c:dateAx>
      <c:valAx>
        <c:axId val="91683072"/>
        <c:scaling>
          <c:orientation val="minMax"/>
        </c:scaling>
        <c:delete val="1"/>
        <c:axPos val="l"/>
        <c:numFmt formatCode="#.##0" sourceLinked="1"/>
        <c:majorTickMark val="out"/>
        <c:minorTickMark val="none"/>
        <c:tickLblPos val="nextTo"/>
        <c:crossAx val="91681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Blad3!$G$4:$P$4</c:f>
              <c:numCache>
                <c:formatCode>Standaard</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Blad3!$G$5:$P$5</c:f>
              <c:numCache>
                <c:formatCode>#.##0</c:formatCode>
                <c:ptCount val="10"/>
                <c:pt idx="0">
                  <c:v>1421</c:v>
                </c:pt>
                <c:pt idx="1">
                  <c:v>1728</c:v>
                </c:pt>
                <c:pt idx="2">
                  <c:v>1857</c:v>
                </c:pt>
                <c:pt idx="3">
                  <c:v>2423</c:v>
                </c:pt>
                <c:pt idx="4">
                  <c:v>2819</c:v>
                </c:pt>
                <c:pt idx="5">
                  <c:v>2893</c:v>
                </c:pt>
                <c:pt idx="6">
                  <c:v>2627</c:v>
                </c:pt>
                <c:pt idx="7">
                  <c:v>3925</c:v>
                </c:pt>
                <c:pt idx="8">
                  <c:v>4080</c:v>
                </c:pt>
                <c:pt idx="9">
                  <c:v>5465</c:v>
                </c:pt>
              </c:numCache>
            </c:numRef>
          </c:val>
          <c:smooth val="0"/>
        </c:ser>
        <c:dLbls>
          <c:showLegendKey val="0"/>
          <c:showVal val="0"/>
          <c:showCatName val="0"/>
          <c:showSerName val="0"/>
          <c:showPercent val="0"/>
          <c:showBubbleSize val="0"/>
        </c:dLbls>
        <c:marker val="1"/>
        <c:smooth val="0"/>
        <c:axId val="170268160"/>
        <c:axId val="170269696"/>
      </c:lineChart>
      <c:catAx>
        <c:axId val="170268160"/>
        <c:scaling>
          <c:orientation val="minMax"/>
        </c:scaling>
        <c:delete val="0"/>
        <c:axPos val="b"/>
        <c:numFmt formatCode="Standaard" sourceLinked="1"/>
        <c:majorTickMark val="out"/>
        <c:minorTickMark val="none"/>
        <c:tickLblPos val="nextTo"/>
        <c:crossAx val="170269696"/>
        <c:crosses val="autoZero"/>
        <c:auto val="1"/>
        <c:lblAlgn val="ctr"/>
        <c:lblOffset val="100"/>
        <c:noMultiLvlLbl val="0"/>
      </c:catAx>
      <c:valAx>
        <c:axId val="170269696"/>
        <c:scaling>
          <c:orientation val="minMax"/>
        </c:scaling>
        <c:delete val="0"/>
        <c:axPos val="l"/>
        <c:majorGridlines/>
        <c:numFmt formatCode="#.##0" sourceLinked="1"/>
        <c:majorTickMark val="out"/>
        <c:minorTickMark val="none"/>
        <c:tickLblPos val="nextTo"/>
        <c:crossAx val="1702681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mxs</dc:creator>
  <cp:keywords/>
  <dc:description/>
  <cp:lastModifiedBy>Peter Bormans</cp:lastModifiedBy>
  <cp:revision>2</cp:revision>
  <cp:lastPrinted>2012-10-23T09:42:00Z</cp:lastPrinted>
  <dcterms:created xsi:type="dcterms:W3CDTF">2012-11-07T15:13:00Z</dcterms:created>
  <dcterms:modified xsi:type="dcterms:W3CDTF">2012-11-07T15:13:00Z</dcterms:modified>
</cp:coreProperties>
</file>