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2464" w:type="dxa"/>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B21976" w:rsidP="00276DE2">
            <w:pPr>
              <w:spacing w:after="0"/>
            </w:pPr>
            <w:sdt>
              <w:sdtPr>
                <w:id w:val="629513163"/>
                <w:lock w:val="sdtLocked"/>
                <w:placeholder>
                  <w:docPart w:val="4BDDFE446BB54AF6ABB8105A577C57A6"/>
                </w:placeholder>
                <w:date w:fullDate="2017-06-29T00:00:00Z">
                  <w:dateFormat w:val="d MMMM yyyy"/>
                  <w:lid w:val="nl-BE"/>
                  <w:storeMappedDataAs w:val="dateTime"/>
                  <w:calendar w:val="gregorian"/>
                </w:date>
              </w:sdtPr>
              <w:sdtEndPr/>
              <w:sdtContent>
                <w:r w:rsidR="00E2637C">
                  <w:t>29 juni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E2637C">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292980">
              <w:rPr>
                <w:sz w:val="20"/>
                <w:szCs w:val="20"/>
              </w:rPr>
              <w:t>7</w:t>
            </w:r>
            <w:r w:rsidRPr="001A2FBE">
              <w:rPr>
                <w:sz w:val="20"/>
                <w:szCs w:val="20"/>
              </w:rPr>
              <w:t>/AdvRC</w:t>
            </w:r>
            <w:r w:rsidR="002A4933">
              <w:rPr>
                <w:sz w:val="20"/>
                <w:szCs w:val="20"/>
              </w:rPr>
              <w:t>2</w:t>
            </w:r>
            <w:r w:rsidR="00E2637C">
              <w:rPr>
                <w:sz w:val="20"/>
                <w:szCs w:val="20"/>
              </w:rPr>
              <w:t>7</w:t>
            </w:r>
            <w:r w:rsidRPr="001A2FBE">
              <w:rPr>
                <w:sz w:val="20"/>
                <w:szCs w:val="20"/>
              </w:rPr>
              <w:t>-</w:t>
            </w:r>
            <w:r w:rsidR="00292980">
              <w:rPr>
                <w:sz w:val="20"/>
                <w:szCs w:val="20"/>
              </w:rPr>
              <w:t>0</w:t>
            </w:r>
            <w:r w:rsidR="00E2637C">
              <w:rPr>
                <w:sz w:val="20"/>
                <w:szCs w:val="20"/>
              </w:rPr>
              <w:t>6</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70F3E">
        <w:trPr>
          <w:trHeight w:hRule="exact" w:val="397"/>
          <w:jc w:val="right"/>
        </w:trPr>
        <w:tc>
          <w:tcPr>
            <w:tcW w:w="9888" w:type="dxa"/>
            <w:gridSpan w:val="3"/>
          </w:tcPr>
          <w:p w:rsidR="00570F3E" w:rsidRDefault="00570F3E" w:rsidP="00570F3E">
            <w:pPr>
              <w:pStyle w:val="Brief-Onderwerp"/>
            </w:pPr>
            <w:r>
              <w:t>Adviezen van het Raadgevend Comité bij het VAPH uitgebracht tijdens zijn zitting d.d. 2</w:t>
            </w:r>
            <w:r w:rsidR="00E2637C">
              <w:t>7</w:t>
            </w:r>
            <w:r>
              <w:t>-0</w:t>
            </w:r>
            <w:r w:rsidR="00E2637C">
              <w:t>6</w:t>
            </w:r>
            <w:r>
              <w:t>-2017.</w:t>
            </w:r>
          </w:p>
          <w:p w:rsidR="00EC5E6E" w:rsidRPr="00D45D5E" w:rsidRDefault="00EC5E6E" w:rsidP="005F209A">
            <w:pPr>
              <w:spacing w:after="0"/>
            </w:pPr>
          </w:p>
        </w:tc>
      </w:tr>
    </w:tbl>
    <w:p w:rsidR="00EC5E6E" w:rsidRPr="00C61014" w:rsidRDefault="00EC5E6E" w:rsidP="00380F9F">
      <w:pPr>
        <w:pStyle w:val="Brief-Onderwerp"/>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E2637C">
        <w:rPr>
          <w:lang w:val="nl-NL"/>
        </w:rPr>
        <w:t>7</w:t>
      </w:r>
      <w:r w:rsidRPr="001A2FBE">
        <w:rPr>
          <w:lang w:val="nl-NL"/>
        </w:rPr>
        <w:t xml:space="preserve"> </w:t>
      </w:r>
      <w:r w:rsidR="00E2637C">
        <w:rPr>
          <w:lang w:val="nl-NL"/>
        </w:rPr>
        <w:t>jun</w:t>
      </w:r>
      <w:r w:rsidR="002A4933">
        <w:rPr>
          <w:lang w:val="nl-NL"/>
        </w:rPr>
        <w:t>i</w:t>
      </w:r>
      <w:r w:rsidRPr="001A2FBE">
        <w:rPr>
          <w:lang w:val="nl-NL"/>
        </w:rPr>
        <w:t xml:space="preserve"> 201</w:t>
      </w:r>
      <w:r w:rsidR="00292980">
        <w:rPr>
          <w:lang w:val="nl-NL"/>
        </w:rPr>
        <w:t>7</w:t>
      </w:r>
      <w:r w:rsidRPr="001A2FBE">
        <w:rPr>
          <w:lang w:val="nl-NL"/>
        </w:rPr>
        <w:t xml:space="preserve"> de hiernavolgende adviezen </w:t>
      </w:r>
      <w:r w:rsidR="003A44ED">
        <w:rPr>
          <w:lang w:val="nl-NL"/>
        </w:rPr>
        <w:t xml:space="preserve">en bezorgdheden </w:t>
      </w:r>
      <w:r w:rsidRPr="001A2FBE">
        <w:rPr>
          <w:lang w:val="nl-NL"/>
        </w:rPr>
        <w:t xml:space="preserve">geformuleerd. </w:t>
      </w:r>
      <w:r w:rsidR="00E2637C">
        <w:rPr>
          <w:lang w:val="nl-NL"/>
        </w:rPr>
        <w:t>Het advies m.b.t. de conceptnota ‘Zorg- en ondersteuning op maat van alle gezinnen’ wordt bij een afzonderlijk schrijven bezorgd.</w:t>
      </w:r>
    </w:p>
    <w:p w:rsidR="00653FBC" w:rsidRPr="006A7B17" w:rsidRDefault="0000637E" w:rsidP="002A13F5">
      <w:pPr>
        <w:numPr>
          <w:ilvl w:val="0"/>
          <w:numId w:val="24"/>
        </w:numPr>
        <w:rPr>
          <w:b/>
          <w:lang w:val="nl-NL"/>
        </w:rPr>
      </w:pPr>
      <w:r w:rsidRPr="0000637E">
        <w:rPr>
          <w:b/>
          <w:bCs/>
          <w:lang w:val="nl-NL"/>
        </w:rPr>
        <w:t>Evaluatie van de prioriteringscriteria</w:t>
      </w:r>
      <w:r w:rsidR="003B5774" w:rsidRPr="006A7B17">
        <w:rPr>
          <w:b/>
        </w:rPr>
        <w:br/>
      </w:r>
      <w:r w:rsidRPr="0000637E">
        <w:rPr>
          <w:b/>
        </w:rPr>
        <w:t>DOC/RC/2017/27.06/25</w:t>
      </w:r>
    </w:p>
    <w:p w:rsidR="00653FBC" w:rsidRPr="00653FBC" w:rsidRDefault="00F760BB" w:rsidP="00653FBC">
      <w:pPr>
        <w:rPr>
          <w:lang w:val="nl-NL"/>
        </w:rPr>
      </w:pPr>
      <w:r>
        <w:rPr>
          <w:lang w:val="nl-NL"/>
        </w:rPr>
        <w:t xml:space="preserve">Het Raadgevend Comité gaat unaniem akkoord </w:t>
      </w:r>
      <w:r w:rsidR="007214D1">
        <w:rPr>
          <w:lang w:val="nl-NL"/>
        </w:rPr>
        <w:t xml:space="preserve">met de nota en met de </w:t>
      </w:r>
      <w:r w:rsidR="00D95D55">
        <w:rPr>
          <w:lang w:val="nl-NL"/>
        </w:rPr>
        <w:t xml:space="preserve">nadere </w:t>
      </w:r>
      <w:r w:rsidR="007214D1">
        <w:rPr>
          <w:lang w:val="nl-NL"/>
        </w:rPr>
        <w:t>uitwerking door de administratie van de te wijzigen regelgeving.</w:t>
      </w:r>
    </w:p>
    <w:p w:rsidR="002A13F5" w:rsidRPr="00776529" w:rsidRDefault="0000637E" w:rsidP="002A13F5">
      <w:pPr>
        <w:numPr>
          <w:ilvl w:val="0"/>
          <w:numId w:val="24"/>
        </w:numPr>
        <w:rPr>
          <w:b/>
          <w:lang w:val="nl-NL"/>
        </w:rPr>
      </w:pPr>
      <w:r w:rsidRPr="0000637E">
        <w:rPr>
          <w:b/>
        </w:rPr>
        <w:t>Bepaling van de prioriteringsdatum bij een aanvraag tot herziening van budgethoogte en/of prioriteitengroep</w:t>
      </w:r>
      <w:r>
        <w:rPr>
          <w:b/>
        </w:rPr>
        <w:br/>
      </w:r>
      <w:r w:rsidRPr="0000637E">
        <w:rPr>
          <w:b/>
        </w:rPr>
        <w:t>DOC/RC/2017/27.06/26</w:t>
      </w:r>
    </w:p>
    <w:p w:rsidR="00F1004A" w:rsidRPr="00614C93" w:rsidRDefault="00F1004A" w:rsidP="00512417">
      <w:r w:rsidRPr="00F1004A">
        <w:t>Het Raadgevend Comité geeft een unaniem positief advies m.b.t. de nota en voorliggende ontwerptekst van wijzigend besluit</w:t>
      </w:r>
      <w:r w:rsidR="00915F90">
        <w:rPr>
          <w:rStyle w:val="Voetnootmarkering"/>
        </w:rPr>
        <w:footnoteReference w:id="1"/>
      </w:r>
      <w:r w:rsidRPr="00F1004A">
        <w:t>, mits in deze regelgeving duidelijk wordt opgenomen dat wie in de overgangsperiode reeds een herzieningsaanvraag PVB via transitie CRZ heeft ingediend (d.w.z. tot aan de inwerkingtreding van voorliggende ontwerpregelgeving), niet opnieuw een herzieningsaanvraag kan indienen na inwerkingtreding van voorliggende ontwerpr</w:t>
      </w:r>
      <w:r>
        <w:t>e</w:t>
      </w:r>
      <w:r w:rsidRPr="00F1004A">
        <w:t>gelgeving (voorziene ingangsdatum: 1 september 2017)</w:t>
      </w:r>
      <w:r w:rsidR="00915F90">
        <w:t xml:space="preserve"> </w:t>
      </w:r>
      <w:r w:rsidR="00915F90" w:rsidRPr="00915F90">
        <w:rPr>
          <w:bCs/>
        </w:rPr>
        <w:t>om te trachten te genieten van de overgangsmaatregel</w:t>
      </w:r>
      <w:r w:rsidRPr="00915F90">
        <w:t>.</w:t>
      </w:r>
    </w:p>
    <w:p w:rsidR="00204DE3" w:rsidRPr="00204DE3" w:rsidRDefault="00204DE3" w:rsidP="002A13F5">
      <w:pPr>
        <w:numPr>
          <w:ilvl w:val="0"/>
          <w:numId w:val="24"/>
        </w:numPr>
        <w:rPr>
          <w:b/>
          <w:lang w:val="nl-NL"/>
        </w:rPr>
      </w:pPr>
      <w:r w:rsidRPr="00204DE3">
        <w:rPr>
          <w:b/>
        </w:rPr>
        <w:lastRenderedPageBreak/>
        <w:t>Regionale taken voortvloeiend uit het decreet persoonsvolgende financiering</w:t>
      </w:r>
      <w:r w:rsidRPr="00204DE3">
        <w:rPr>
          <w:b/>
          <w:lang w:val="nl-NL"/>
        </w:rPr>
        <w:br/>
      </w:r>
      <w:r w:rsidRPr="00204DE3">
        <w:rPr>
          <w:b/>
        </w:rPr>
        <w:t>DOC/RC/2017/27.06/27</w:t>
      </w:r>
    </w:p>
    <w:p w:rsidR="00204DE3" w:rsidRDefault="0030044F" w:rsidP="00204DE3">
      <w:r>
        <w:t xml:space="preserve">Het comité geeft een </w:t>
      </w:r>
      <w:r w:rsidR="001E042C">
        <w:t xml:space="preserve">principieel </w:t>
      </w:r>
      <w:r>
        <w:t>positief advies m.b.t. de inhoudelijke krachtlijnen zoals opgenomen in de nota (cf. punt 7: adviesvraag aan het RC). Het formuleert bovendien de volgende aandachtspunten</w:t>
      </w:r>
      <w:r w:rsidR="002A7A76">
        <w:t xml:space="preserve"> en nuanceringen</w:t>
      </w:r>
      <w:r w:rsidR="001E042C">
        <w:t xml:space="preserve"> </w:t>
      </w:r>
      <w:proofErr w:type="spellStart"/>
      <w:r w:rsidR="001E042C">
        <w:t>terzake</w:t>
      </w:r>
      <w:proofErr w:type="spellEnd"/>
      <w:r>
        <w:t>:</w:t>
      </w:r>
    </w:p>
    <w:p w:rsidR="0030044F" w:rsidRDefault="0030044F" w:rsidP="0030044F">
      <w:pPr>
        <w:pStyle w:val="Lijstalinea"/>
        <w:numPr>
          <w:ilvl w:val="0"/>
          <w:numId w:val="36"/>
        </w:numPr>
      </w:pPr>
      <w:r>
        <w:t xml:space="preserve">Het comité acht het niet zinvol om de ROG-organen in hun huidige </w:t>
      </w:r>
      <w:r w:rsidR="009D3B38">
        <w:t xml:space="preserve">formele </w:t>
      </w:r>
      <w:r>
        <w:t>vorm te continueren. Het comité adviseert de administratie om zo snel mogelijk duidelijkheid te scheppen aan de betrokken organen</w:t>
      </w:r>
      <w:r w:rsidR="002A7A76">
        <w:t xml:space="preserve"> inzake hun opheffing</w:t>
      </w:r>
      <w:r>
        <w:t>.</w:t>
      </w:r>
      <w:r w:rsidR="009D3B38">
        <w:t xml:space="preserve"> </w:t>
      </w:r>
    </w:p>
    <w:p w:rsidR="00171EAB" w:rsidRDefault="00A86E2C" w:rsidP="0030044F">
      <w:pPr>
        <w:pStyle w:val="Lijstalinea"/>
        <w:numPr>
          <w:ilvl w:val="0"/>
          <w:numId w:val="36"/>
        </w:numPr>
      </w:pPr>
      <w:r>
        <w:t>Het VGPH en de Vereniging van Verwijzende instanties hoeven volgens het comité niet noodzakelijk te worden opgeheven, mits zij een andere, reglementair vastgelegde, opdracht zouden opnemen.</w:t>
      </w:r>
    </w:p>
    <w:p w:rsidR="002A7A76" w:rsidRDefault="002A7A76" w:rsidP="0030044F">
      <w:pPr>
        <w:pStyle w:val="Lijstalinea"/>
        <w:numPr>
          <w:ilvl w:val="0"/>
          <w:numId w:val="36"/>
        </w:numPr>
      </w:pPr>
      <w:r>
        <w:t xml:space="preserve">Het comité is het erover eens dat overleg </w:t>
      </w:r>
      <w:proofErr w:type="spellStart"/>
      <w:r w:rsidRPr="001E042C">
        <w:rPr>
          <w:i/>
        </w:rPr>
        <w:t>i.h.k.v</w:t>
      </w:r>
      <w:proofErr w:type="spellEnd"/>
      <w:r w:rsidRPr="001E042C">
        <w:rPr>
          <w:i/>
        </w:rPr>
        <w:t>. afstemming</w:t>
      </w:r>
      <w:r>
        <w:t xml:space="preserve"> aangewezen is, maar stelt zich de vraag of dit reglementair moet worden geformaliseerd (m.n. wat het minimum aantal vergaderingen e</w:t>
      </w:r>
      <w:r w:rsidR="001E042C">
        <w:t>n</w:t>
      </w:r>
      <w:r>
        <w:t>/of frequentie betreft). Aangezien nu reeds spontaan netwerk</w:t>
      </w:r>
      <w:r w:rsidR="00891FDF">
        <w:t xml:space="preserve">en en samenwerkingsverbanden </w:t>
      </w:r>
      <w:r w:rsidR="009D3B38">
        <w:t>(zeker binnen de</w:t>
      </w:r>
      <w:r w:rsidR="00891FDF">
        <w:t xml:space="preserve"> eigen</w:t>
      </w:r>
      <w:r w:rsidR="009D3B38">
        <w:t xml:space="preserve"> sector) </w:t>
      </w:r>
      <w:r>
        <w:t>plaatsvind</w:t>
      </w:r>
      <w:r w:rsidR="00891FDF">
        <w:t>en</w:t>
      </w:r>
      <w:r>
        <w:t>, stelt het comité voor om hier nader over te reflecteren.</w:t>
      </w:r>
      <w:r w:rsidR="007E458B">
        <w:t xml:space="preserve"> Wat het doorgeven van informatie betreft stelt het zich eveneens de vraag of dit noodzakelijk via vergaderingen moet gebeuren, dan wel andere kanalen mogelijk zijn.</w:t>
      </w:r>
      <w:r w:rsidR="009D3B38">
        <w:t xml:space="preserve"> Hoe dan ook is het comité het eens met het voorstel om het overleg maximaal in bestaande, hetzij </w:t>
      </w:r>
      <w:proofErr w:type="spellStart"/>
      <w:r w:rsidR="009D3B38">
        <w:t>i.h.k.v</w:t>
      </w:r>
      <w:proofErr w:type="spellEnd"/>
      <w:r w:rsidR="009D3B38">
        <w:t>. het lokaal sociaal beleid nieuw te ontwikkelen, overlegstructuren te laten integreren.</w:t>
      </w:r>
    </w:p>
    <w:p w:rsidR="001E042C" w:rsidRDefault="001E042C" w:rsidP="0030044F">
      <w:pPr>
        <w:pStyle w:val="Lijstalinea"/>
        <w:numPr>
          <w:ilvl w:val="0"/>
          <w:numId w:val="36"/>
        </w:numPr>
      </w:pPr>
      <w:r>
        <w:t xml:space="preserve">Inzake </w:t>
      </w:r>
      <w:r w:rsidRPr="001E042C">
        <w:rPr>
          <w:i/>
        </w:rPr>
        <w:t>(collectieve</w:t>
      </w:r>
      <w:r>
        <w:rPr>
          <w:i/>
        </w:rPr>
        <w:t>)</w:t>
      </w:r>
      <w:r w:rsidRPr="001E042C">
        <w:rPr>
          <w:i/>
        </w:rPr>
        <w:t xml:space="preserve"> bemiddeling</w:t>
      </w:r>
      <w:r>
        <w:rPr>
          <w:i/>
        </w:rPr>
        <w:t xml:space="preserve"> </w:t>
      </w:r>
      <w:r>
        <w:t xml:space="preserve">acht het comité het essentieel dat de procedure </w:t>
      </w:r>
      <w:proofErr w:type="spellStart"/>
      <w:r>
        <w:t>terzake</w:t>
      </w:r>
      <w:proofErr w:type="spellEnd"/>
      <w:r>
        <w:t xml:space="preserve"> regelgevend wordt vastgelegd; het VAPH moet aldus in staat worden gesteld om, zodra het een signaal ontvangt inzake een moeilijk te bemiddelen dossier, bemiddelingsoverleg op korte termijn bijeen te roepen</w:t>
      </w:r>
      <w:r w:rsidR="009D3B38">
        <w:t xml:space="preserve"> met verplichting tot deelname.</w:t>
      </w:r>
    </w:p>
    <w:p w:rsidR="00891FDF" w:rsidRPr="00CE4711" w:rsidRDefault="00891FDF" w:rsidP="0030044F">
      <w:pPr>
        <w:pStyle w:val="Lijstalinea"/>
        <w:numPr>
          <w:ilvl w:val="0"/>
          <w:numId w:val="36"/>
        </w:numPr>
      </w:pPr>
      <w:r w:rsidRPr="00CE4711">
        <w:t xml:space="preserve">M.b.t. </w:t>
      </w:r>
      <w:r w:rsidRPr="00CE4711">
        <w:rPr>
          <w:i/>
        </w:rPr>
        <w:t>planning</w:t>
      </w:r>
      <w:r w:rsidRPr="00CE4711">
        <w:t xml:space="preserve"> wordt gepleit voor een zo groot mogelijke eenvormigheid inzake de beoordeling van aanvragen, onafhankelijk van de vraag op welk niveau (cf. regionaal of centraal?) het afstemmingsoverleg </w:t>
      </w:r>
      <w:proofErr w:type="spellStart"/>
      <w:r w:rsidR="00CF5294" w:rsidRPr="00CE4711">
        <w:t>i.f.v</w:t>
      </w:r>
      <w:proofErr w:type="spellEnd"/>
      <w:r w:rsidR="00CF5294" w:rsidRPr="00CE4711">
        <w:t xml:space="preserve">. advisering </w:t>
      </w:r>
      <w:r w:rsidRPr="00CE4711">
        <w:t>wordt georganiseerd.</w:t>
      </w:r>
    </w:p>
    <w:p w:rsidR="00204DE3" w:rsidRPr="00AD2E96" w:rsidRDefault="00475594" w:rsidP="002A13F5">
      <w:pPr>
        <w:numPr>
          <w:ilvl w:val="0"/>
          <w:numId w:val="24"/>
        </w:numPr>
        <w:rPr>
          <w:b/>
          <w:lang w:val="nl-NL"/>
        </w:rPr>
      </w:pPr>
      <w:r w:rsidRPr="00475594">
        <w:rPr>
          <w:b/>
          <w:lang w:val="nl-NL"/>
        </w:rPr>
        <w:t>Advisering ontwerpregelgeving Begeleid Werken</w:t>
      </w:r>
      <w:r w:rsidRPr="00475594">
        <w:rPr>
          <w:b/>
          <w:lang w:val="nl-NL"/>
        </w:rPr>
        <w:br/>
      </w:r>
      <w:r w:rsidRPr="00475594">
        <w:rPr>
          <w:b/>
        </w:rPr>
        <w:t>DOC/RC/2017/27.06/29</w:t>
      </w:r>
    </w:p>
    <w:p w:rsidR="00AD2E96" w:rsidRPr="00475594" w:rsidRDefault="005A18D2" w:rsidP="00AD2E96">
      <w:pPr>
        <w:rPr>
          <w:lang w:val="nl-NL"/>
        </w:rPr>
      </w:pPr>
      <w:r>
        <w:rPr>
          <w:lang w:val="nl-NL"/>
        </w:rPr>
        <w:t>Het comité verleent een unaniem positief advies m.b.t. de voorliggende ontwerpregelgeving.</w:t>
      </w:r>
    </w:p>
    <w:p w:rsidR="00475594" w:rsidRPr="00AD2E96" w:rsidRDefault="00AD2E96" w:rsidP="002A13F5">
      <w:pPr>
        <w:numPr>
          <w:ilvl w:val="0"/>
          <w:numId w:val="24"/>
        </w:numPr>
        <w:rPr>
          <w:b/>
          <w:lang w:val="nl-NL"/>
        </w:rPr>
      </w:pPr>
      <w:r w:rsidRPr="00AD2E96">
        <w:rPr>
          <w:b/>
          <w:lang w:val="nl-NL"/>
        </w:rPr>
        <w:t>Nota PVB en Ouderenzorg</w:t>
      </w:r>
      <w:r w:rsidRPr="00AD2E96">
        <w:rPr>
          <w:b/>
          <w:lang w:val="nl-NL"/>
        </w:rPr>
        <w:br/>
      </w:r>
      <w:r w:rsidRPr="00AD2E96">
        <w:rPr>
          <w:b/>
        </w:rPr>
        <w:t>DOC/RC/2017/27.06/30</w:t>
      </w:r>
    </w:p>
    <w:p w:rsidR="00A86E2C" w:rsidRDefault="005A18D2" w:rsidP="00AD2E96">
      <w:r>
        <w:rPr>
          <w:lang w:val="nl-NL"/>
        </w:rPr>
        <w:t xml:space="preserve">Het comité </w:t>
      </w:r>
      <w:r w:rsidR="008A52D1">
        <w:rPr>
          <w:lang w:val="nl-NL"/>
        </w:rPr>
        <w:t xml:space="preserve">geeft een unaniem positief advies inzake de mogelijkheden 1 (inzet PVB in een ouderenvoorziening die door het VAPH vergund is als zorgaanbieder) en 2 (inzet PVB buiten erkende capaciteit bij een niet door het VAPH vergunde ouderenvoorziening). Het comité is evenwel ook unaniem in zijn afwijzing van mogelijkheid 3 aangezien deze ingaat tegen het </w:t>
      </w:r>
      <w:r w:rsidR="007B4187">
        <w:rPr>
          <w:lang w:val="nl-NL"/>
        </w:rPr>
        <w:t xml:space="preserve">ondersteuningsmodel </w:t>
      </w:r>
      <w:r w:rsidR="008A52D1">
        <w:rPr>
          <w:lang w:val="nl-NL"/>
        </w:rPr>
        <w:t xml:space="preserve">van de concentrische cirkels </w:t>
      </w:r>
      <w:r w:rsidR="00EF028C">
        <w:rPr>
          <w:lang w:val="nl-NL"/>
        </w:rPr>
        <w:t xml:space="preserve">(zoals </w:t>
      </w:r>
      <w:r w:rsidR="007B4187">
        <w:rPr>
          <w:lang w:val="nl-NL"/>
        </w:rPr>
        <w:t xml:space="preserve">omschreven </w:t>
      </w:r>
      <w:r w:rsidR="00EF028C">
        <w:rPr>
          <w:lang w:val="nl-NL"/>
        </w:rPr>
        <w:t>in</w:t>
      </w:r>
      <w:r w:rsidR="007B4187">
        <w:rPr>
          <w:lang w:val="nl-NL"/>
        </w:rPr>
        <w:t xml:space="preserve"> de Memorie van Toelichting bij </w:t>
      </w:r>
      <w:r w:rsidR="00291C49">
        <w:rPr>
          <w:lang w:val="nl-NL"/>
        </w:rPr>
        <w:t xml:space="preserve">het </w:t>
      </w:r>
      <w:r w:rsidR="007B4187">
        <w:rPr>
          <w:lang w:val="nl-NL"/>
        </w:rPr>
        <w:t>PVF-decreet</w:t>
      </w:r>
      <w:r w:rsidR="00EF028C">
        <w:rPr>
          <w:lang w:val="nl-NL"/>
        </w:rPr>
        <w:t xml:space="preserve">) </w:t>
      </w:r>
      <w:r w:rsidR="008A52D1">
        <w:rPr>
          <w:lang w:val="nl-NL"/>
        </w:rPr>
        <w:t xml:space="preserve">waarbij de sector ouderenzorg de facto VAPH-middelen zou recupereren </w:t>
      </w:r>
      <w:r w:rsidR="00EF028C">
        <w:rPr>
          <w:lang w:val="nl-NL"/>
        </w:rPr>
        <w:t>voor een aantal kosten die ten laste moeten komen van de eigen sector</w:t>
      </w:r>
      <w:r w:rsidR="008A52D1">
        <w:rPr>
          <w:lang w:val="nl-NL"/>
        </w:rPr>
        <w:t xml:space="preserve">. </w:t>
      </w:r>
      <w:r w:rsidR="00291C49" w:rsidRPr="00291C49">
        <w:t xml:space="preserve">De leden merken </w:t>
      </w:r>
      <w:r w:rsidR="00291C49">
        <w:t xml:space="preserve">bovendien </w:t>
      </w:r>
      <w:r w:rsidR="00291C49" w:rsidRPr="00291C49">
        <w:t>op dat de keuzes die gemaakt worden inzake de inzet van het PVB in de ouderenzorg een belangrijke precedentwaarde hebben ten aanzien van de keuzes die nog moeten gemaakt worden voor de inzet van het PVB in andere sectoren</w:t>
      </w:r>
      <w:r w:rsidR="00A86E2C">
        <w:t>.</w:t>
      </w:r>
      <w:r w:rsidR="00A86E2C">
        <w:br w:type="page"/>
      </w:r>
    </w:p>
    <w:p w:rsidR="00204DE3" w:rsidRPr="009C42C2" w:rsidRDefault="009C42C2" w:rsidP="002A13F5">
      <w:pPr>
        <w:numPr>
          <w:ilvl w:val="0"/>
          <w:numId w:val="24"/>
        </w:numPr>
        <w:rPr>
          <w:b/>
          <w:lang w:val="nl-NL"/>
        </w:rPr>
      </w:pPr>
      <w:r w:rsidRPr="009C42C2">
        <w:rPr>
          <w:b/>
          <w:lang w:val="nl-NL"/>
        </w:rPr>
        <w:t>Advisering ontwerpregelgeving PAB (minderjarigen)</w:t>
      </w:r>
      <w:r w:rsidRPr="009C42C2">
        <w:rPr>
          <w:b/>
          <w:lang w:val="nl-NL"/>
        </w:rPr>
        <w:br/>
      </w:r>
      <w:r w:rsidRPr="009C42C2">
        <w:rPr>
          <w:b/>
        </w:rPr>
        <w:t>DOC/RC/2017/27.06/31</w:t>
      </w:r>
    </w:p>
    <w:p w:rsidR="009C42C2" w:rsidRDefault="005A18D2" w:rsidP="009C42C2">
      <w:pPr>
        <w:rPr>
          <w:lang w:val="nl-NL"/>
        </w:rPr>
      </w:pPr>
      <w:r w:rsidRPr="005A18D2">
        <w:rPr>
          <w:lang w:val="nl-NL"/>
        </w:rPr>
        <w:t xml:space="preserve">Het comité verleent een unaniem positief advies m.b.t. de </w:t>
      </w:r>
      <w:r>
        <w:rPr>
          <w:lang w:val="nl-NL"/>
        </w:rPr>
        <w:t>voorliggende ontwerpregelgeving, maar suggereert om de definitie van ‘assistentie’ (zie art. 1) over te nemen van deze, opgenomen in het (</w:t>
      </w:r>
      <w:r w:rsidR="00D230FB">
        <w:rPr>
          <w:lang w:val="nl-NL"/>
        </w:rPr>
        <w:t xml:space="preserve">op 09-06-2017 </w:t>
      </w:r>
      <w:r>
        <w:rPr>
          <w:lang w:val="nl-NL"/>
        </w:rPr>
        <w:t xml:space="preserve">principieel goedgekeurde) OBVR </w:t>
      </w:r>
      <w:r w:rsidR="00D230FB">
        <w:rPr>
          <w:lang w:val="nl-NL"/>
        </w:rPr>
        <w:t>tot vrijstelling van</w:t>
      </w:r>
      <w:r w:rsidR="00D230FB" w:rsidRPr="00D230FB">
        <w:rPr>
          <w:lang w:val="nl-NL"/>
        </w:rPr>
        <w:t xml:space="preserve"> kwalificatie- en registratieverplichtingen van zorg- en bijstandsverleners die persoonlijke assistentie verlenen aan personen met een handicap</w:t>
      </w:r>
      <w:r w:rsidR="00D230FB">
        <w:rPr>
          <w:lang w:val="nl-NL"/>
        </w:rPr>
        <w:t xml:space="preserve"> (zie art. 1,5°)</w:t>
      </w:r>
      <w:r w:rsidR="00D230FB">
        <w:rPr>
          <w:rStyle w:val="Voetnootmarkering"/>
          <w:lang w:val="nl-NL"/>
        </w:rPr>
        <w:footnoteReference w:id="2"/>
      </w:r>
      <w:r w:rsidR="00D230FB">
        <w:rPr>
          <w:lang w:val="nl-NL"/>
        </w:rPr>
        <w:t>.</w:t>
      </w:r>
    </w:p>
    <w:p w:rsidR="009C42C2" w:rsidRPr="00FD361E" w:rsidRDefault="009C42C2" w:rsidP="002A13F5">
      <w:pPr>
        <w:numPr>
          <w:ilvl w:val="0"/>
          <w:numId w:val="24"/>
        </w:numPr>
        <w:rPr>
          <w:b/>
          <w:lang w:val="nl-NL"/>
        </w:rPr>
      </w:pPr>
      <w:r>
        <w:rPr>
          <w:b/>
          <w:lang w:val="nl-NL"/>
        </w:rPr>
        <w:t xml:space="preserve">Adviesstelsel: </w:t>
      </w:r>
      <w:r w:rsidR="00A27992" w:rsidRPr="00A27992">
        <w:rPr>
          <w:b/>
        </w:rPr>
        <w:t>OBVR verlenging samenstelling RC (1 november 2017 –31 oktober 2019)</w:t>
      </w:r>
      <w:r w:rsidR="00EC2B2C">
        <w:rPr>
          <w:b/>
        </w:rPr>
        <w:br/>
      </w:r>
      <w:r w:rsidR="00EC2B2C" w:rsidRPr="00EC2B2C">
        <w:rPr>
          <w:b/>
        </w:rPr>
        <w:t>DOC/RC/2017/27.06/35</w:t>
      </w:r>
    </w:p>
    <w:p w:rsidR="00FD361E" w:rsidRPr="00204DE3" w:rsidRDefault="00FD361E" w:rsidP="00FD361E">
      <w:pPr>
        <w:rPr>
          <w:lang w:val="nl-NL"/>
        </w:rPr>
      </w:pPr>
      <w:r>
        <w:rPr>
          <w:lang w:val="nl-NL"/>
        </w:rPr>
        <w:t xml:space="preserve">Het comité geeft een unaniem positief advies m.b.t. het voorliggende voorstel houdende tweejarige verlenging van het mandaat van de huidige leden van het Raadgevend Comité, </w:t>
      </w:r>
      <w:r w:rsidR="005F7C99">
        <w:rPr>
          <w:lang w:val="nl-NL"/>
        </w:rPr>
        <w:t>waardoor - met de door betrokkenen opgebouwde expertise inzake het PVF-systeem</w:t>
      </w:r>
      <w:r>
        <w:rPr>
          <w:lang w:val="nl-NL"/>
        </w:rPr>
        <w:t xml:space="preserve"> </w:t>
      </w:r>
      <w:r w:rsidR="005F7C99">
        <w:rPr>
          <w:lang w:val="nl-NL"/>
        </w:rPr>
        <w:t xml:space="preserve">- </w:t>
      </w:r>
      <w:r>
        <w:rPr>
          <w:lang w:val="nl-NL"/>
        </w:rPr>
        <w:t xml:space="preserve">de continuïteit </w:t>
      </w:r>
      <w:r w:rsidR="005F7C99">
        <w:rPr>
          <w:lang w:val="nl-NL"/>
        </w:rPr>
        <w:t>van advisering inzake de nadere uitrol van voormeld stelsel het best kan worden verzekerd.</w:t>
      </w:r>
    </w:p>
    <w:p w:rsidR="002A13F5" w:rsidRPr="00145E66" w:rsidRDefault="00CD59FD" w:rsidP="009C42C2">
      <w:pPr>
        <w:numPr>
          <w:ilvl w:val="0"/>
          <w:numId w:val="24"/>
        </w:numPr>
        <w:rPr>
          <w:b/>
          <w:lang w:val="nl-NL"/>
        </w:rPr>
      </w:pPr>
      <w:r w:rsidRPr="00CD59FD">
        <w:rPr>
          <w:b/>
        </w:rPr>
        <w:t xml:space="preserve">Adviesstelsel: </w:t>
      </w:r>
      <w:r w:rsidR="009C42C2" w:rsidRPr="009C42C2">
        <w:rPr>
          <w:b/>
        </w:rPr>
        <w:t>voordracht vervanging Permanente Werkgroep Minderjarigen</w:t>
      </w:r>
      <w:r w:rsidRPr="00CD59FD">
        <w:rPr>
          <w:b/>
        </w:rPr>
        <w:br/>
      </w:r>
      <w:r w:rsidR="00A27992" w:rsidRPr="00A27992">
        <w:rPr>
          <w:b/>
        </w:rPr>
        <w:t>DOC/RC/2017/27.06/32</w:t>
      </w:r>
    </w:p>
    <w:p w:rsidR="00145E66" w:rsidRPr="00BE1BF4" w:rsidRDefault="005513DD" w:rsidP="00BE1BF4">
      <w:r w:rsidRPr="005513DD">
        <w:rPr>
          <w:lang w:val="nl-NL"/>
        </w:rPr>
        <w:t>Conform  art. 25§1 van het huishoudelijk reglement adviseert h</w:t>
      </w:r>
      <w:r w:rsidRPr="005513DD">
        <w:t xml:space="preserve">et Raadgevend Comité </w:t>
      </w:r>
      <w:r>
        <w:t xml:space="preserve">u unaniem </w:t>
      </w:r>
      <w:r w:rsidRPr="005513DD">
        <w:t xml:space="preserve">om Mieke Segers als lid namens de werkgeversgeleding van de PWG Minderjarigen aan te stellen ter vervanging van Evelien </w:t>
      </w:r>
      <w:proofErr w:type="spellStart"/>
      <w:r w:rsidRPr="005513DD">
        <w:t>Devriese</w:t>
      </w:r>
      <w:proofErr w:type="spellEnd"/>
      <w:r w:rsidRPr="005513DD">
        <w:t>.</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67740C" w:rsidRPr="00313C8A" w:rsidRDefault="0067740C" w:rsidP="0067740C">
      <w:pPr>
        <w:rPr>
          <w:b/>
          <w:lang w:val="nl-NL"/>
        </w:rPr>
      </w:pPr>
    </w:p>
    <w:p w:rsidR="001A2FBE" w:rsidRPr="001A2FBE" w:rsidRDefault="001A2FBE" w:rsidP="001A2FBE">
      <w:pPr>
        <w:rPr>
          <w:lang w:val="nl-NL"/>
        </w:rPr>
      </w:pPr>
      <w:r w:rsidRPr="001A2FBE">
        <w:rPr>
          <w:lang w:val="nl-NL"/>
        </w:rPr>
        <w:t xml:space="preserve">Met </w:t>
      </w:r>
      <w:r>
        <w:rPr>
          <w:lang w:val="nl-NL"/>
        </w:rPr>
        <w:t>vriendelijke groeten</w:t>
      </w:r>
    </w:p>
    <w:p w:rsidR="001A2FBE" w:rsidRDefault="001A2FBE" w:rsidP="001A2FBE">
      <w:pPr>
        <w:rPr>
          <w:lang w:val="nl-NL"/>
        </w:rPr>
      </w:pPr>
    </w:p>
    <w:p w:rsidR="00B54AFC" w:rsidRPr="001A2FBE" w:rsidRDefault="00B54AFC" w:rsidP="001A2FBE">
      <w:pPr>
        <w:rPr>
          <w:lang w:val="nl-NL"/>
        </w:rPr>
      </w:pPr>
    </w:p>
    <w:p w:rsidR="001A2FBE" w:rsidRPr="001A2FBE" w:rsidRDefault="00E2637C" w:rsidP="001A2FBE">
      <w:pPr>
        <w:rPr>
          <w:lang w:val="nl-NL"/>
        </w:rPr>
      </w:pPr>
      <w:r>
        <w:rPr>
          <w:lang w:val="nl-NL"/>
        </w:rPr>
        <w:t>Ingrid Borré</w:t>
      </w:r>
    </w:p>
    <w:p w:rsidR="00734C2D" w:rsidRPr="00734C2D" w:rsidRDefault="00E2637C" w:rsidP="00407927">
      <w:r>
        <w:rPr>
          <w:lang w:val="nl-NL"/>
        </w:rPr>
        <w:t>Onderv</w:t>
      </w:r>
      <w:r w:rsidR="001A2FBE" w:rsidRPr="001A2FBE">
        <w:rPr>
          <w:lang w:val="nl-NL"/>
        </w:rPr>
        <w:t xml:space="preserve">oorzitter </w:t>
      </w:r>
      <w:r w:rsidRPr="00E2637C">
        <w:rPr>
          <w:lang w:val="nl-NL"/>
        </w:rPr>
        <w:t>van het Raadgevend Comité</w:t>
      </w:r>
      <w:r>
        <w:rPr>
          <w:lang w:val="nl-NL"/>
        </w:rPr>
        <w:br/>
        <w:t xml:space="preserve">Wnd. voorzitter zitting 27-06-2017 </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27" w:rsidRDefault="005B1727" w:rsidP="00A13B42">
      <w:r>
        <w:separator/>
      </w:r>
    </w:p>
    <w:p w:rsidR="005B1727" w:rsidRDefault="005B1727"/>
  </w:endnote>
  <w:endnote w:type="continuationSeparator" w:id="0">
    <w:p w:rsidR="005B1727" w:rsidRDefault="005B1727" w:rsidP="00A13B42">
      <w:r>
        <w:continuationSeparator/>
      </w:r>
    </w:p>
    <w:p w:rsidR="005B1727" w:rsidRDefault="005B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21976">
      <w:rPr>
        <w:noProof/>
      </w:rPr>
      <w:t>1</w:t>
    </w:r>
    <w:r w:rsidRPr="00516E9E">
      <w:fldChar w:fldCharType="end"/>
    </w:r>
    <w:r w:rsidRPr="00516E9E">
      <w:t xml:space="preserve"> van </w:t>
    </w:r>
    <w:fldSimple w:instr=" NUMPAGES   \* MERGEFORMAT ">
      <w:r w:rsidR="00B21976">
        <w:rPr>
          <w:noProof/>
        </w:rPr>
        <w:t>3</w:t>
      </w:r>
    </w:fldSimple>
    <w:r w:rsidRPr="00516E9E">
      <w:rPr>
        <w:noProof/>
        <w:lang w:eastAsia="nl-BE"/>
      </w:rPr>
      <w:drawing>
        <wp:anchor distT="0" distB="0" distL="114300" distR="114300" simplePos="0" relativeHeight="251679744" behindDoc="0" locked="0" layoutInCell="1" allowOverlap="1" wp14:anchorId="25BD680C" wp14:editId="6E4D6654">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27" w:rsidRDefault="005B1727" w:rsidP="00692334">
      <w:pPr>
        <w:spacing w:after="0"/>
      </w:pPr>
      <w:r>
        <w:separator/>
      </w:r>
    </w:p>
  </w:footnote>
  <w:footnote w:type="continuationSeparator" w:id="0">
    <w:p w:rsidR="005B1727" w:rsidRDefault="005B1727" w:rsidP="00A13B42">
      <w:r>
        <w:continuationSeparator/>
      </w:r>
    </w:p>
    <w:p w:rsidR="005B1727" w:rsidRDefault="005B1727"/>
  </w:footnote>
  <w:footnote w:id="1">
    <w:p w:rsidR="00915F90" w:rsidRPr="008A52D1" w:rsidRDefault="00915F90">
      <w:pPr>
        <w:pStyle w:val="Voetnoottekst"/>
        <w:rPr>
          <w:sz w:val="18"/>
          <w:szCs w:val="18"/>
        </w:rPr>
      </w:pPr>
      <w:r w:rsidRPr="008A52D1">
        <w:rPr>
          <w:rStyle w:val="Voetnootmarkering"/>
          <w:sz w:val="18"/>
          <w:szCs w:val="18"/>
        </w:rPr>
        <w:footnoteRef/>
      </w:r>
      <w:r w:rsidRPr="008A52D1">
        <w:rPr>
          <w:sz w:val="18"/>
          <w:szCs w:val="18"/>
        </w:rPr>
        <w:t xml:space="preserve"> Cf. Stuk DOC/RC/2017/</w:t>
      </w:r>
      <w:r w:rsidR="0029466C" w:rsidRPr="008A52D1">
        <w:rPr>
          <w:sz w:val="18"/>
          <w:szCs w:val="18"/>
        </w:rPr>
        <w:t>27.06/26 ter</w:t>
      </w:r>
      <w:r w:rsidRPr="008A52D1">
        <w:rPr>
          <w:sz w:val="18"/>
          <w:szCs w:val="18"/>
        </w:rPr>
        <w:t xml:space="preserve"> </w:t>
      </w:r>
      <w:r w:rsidR="0029466C" w:rsidRPr="008A52D1">
        <w:rPr>
          <w:sz w:val="18"/>
          <w:szCs w:val="18"/>
        </w:rPr>
        <w:t>‘</w:t>
      </w:r>
      <w:r w:rsidRPr="008A52D1">
        <w:rPr>
          <w:sz w:val="18"/>
          <w:szCs w:val="18"/>
        </w:rPr>
        <w:t>Besluit van de Vlaamse Regering tot wijziging van het besluit van de Vlaamse Regering van 27 november 2015 over de indiening en de afhandeling van de aanvraag van een budget voor niet rechtstreeks toegankelijke zorg en ondersteuning voor meerderjarige personen met een handicap en over de terbeschikkingstelling van dat budget en tot wijziging van het besluit van de Vlaamse Regering van 4 maart 2016 over de oprichting van een regionale prioriteitencommissie, de toekenning van prioriteitengroepen, de vaststelling van de maatschappelijke noodzaak, de toeleiding naar ondersteuning, de afstemming en planning in het kader van persoonsvolgende financiering</w:t>
      </w:r>
      <w:r w:rsidR="0029466C" w:rsidRPr="008A52D1">
        <w:rPr>
          <w:sz w:val="18"/>
          <w:szCs w:val="18"/>
        </w:rPr>
        <w:t>’</w:t>
      </w:r>
    </w:p>
  </w:footnote>
  <w:footnote w:id="2">
    <w:p w:rsidR="00D230FB" w:rsidRDefault="00D230FB">
      <w:pPr>
        <w:pStyle w:val="Voetnoottekst"/>
      </w:pPr>
      <w:r>
        <w:rPr>
          <w:rStyle w:val="Voetnootmarkering"/>
        </w:rPr>
        <w:footnoteRef/>
      </w:r>
      <w:r>
        <w:t xml:space="preserve"> Zie stuk INF/RC/2017/27.06/25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1"/>
  </w:num>
  <w:num w:numId="11">
    <w:abstractNumId w:val="24"/>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3"/>
  </w:num>
  <w:num w:numId="25">
    <w:abstractNumId w:val="26"/>
  </w:num>
  <w:num w:numId="26">
    <w:abstractNumId w:val="17"/>
  </w:num>
  <w:num w:numId="27">
    <w:abstractNumId w:val="28"/>
  </w:num>
  <w:num w:numId="28">
    <w:abstractNumId w:val="19"/>
  </w:num>
  <w:num w:numId="29">
    <w:abstractNumId w:val="11"/>
  </w:num>
  <w:num w:numId="30">
    <w:abstractNumId w:val="14"/>
  </w:num>
  <w:num w:numId="31">
    <w:abstractNumId w:val="18"/>
  </w:num>
  <w:num w:numId="32">
    <w:abstractNumId w:val="13"/>
  </w:num>
  <w:num w:numId="33">
    <w:abstractNumId w:val="12"/>
  </w:num>
  <w:num w:numId="34">
    <w:abstractNumId w:val="10"/>
  </w:num>
  <w:num w:numId="35">
    <w:abstractNumId w:val="22"/>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1108"/>
    <w:rsid w:val="00011992"/>
    <w:rsid w:val="000128DC"/>
    <w:rsid w:val="000200E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A2D11"/>
    <w:rsid w:val="000A3B45"/>
    <w:rsid w:val="000A40FD"/>
    <w:rsid w:val="000B2BD4"/>
    <w:rsid w:val="000B3488"/>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5055"/>
    <w:rsid w:val="000F5405"/>
    <w:rsid w:val="000F7127"/>
    <w:rsid w:val="000F7F96"/>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5BE0"/>
    <w:rsid w:val="00145E66"/>
    <w:rsid w:val="0014766B"/>
    <w:rsid w:val="0015011A"/>
    <w:rsid w:val="001616FD"/>
    <w:rsid w:val="00163A0A"/>
    <w:rsid w:val="00171EAB"/>
    <w:rsid w:val="0017355F"/>
    <w:rsid w:val="00175023"/>
    <w:rsid w:val="001758A7"/>
    <w:rsid w:val="00180BA8"/>
    <w:rsid w:val="0018349B"/>
    <w:rsid w:val="00184D8F"/>
    <w:rsid w:val="001867EE"/>
    <w:rsid w:val="00187D99"/>
    <w:rsid w:val="00191484"/>
    <w:rsid w:val="00192AE3"/>
    <w:rsid w:val="001936F5"/>
    <w:rsid w:val="001A2FBE"/>
    <w:rsid w:val="001A62BE"/>
    <w:rsid w:val="001B3CFC"/>
    <w:rsid w:val="001C00ED"/>
    <w:rsid w:val="001C21EC"/>
    <w:rsid w:val="001C3A37"/>
    <w:rsid w:val="001C4E72"/>
    <w:rsid w:val="001C5C3E"/>
    <w:rsid w:val="001C6CBA"/>
    <w:rsid w:val="001D0B6D"/>
    <w:rsid w:val="001D3F45"/>
    <w:rsid w:val="001D4379"/>
    <w:rsid w:val="001D4740"/>
    <w:rsid w:val="001D4D94"/>
    <w:rsid w:val="001D56BE"/>
    <w:rsid w:val="001E042C"/>
    <w:rsid w:val="001E216C"/>
    <w:rsid w:val="001E76D1"/>
    <w:rsid w:val="001F254F"/>
    <w:rsid w:val="001F43A8"/>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D6A"/>
    <w:rsid w:val="002224E7"/>
    <w:rsid w:val="00224CDD"/>
    <w:rsid w:val="00227F82"/>
    <w:rsid w:val="002317BF"/>
    <w:rsid w:val="00232FE9"/>
    <w:rsid w:val="00235779"/>
    <w:rsid w:val="002362C8"/>
    <w:rsid w:val="002366E8"/>
    <w:rsid w:val="00247F74"/>
    <w:rsid w:val="00252D5E"/>
    <w:rsid w:val="002544EF"/>
    <w:rsid w:val="00263EC0"/>
    <w:rsid w:val="00264A06"/>
    <w:rsid w:val="00265D4C"/>
    <w:rsid w:val="00267932"/>
    <w:rsid w:val="0027177C"/>
    <w:rsid w:val="0027202A"/>
    <w:rsid w:val="0027222B"/>
    <w:rsid w:val="00272F9F"/>
    <w:rsid w:val="00274210"/>
    <w:rsid w:val="00276851"/>
    <w:rsid w:val="00276DE2"/>
    <w:rsid w:val="00280626"/>
    <w:rsid w:val="002832A0"/>
    <w:rsid w:val="00283B6E"/>
    <w:rsid w:val="00286751"/>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D463B"/>
    <w:rsid w:val="002D6719"/>
    <w:rsid w:val="002D6B79"/>
    <w:rsid w:val="002D77C2"/>
    <w:rsid w:val="002E1FCA"/>
    <w:rsid w:val="002E3241"/>
    <w:rsid w:val="002E519B"/>
    <w:rsid w:val="002F06A9"/>
    <w:rsid w:val="002F406C"/>
    <w:rsid w:val="002F4E39"/>
    <w:rsid w:val="0030044F"/>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73FF"/>
    <w:rsid w:val="00377867"/>
    <w:rsid w:val="0038008F"/>
    <w:rsid w:val="00380F9F"/>
    <w:rsid w:val="00381DAC"/>
    <w:rsid w:val="00382A22"/>
    <w:rsid w:val="003831AD"/>
    <w:rsid w:val="00384A2E"/>
    <w:rsid w:val="00385434"/>
    <w:rsid w:val="00386767"/>
    <w:rsid w:val="00391164"/>
    <w:rsid w:val="00392B78"/>
    <w:rsid w:val="00393C3A"/>
    <w:rsid w:val="003957DD"/>
    <w:rsid w:val="003A05E6"/>
    <w:rsid w:val="003A32EB"/>
    <w:rsid w:val="003A3797"/>
    <w:rsid w:val="003A44ED"/>
    <w:rsid w:val="003A6FD6"/>
    <w:rsid w:val="003B05F2"/>
    <w:rsid w:val="003B197D"/>
    <w:rsid w:val="003B22A0"/>
    <w:rsid w:val="003B3056"/>
    <w:rsid w:val="003B319B"/>
    <w:rsid w:val="003B3F99"/>
    <w:rsid w:val="003B5774"/>
    <w:rsid w:val="003B5ABC"/>
    <w:rsid w:val="003B68A3"/>
    <w:rsid w:val="003B73CB"/>
    <w:rsid w:val="003C2BFE"/>
    <w:rsid w:val="003C3D8A"/>
    <w:rsid w:val="003C5A3F"/>
    <w:rsid w:val="003C67CC"/>
    <w:rsid w:val="003D509D"/>
    <w:rsid w:val="003D5926"/>
    <w:rsid w:val="003D6F63"/>
    <w:rsid w:val="003D701C"/>
    <w:rsid w:val="003E2CF2"/>
    <w:rsid w:val="003E38E9"/>
    <w:rsid w:val="003E4AD7"/>
    <w:rsid w:val="003E55E7"/>
    <w:rsid w:val="003F147B"/>
    <w:rsid w:val="003F2C1A"/>
    <w:rsid w:val="003F35BC"/>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1D42"/>
    <w:rsid w:val="004324CB"/>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943"/>
    <w:rsid w:val="004646C3"/>
    <w:rsid w:val="00464EFB"/>
    <w:rsid w:val="00464FBE"/>
    <w:rsid w:val="00465CDC"/>
    <w:rsid w:val="0046638C"/>
    <w:rsid w:val="004676F8"/>
    <w:rsid w:val="00470B13"/>
    <w:rsid w:val="00475594"/>
    <w:rsid w:val="00475821"/>
    <w:rsid w:val="0048655F"/>
    <w:rsid w:val="00492FDA"/>
    <w:rsid w:val="00493513"/>
    <w:rsid w:val="00493AB3"/>
    <w:rsid w:val="00496E4B"/>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599"/>
    <w:rsid w:val="005010FD"/>
    <w:rsid w:val="00501E1B"/>
    <w:rsid w:val="00502F1D"/>
    <w:rsid w:val="00503504"/>
    <w:rsid w:val="00505037"/>
    <w:rsid w:val="00505A62"/>
    <w:rsid w:val="00506FBA"/>
    <w:rsid w:val="005077BB"/>
    <w:rsid w:val="00510245"/>
    <w:rsid w:val="00510B04"/>
    <w:rsid w:val="00511623"/>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DB2"/>
    <w:rsid w:val="0053508C"/>
    <w:rsid w:val="00537EEC"/>
    <w:rsid w:val="00542B9D"/>
    <w:rsid w:val="005436EC"/>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86283"/>
    <w:rsid w:val="00587513"/>
    <w:rsid w:val="0059116D"/>
    <w:rsid w:val="00592946"/>
    <w:rsid w:val="005969C0"/>
    <w:rsid w:val="005978EE"/>
    <w:rsid w:val="005979C4"/>
    <w:rsid w:val="00597B9E"/>
    <w:rsid w:val="005A0E56"/>
    <w:rsid w:val="005A18D2"/>
    <w:rsid w:val="005A263E"/>
    <w:rsid w:val="005A6269"/>
    <w:rsid w:val="005A66C3"/>
    <w:rsid w:val="005B0690"/>
    <w:rsid w:val="005B1727"/>
    <w:rsid w:val="005B1B74"/>
    <w:rsid w:val="005B2911"/>
    <w:rsid w:val="005B4D7C"/>
    <w:rsid w:val="005B5E7D"/>
    <w:rsid w:val="005B78AE"/>
    <w:rsid w:val="005C1440"/>
    <w:rsid w:val="005C1848"/>
    <w:rsid w:val="005D2F36"/>
    <w:rsid w:val="005E1B34"/>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4C93"/>
    <w:rsid w:val="00614CAE"/>
    <w:rsid w:val="00615248"/>
    <w:rsid w:val="006158CB"/>
    <w:rsid w:val="00615A18"/>
    <w:rsid w:val="00616BE7"/>
    <w:rsid w:val="00616ED4"/>
    <w:rsid w:val="00621482"/>
    <w:rsid w:val="0062791D"/>
    <w:rsid w:val="0063239A"/>
    <w:rsid w:val="006346EE"/>
    <w:rsid w:val="00634E7F"/>
    <w:rsid w:val="0064102E"/>
    <w:rsid w:val="00641492"/>
    <w:rsid w:val="0064665D"/>
    <w:rsid w:val="00652A94"/>
    <w:rsid w:val="00653EF0"/>
    <w:rsid w:val="00653FBC"/>
    <w:rsid w:val="0065638B"/>
    <w:rsid w:val="00657F45"/>
    <w:rsid w:val="00660A9B"/>
    <w:rsid w:val="006639E5"/>
    <w:rsid w:val="006665CB"/>
    <w:rsid w:val="00671986"/>
    <w:rsid w:val="00674214"/>
    <w:rsid w:val="0067740C"/>
    <w:rsid w:val="00681B0D"/>
    <w:rsid w:val="00681E92"/>
    <w:rsid w:val="00682CCC"/>
    <w:rsid w:val="00686964"/>
    <w:rsid w:val="006910B4"/>
    <w:rsid w:val="006922E8"/>
    <w:rsid w:val="00692334"/>
    <w:rsid w:val="006944FD"/>
    <w:rsid w:val="00694B45"/>
    <w:rsid w:val="006956D4"/>
    <w:rsid w:val="00696EFC"/>
    <w:rsid w:val="006A00DF"/>
    <w:rsid w:val="006A075C"/>
    <w:rsid w:val="006A149D"/>
    <w:rsid w:val="006A53A1"/>
    <w:rsid w:val="006A6A81"/>
    <w:rsid w:val="006A75C6"/>
    <w:rsid w:val="006A7B17"/>
    <w:rsid w:val="006B00C4"/>
    <w:rsid w:val="006B3A00"/>
    <w:rsid w:val="006B6DD4"/>
    <w:rsid w:val="006B7648"/>
    <w:rsid w:val="006B7714"/>
    <w:rsid w:val="006B7AA8"/>
    <w:rsid w:val="006B7F15"/>
    <w:rsid w:val="006C1375"/>
    <w:rsid w:val="006C7E03"/>
    <w:rsid w:val="006D1DF5"/>
    <w:rsid w:val="006D246E"/>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4D1"/>
    <w:rsid w:val="00721DB2"/>
    <w:rsid w:val="00730131"/>
    <w:rsid w:val="0073220B"/>
    <w:rsid w:val="00732872"/>
    <w:rsid w:val="007331C4"/>
    <w:rsid w:val="00734C2D"/>
    <w:rsid w:val="00735625"/>
    <w:rsid w:val="00736D1D"/>
    <w:rsid w:val="00742546"/>
    <w:rsid w:val="0074437B"/>
    <w:rsid w:val="00747893"/>
    <w:rsid w:val="00747B03"/>
    <w:rsid w:val="00752E47"/>
    <w:rsid w:val="0075459D"/>
    <w:rsid w:val="00756D28"/>
    <w:rsid w:val="00760F68"/>
    <w:rsid w:val="007642F9"/>
    <w:rsid w:val="00766173"/>
    <w:rsid w:val="00766942"/>
    <w:rsid w:val="00766DE5"/>
    <w:rsid w:val="007670F2"/>
    <w:rsid w:val="00767A29"/>
    <w:rsid w:val="007716A8"/>
    <w:rsid w:val="00771EAA"/>
    <w:rsid w:val="00773FF3"/>
    <w:rsid w:val="007746EF"/>
    <w:rsid w:val="007755B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7724"/>
    <w:rsid w:val="007C4A4C"/>
    <w:rsid w:val="007C5493"/>
    <w:rsid w:val="007C72B9"/>
    <w:rsid w:val="007D1731"/>
    <w:rsid w:val="007D2303"/>
    <w:rsid w:val="007D5C70"/>
    <w:rsid w:val="007D6E2B"/>
    <w:rsid w:val="007E0E60"/>
    <w:rsid w:val="007E0E64"/>
    <w:rsid w:val="007E458B"/>
    <w:rsid w:val="007F224C"/>
    <w:rsid w:val="007F3719"/>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1C3B"/>
    <w:rsid w:val="00861E32"/>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7F98"/>
    <w:rsid w:val="008B4FB5"/>
    <w:rsid w:val="008B5462"/>
    <w:rsid w:val="008B738E"/>
    <w:rsid w:val="008C041B"/>
    <w:rsid w:val="008C1934"/>
    <w:rsid w:val="008C30AA"/>
    <w:rsid w:val="008C4B07"/>
    <w:rsid w:val="008C4E02"/>
    <w:rsid w:val="008C4E7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7499F"/>
    <w:rsid w:val="009757F8"/>
    <w:rsid w:val="00977A93"/>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25D2"/>
    <w:rsid w:val="009D3B38"/>
    <w:rsid w:val="009D4347"/>
    <w:rsid w:val="009D5384"/>
    <w:rsid w:val="009D5E94"/>
    <w:rsid w:val="009D72C1"/>
    <w:rsid w:val="009E017E"/>
    <w:rsid w:val="009E1B13"/>
    <w:rsid w:val="009E32A8"/>
    <w:rsid w:val="009E4B48"/>
    <w:rsid w:val="009E7C94"/>
    <w:rsid w:val="009F6456"/>
    <w:rsid w:val="009F6AED"/>
    <w:rsid w:val="009F746F"/>
    <w:rsid w:val="009F7DD5"/>
    <w:rsid w:val="00A003B4"/>
    <w:rsid w:val="00A00CB2"/>
    <w:rsid w:val="00A042FB"/>
    <w:rsid w:val="00A05D55"/>
    <w:rsid w:val="00A065BB"/>
    <w:rsid w:val="00A06A31"/>
    <w:rsid w:val="00A13B42"/>
    <w:rsid w:val="00A1540F"/>
    <w:rsid w:val="00A170A3"/>
    <w:rsid w:val="00A17B16"/>
    <w:rsid w:val="00A2382A"/>
    <w:rsid w:val="00A23C05"/>
    <w:rsid w:val="00A24EC2"/>
    <w:rsid w:val="00A25124"/>
    <w:rsid w:val="00A25E31"/>
    <w:rsid w:val="00A26FDF"/>
    <w:rsid w:val="00A27992"/>
    <w:rsid w:val="00A33598"/>
    <w:rsid w:val="00A51D9C"/>
    <w:rsid w:val="00A5503B"/>
    <w:rsid w:val="00A55824"/>
    <w:rsid w:val="00A57E8C"/>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21976"/>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773"/>
    <w:rsid w:val="00BB7640"/>
    <w:rsid w:val="00BC10B3"/>
    <w:rsid w:val="00BC1576"/>
    <w:rsid w:val="00BC4A98"/>
    <w:rsid w:val="00BC4FE4"/>
    <w:rsid w:val="00BC6B64"/>
    <w:rsid w:val="00BD0036"/>
    <w:rsid w:val="00BD036F"/>
    <w:rsid w:val="00BD1F32"/>
    <w:rsid w:val="00BD31F5"/>
    <w:rsid w:val="00BD4E8F"/>
    <w:rsid w:val="00BD6F82"/>
    <w:rsid w:val="00BE03F8"/>
    <w:rsid w:val="00BE18B2"/>
    <w:rsid w:val="00BE1BF4"/>
    <w:rsid w:val="00BE3BC6"/>
    <w:rsid w:val="00BE5C7C"/>
    <w:rsid w:val="00BF3918"/>
    <w:rsid w:val="00BF4694"/>
    <w:rsid w:val="00BF4C20"/>
    <w:rsid w:val="00BF5378"/>
    <w:rsid w:val="00BF5445"/>
    <w:rsid w:val="00C02CB6"/>
    <w:rsid w:val="00C03E60"/>
    <w:rsid w:val="00C0500A"/>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7575"/>
    <w:rsid w:val="00C502E8"/>
    <w:rsid w:val="00C526C1"/>
    <w:rsid w:val="00C5549D"/>
    <w:rsid w:val="00C5565C"/>
    <w:rsid w:val="00C62539"/>
    <w:rsid w:val="00C63BFA"/>
    <w:rsid w:val="00C65393"/>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6BC4"/>
    <w:rsid w:val="00CB2413"/>
    <w:rsid w:val="00CB2C15"/>
    <w:rsid w:val="00CB2E5B"/>
    <w:rsid w:val="00CC0FB9"/>
    <w:rsid w:val="00CC3146"/>
    <w:rsid w:val="00CC5904"/>
    <w:rsid w:val="00CC6951"/>
    <w:rsid w:val="00CC7F47"/>
    <w:rsid w:val="00CD5093"/>
    <w:rsid w:val="00CD59FD"/>
    <w:rsid w:val="00CE3129"/>
    <w:rsid w:val="00CE4711"/>
    <w:rsid w:val="00CE63B0"/>
    <w:rsid w:val="00CF0D5D"/>
    <w:rsid w:val="00CF1037"/>
    <w:rsid w:val="00CF1253"/>
    <w:rsid w:val="00CF15EE"/>
    <w:rsid w:val="00CF5294"/>
    <w:rsid w:val="00CF58A5"/>
    <w:rsid w:val="00D01E46"/>
    <w:rsid w:val="00D07773"/>
    <w:rsid w:val="00D133C8"/>
    <w:rsid w:val="00D1669C"/>
    <w:rsid w:val="00D17608"/>
    <w:rsid w:val="00D17EC7"/>
    <w:rsid w:val="00D17F1A"/>
    <w:rsid w:val="00D230FB"/>
    <w:rsid w:val="00D3035C"/>
    <w:rsid w:val="00D334F6"/>
    <w:rsid w:val="00D33DA6"/>
    <w:rsid w:val="00D341A2"/>
    <w:rsid w:val="00D362A1"/>
    <w:rsid w:val="00D36B63"/>
    <w:rsid w:val="00D4064A"/>
    <w:rsid w:val="00D4098B"/>
    <w:rsid w:val="00D45D5E"/>
    <w:rsid w:val="00D47C64"/>
    <w:rsid w:val="00D50D2C"/>
    <w:rsid w:val="00D52BC9"/>
    <w:rsid w:val="00D55B79"/>
    <w:rsid w:val="00D55CAE"/>
    <w:rsid w:val="00D626D5"/>
    <w:rsid w:val="00D63A7A"/>
    <w:rsid w:val="00D63FB5"/>
    <w:rsid w:val="00D64C4C"/>
    <w:rsid w:val="00D66609"/>
    <w:rsid w:val="00D71A06"/>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A5C58"/>
    <w:rsid w:val="00DB21F6"/>
    <w:rsid w:val="00DB4789"/>
    <w:rsid w:val="00DB7DAF"/>
    <w:rsid w:val="00DC1A56"/>
    <w:rsid w:val="00DC20FF"/>
    <w:rsid w:val="00DC4A57"/>
    <w:rsid w:val="00DC4F03"/>
    <w:rsid w:val="00DD096E"/>
    <w:rsid w:val="00DD0CB0"/>
    <w:rsid w:val="00DD1517"/>
    <w:rsid w:val="00DD1DD5"/>
    <w:rsid w:val="00DD3E3D"/>
    <w:rsid w:val="00DD5214"/>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07A3C"/>
    <w:rsid w:val="00E10219"/>
    <w:rsid w:val="00E16403"/>
    <w:rsid w:val="00E17BFE"/>
    <w:rsid w:val="00E20DDB"/>
    <w:rsid w:val="00E21A3E"/>
    <w:rsid w:val="00E25CE2"/>
    <w:rsid w:val="00E2637C"/>
    <w:rsid w:val="00E26CE5"/>
    <w:rsid w:val="00E278AB"/>
    <w:rsid w:val="00E31423"/>
    <w:rsid w:val="00E3284A"/>
    <w:rsid w:val="00E33C80"/>
    <w:rsid w:val="00E36E2D"/>
    <w:rsid w:val="00E41250"/>
    <w:rsid w:val="00E42283"/>
    <w:rsid w:val="00E45DD4"/>
    <w:rsid w:val="00E51891"/>
    <w:rsid w:val="00E51C0C"/>
    <w:rsid w:val="00E52795"/>
    <w:rsid w:val="00E56E36"/>
    <w:rsid w:val="00E57990"/>
    <w:rsid w:val="00E62E42"/>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4B10"/>
    <w:rsid w:val="00EE5C0B"/>
    <w:rsid w:val="00EF028C"/>
    <w:rsid w:val="00F1004A"/>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7A7"/>
    <w:rsid w:val="00F84305"/>
    <w:rsid w:val="00F92F49"/>
    <w:rsid w:val="00F95C02"/>
    <w:rsid w:val="00F96085"/>
    <w:rsid w:val="00F964FF"/>
    <w:rsid w:val="00FA32A1"/>
    <w:rsid w:val="00FA3DB5"/>
    <w:rsid w:val="00FB31B3"/>
    <w:rsid w:val="00FB35B8"/>
    <w:rsid w:val="00FB7D13"/>
    <w:rsid w:val="00FB7DD8"/>
    <w:rsid w:val="00FB7ED9"/>
    <w:rsid w:val="00FC091F"/>
    <w:rsid w:val="00FC4089"/>
    <w:rsid w:val="00FC46B0"/>
    <w:rsid w:val="00FC5EB6"/>
    <w:rsid w:val="00FC7411"/>
    <w:rsid w:val="00FD08CF"/>
    <w:rsid w:val="00FD0D5B"/>
    <w:rsid w:val="00FD0D91"/>
    <w:rsid w:val="00FD361E"/>
    <w:rsid w:val="00FD4850"/>
    <w:rsid w:val="00FE4812"/>
    <w:rsid w:val="00FE500A"/>
    <w:rsid w:val="00FE5ACA"/>
    <w:rsid w:val="00FE6DC6"/>
    <w:rsid w:val="00FE7257"/>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B329D"/>
    <w:rsid w:val="000E4FAC"/>
    <w:rsid w:val="00105656"/>
    <w:rsid w:val="00114F08"/>
    <w:rsid w:val="0017584D"/>
    <w:rsid w:val="00180E2A"/>
    <w:rsid w:val="001867F9"/>
    <w:rsid w:val="001B5919"/>
    <w:rsid w:val="001D7DB4"/>
    <w:rsid w:val="0020412F"/>
    <w:rsid w:val="00240711"/>
    <w:rsid w:val="0026778F"/>
    <w:rsid w:val="002D7436"/>
    <w:rsid w:val="003B2C8F"/>
    <w:rsid w:val="003D1E80"/>
    <w:rsid w:val="004A596A"/>
    <w:rsid w:val="004D5609"/>
    <w:rsid w:val="004E70ED"/>
    <w:rsid w:val="004E75A2"/>
    <w:rsid w:val="0050593B"/>
    <w:rsid w:val="00561A0F"/>
    <w:rsid w:val="0057239D"/>
    <w:rsid w:val="0063153F"/>
    <w:rsid w:val="006575B2"/>
    <w:rsid w:val="00677DF1"/>
    <w:rsid w:val="00715879"/>
    <w:rsid w:val="007231D1"/>
    <w:rsid w:val="00723838"/>
    <w:rsid w:val="00761383"/>
    <w:rsid w:val="007F618A"/>
    <w:rsid w:val="0086330F"/>
    <w:rsid w:val="009062A2"/>
    <w:rsid w:val="00906720"/>
    <w:rsid w:val="009607D7"/>
    <w:rsid w:val="009E096A"/>
    <w:rsid w:val="00A01BAA"/>
    <w:rsid w:val="00A168CF"/>
    <w:rsid w:val="00AB77A7"/>
    <w:rsid w:val="00B14EAC"/>
    <w:rsid w:val="00B45EB2"/>
    <w:rsid w:val="00B472AE"/>
    <w:rsid w:val="00B575B8"/>
    <w:rsid w:val="00B87828"/>
    <w:rsid w:val="00C51569"/>
    <w:rsid w:val="00CB0B28"/>
    <w:rsid w:val="00CD0FF3"/>
    <w:rsid w:val="00CE3FF9"/>
    <w:rsid w:val="00CF0600"/>
    <w:rsid w:val="00D104C3"/>
    <w:rsid w:val="00DA63FB"/>
    <w:rsid w:val="00E17608"/>
    <w:rsid w:val="00E55D23"/>
    <w:rsid w:val="00E629C6"/>
    <w:rsid w:val="00E80996"/>
    <w:rsid w:val="00F03E44"/>
    <w:rsid w:val="00F9587E"/>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B94C-617B-42BD-A0F2-6FA8C8A6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3</Pages>
  <Words>962</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2017-07-03T10:06:00Z</cp:lastPrinted>
  <dcterms:created xsi:type="dcterms:W3CDTF">2017-07-04T07:59:00Z</dcterms:created>
  <dcterms:modified xsi:type="dcterms:W3CDTF">2017-07-04T07:59:00Z</dcterms:modified>
</cp:coreProperties>
</file>